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9F56" w14:textId="77777777" w:rsidR="00AF57B3" w:rsidRPr="006D1081" w:rsidRDefault="009C1104" w:rsidP="00A313E6">
      <w:pPr>
        <w:pStyle w:val="HQSChead1"/>
        <w:rPr>
          <w:sz w:val="32"/>
          <w:szCs w:val="28"/>
        </w:rPr>
      </w:pPr>
      <w:r w:rsidRPr="006D1081">
        <w:rPr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2A88C58E" wp14:editId="02ACD929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1254" cy="19304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" r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54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9A1F4" w14:textId="77777777" w:rsidR="00AF57B3" w:rsidRPr="006D1081" w:rsidRDefault="00AF57B3" w:rsidP="00A313E6">
      <w:pPr>
        <w:pStyle w:val="HQSChead1"/>
        <w:rPr>
          <w:sz w:val="32"/>
          <w:szCs w:val="28"/>
        </w:rPr>
      </w:pPr>
    </w:p>
    <w:p w14:paraId="3456ECD3" w14:textId="5D079130" w:rsidR="002A4CFA" w:rsidRDefault="0050226F" w:rsidP="00836BA4">
      <w:pPr>
        <w:pStyle w:val="HQSChead1"/>
        <w:spacing w:before="600"/>
      </w:pPr>
      <w:bookmarkStart w:id="0" w:name="_Toc494090983"/>
      <w:r>
        <w:t>T</w:t>
      </w:r>
      <w:r w:rsidR="0068493A">
        <w:t xml:space="preserve">he </w:t>
      </w:r>
      <w:r>
        <w:t xml:space="preserve">importance of </w:t>
      </w:r>
      <w:r w:rsidR="00385E9F">
        <w:t xml:space="preserve">using </w:t>
      </w:r>
      <w:r>
        <w:t xml:space="preserve">the </w:t>
      </w:r>
      <w:r w:rsidR="00385E9F">
        <w:t xml:space="preserve">full </w:t>
      </w:r>
      <w:r w:rsidR="00710158">
        <w:t>s</w:t>
      </w:r>
      <w:r w:rsidR="002A4CFA">
        <w:t xml:space="preserve">epsis </w:t>
      </w:r>
      <w:r w:rsidR="00710158">
        <w:t>p</w:t>
      </w:r>
      <w:r w:rsidR="002A4CFA">
        <w:t>ackage</w:t>
      </w:r>
    </w:p>
    <w:bookmarkEnd w:id="0"/>
    <w:p w14:paraId="0ECA41F6" w14:textId="77777777" w:rsidR="001A5C67" w:rsidRPr="0068493A" w:rsidRDefault="001A5C67" w:rsidP="001A5C67">
      <w:pPr>
        <w:rPr>
          <w:color w:val="121212" w:themeColor="text1"/>
          <w:kern w:val="2"/>
          <w:szCs w:val="24"/>
          <w:lang w:eastAsia="en-NZ"/>
          <w14:ligatures w14:val="standardContextual"/>
        </w:rPr>
      </w:pPr>
      <w:r w:rsidRPr="0068493A">
        <w:rPr>
          <w:color w:val="121212" w:themeColor="text1"/>
          <w:szCs w:val="24"/>
        </w:rPr>
        <w:t xml:space="preserve">Sepsis remains a major cause of preventable harm and mortality in hospitals. </w:t>
      </w:r>
    </w:p>
    <w:p w14:paraId="3FAC861B" w14:textId="674F341A" w:rsidR="00AE585D" w:rsidRPr="00BD74DD" w:rsidRDefault="00385E9F" w:rsidP="00AE585D">
      <w:pPr>
        <w:pStyle w:val="HQSChead3"/>
      </w:pPr>
      <w:r>
        <w:t>Following a</w:t>
      </w:r>
      <w:r w:rsidR="00AE585D">
        <w:t xml:space="preserve"> sepsis p</w:t>
      </w:r>
      <w:r w:rsidR="00AE585D" w:rsidRPr="00BD74DD">
        <w:t xml:space="preserve">athway </w:t>
      </w:r>
      <w:r w:rsidR="00AE585D">
        <w:t>a</w:t>
      </w:r>
      <w:r w:rsidR="00AE585D" w:rsidRPr="00BD74DD">
        <w:t xml:space="preserve">lone </w:t>
      </w:r>
      <w:r w:rsidR="00AE585D">
        <w:t>is not enough</w:t>
      </w:r>
    </w:p>
    <w:p w14:paraId="4C197B4F" w14:textId="6AACB45C" w:rsidR="0051725B" w:rsidRPr="0068493A" w:rsidRDefault="000261F2" w:rsidP="000261F2">
      <w:pPr>
        <w:rPr>
          <w:kern w:val="2"/>
          <w:szCs w:val="24"/>
          <w:lang w:eastAsia="en-NZ"/>
          <w14:ligatures w14:val="standardContextual"/>
        </w:rPr>
      </w:pPr>
      <w:r w:rsidRPr="0068493A">
        <w:rPr>
          <w:lang w:eastAsia="en-NZ"/>
        </w:rPr>
        <w:t xml:space="preserve">A sepsis pathway defines evidence-based best practice but, on its own, is insufficient to achieve reliable, consistent and sustainable improvements in </w:t>
      </w:r>
      <w:r>
        <w:rPr>
          <w:lang w:eastAsia="en-NZ"/>
        </w:rPr>
        <w:t>sepsis rates (CDC 2023</w:t>
      </w:r>
      <w:r w:rsidR="0040507C">
        <w:rPr>
          <w:lang w:eastAsia="en-NZ"/>
        </w:rPr>
        <w:t xml:space="preserve">; </w:t>
      </w:r>
      <w:r>
        <w:rPr>
          <w:lang w:eastAsia="en-NZ"/>
        </w:rPr>
        <w:t>Schinkel et al 202</w:t>
      </w:r>
      <w:r w:rsidR="0040507C">
        <w:rPr>
          <w:lang w:eastAsia="en-NZ"/>
        </w:rPr>
        <w:t>2</w:t>
      </w:r>
      <w:r>
        <w:rPr>
          <w:lang w:eastAsia="en-NZ"/>
        </w:rPr>
        <w:t>; Valiveru et al 2021; Hayes et al 2026)</w:t>
      </w:r>
      <w:r w:rsidRPr="0068493A">
        <w:rPr>
          <w:lang w:eastAsia="en-NZ"/>
        </w:rPr>
        <w:t xml:space="preserve">. </w:t>
      </w:r>
      <w:r w:rsidR="001A5C67">
        <w:rPr>
          <w:szCs w:val="24"/>
        </w:rPr>
        <w:t>Health services</w:t>
      </w:r>
      <w:r w:rsidR="00E84606">
        <w:rPr>
          <w:szCs w:val="24"/>
        </w:rPr>
        <w:t xml:space="preserve"> need to deliver th</w:t>
      </w:r>
      <w:r w:rsidR="0051725B" w:rsidRPr="0068493A">
        <w:rPr>
          <w:szCs w:val="24"/>
        </w:rPr>
        <w:t xml:space="preserve">e </w:t>
      </w:r>
      <w:r w:rsidR="00ED24D5" w:rsidRPr="0068493A">
        <w:rPr>
          <w:szCs w:val="24"/>
        </w:rPr>
        <w:t xml:space="preserve">full </w:t>
      </w:r>
      <w:r w:rsidR="0051725B" w:rsidRPr="0068493A">
        <w:rPr>
          <w:szCs w:val="24"/>
        </w:rPr>
        <w:t xml:space="preserve">sepsis package </w:t>
      </w:r>
      <w:r w:rsidR="00E84606">
        <w:rPr>
          <w:szCs w:val="24"/>
        </w:rPr>
        <w:t>to reduce harm at scale and deliver</w:t>
      </w:r>
      <w:r w:rsidR="00E56EA0" w:rsidRPr="0068493A">
        <w:rPr>
          <w:szCs w:val="24"/>
        </w:rPr>
        <w:t xml:space="preserve"> </w:t>
      </w:r>
      <w:r w:rsidR="0051725B" w:rsidRPr="0068493A">
        <w:rPr>
          <w:szCs w:val="24"/>
        </w:rPr>
        <w:t>reliable, high-quality and equitable sepsis care.</w:t>
      </w:r>
      <w:r w:rsidR="0050226F" w:rsidRPr="0050226F">
        <w:t xml:space="preserve"> </w:t>
      </w:r>
    </w:p>
    <w:p w14:paraId="69C4DD9F" w14:textId="044AE20F" w:rsidR="0051725B" w:rsidRPr="0068493A" w:rsidRDefault="0051725B">
      <w:pPr>
        <w:rPr>
          <w:szCs w:val="24"/>
          <w:vertAlign w:val="superscript"/>
        </w:rPr>
      </w:pPr>
      <w:r w:rsidRPr="0068493A">
        <w:rPr>
          <w:color w:val="121212" w:themeColor="text1"/>
          <w:szCs w:val="24"/>
        </w:rPr>
        <w:t>Without the supporting disciplines of implementation</w:t>
      </w:r>
      <w:r w:rsidR="0085596D" w:rsidRPr="0068493A">
        <w:rPr>
          <w:color w:val="121212" w:themeColor="text1"/>
          <w:szCs w:val="24"/>
        </w:rPr>
        <w:t xml:space="preserve"> science</w:t>
      </w:r>
      <w:r w:rsidRPr="0068493A">
        <w:rPr>
          <w:color w:val="121212" w:themeColor="text1"/>
          <w:szCs w:val="24"/>
        </w:rPr>
        <w:t xml:space="preserve">, education, measurement and governance, </w:t>
      </w:r>
      <w:r w:rsidR="00D93A67">
        <w:rPr>
          <w:color w:val="121212" w:themeColor="text1"/>
          <w:szCs w:val="24"/>
        </w:rPr>
        <w:t>health services</w:t>
      </w:r>
      <w:r w:rsidR="001A5C67">
        <w:rPr>
          <w:color w:val="121212" w:themeColor="text1"/>
          <w:szCs w:val="24"/>
        </w:rPr>
        <w:t xml:space="preserve"> are unlikely to see </w:t>
      </w:r>
      <w:r w:rsidR="001A5C67" w:rsidRPr="0068493A">
        <w:rPr>
          <w:color w:val="121212" w:themeColor="text1"/>
          <w:szCs w:val="24"/>
        </w:rPr>
        <w:t xml:space="preserve">consistent or sustained </w:t>
      </w:r>
      <w:r w:rsidR="001A5C67">
        <w:rPr>
          <w:color w:val="121212" w:themeColor="text1"/>
          <w:szCs w:val="24"/>
        </w:rPr>
        <w:t xml:space="preserve">changes in </w:t>
      </w:r>
      <w:r w:rsidR="002C4D1E" w:rsidRPr="0068493A">
        <w:rPr>
          <w:color w:val="121212" w:themeColor="text1"/>
          <w:szCs w:val="24"/>
        </w:rPr>
        <w:t>culture</w:t>
      </w:r>
      <w:r w:rsidR="001A5C67">
        <w:rPr>
          <w:color w:val="121212" w:themeColor="text1"/>
          <w:szCs w:val="24"/>
        </w:rPr>
        <w:t xml:space="preserve"> and</w:t>
      </w:r>
      <w:r w:rsidR="00276320" w:rsidRPr="0068493A">
        <w:rPr>
          <w:color w:val="121212" w:themeColor="text1"/>
          <w:szCs w:val="24"/>
        </w:rPr>
        <w:t xml:space="preserve"> behaviour </w:t>
      </w:r>
      <w:r w:rsidR="00841CAA">
        <w:rPr>
          <w:color w:val="121212" w:themeColor="text1"/>
          <w:szCs w:val="24"/>
        </w:rPr>
        <w:t>or</w:t>
      </w:r>
      <w:r w:rsidR="00841CAA" w:rsidRPr="0068493A">
        <w:rPr>
          <w:color w:val="121212" w:themeColor="text1"/>
          <w:szCs w:val="24"/>
        </w:rPr>
        <w:t xml:space="preserve"> </w:t>
      </w:r>
      <w:r w:rsidRPr="0068493A">
        <w:rPr>
          <w:color w:val="121212" w:themeColor="text1"/>
          <w:szCs w:val="24"/>
        </w:rPr>
        <w:t>improvement</w:t>
      </w:r>
      <w:r w:rsidR="001A5C67">
        <w:rPr>
          <w:color w:val="121212" w:themeColor="text1"/>
          <w:szCs w:val="24"/>
        </w:rPr>
        <w:t>s</w:t>
      </w:r>
      <w:r w:rsidR="008622DF" w:rsidRPr="0068493A">
        <w:rPr>
          <w:color w:val="121212" w:themeColor="text1"/>
          <w:szCs w:val="24"/>
        </w:rPr>
        <w:t xml:space="preserve"> in </w:t>
      </w:r>
      <w:r w:rsidR="00B9741F" w:rsidRPr="0068493A">
        <w:rPr>
          <w:color w:val="121212" w:themeColor="text1"/>
          <w:szCs w:val="24"/>
        </w:rPr>
        <w:t xml:space="preserve">early </w:t>
      </w:r>
      <w:r w:rsidR="008622DF" w:rsidRPr="0068493A">
        <w:rPr>
          <w:color w:val="121212" w:themeColor="text1"/>
          <w:szCs w:val="24"/>
        </w:rPr>
        <w:t>recognition and</w:t>
      </w:r>
      <w:r w:rsidR="00B9741F" w:rsidRPr="0068493A">
        <w:rPr>
          <w:color w:val="121212" w:themeColor="text1"/>
          <w:szCs w:val="24"/>
        </w:rPr>
        <w:t xml:space="preserve"> timely care</w:t>
      </w:r>
      <w:r w:rsidRPr="0068493A">
        <w:rPr>
          <w:szCs w:val="24"/>
        </w:rPr>
        <w:t>.</w:t>
      </w:r>
    </w:p>
    <w:p w14:paraId="277D2F27" w14:textId="7CB418C5" w:rsidR="0064514E" w:rsidRPr="0068493A" w:rsidRDefault="0001010A" w:rsidP="0064514E">
      <w:pPr>
        <w:rPr>
          <w:kern w:val="2"/>
          <w:szCs w:val="24"/>
          <w:lang w:eastAsia="en-NZ"/>
          <w14:ligatures w14:val="standardContextual"/>
        </w:rPr>
      </w:pPr>
      <w:r w:rsidRPr="0068493A">
        <w:rPr>
          <w:color w:val="121212" w:themeColor="text1"/>
          <w:szCs w:val="24"/>
        </w:rPr>
        <w:t>A systems approach require</w:t>
      </w:r>
      <w:r w:rsidR="00BE515D">
        <w:rPr>
          <w:color w:val="121212" w:themeColor="text1"/>
          <w:szCs w:val="24"/>
        </w:rPr>
        <w:t>s</w:t>
      </w:r>
      <w:r w:rsidR="00862DEE" w:rsidRPr="0068493A">
        <w:rPr>
          <w:color w:val="121212" w:themeColor="text1"/>
          <w:szCs w:val="24"/>
        </w:rPr>
        <w:t xml:space="preserve"> </w:t>
      </w:r>
      <w:r w:rsidR="00BE515D" w:rsidRPr="0068493A">
        <w:rPr>
          <w:color w:val="121212" w:themeColor="text1"/>
          <w:szCs w:val="24"/>
        </w:rPr>
        <w:t xml:space="preserve">the </w:t>
      </w:r>
      <w:r w:rsidR="00BE515D">
        <w:rPr>
          <w:color w:val="121212" w:themeColor="text1"/>
          <w:szCs w:val="24"/>
        </w:rPr>
        <w:t xml:space="preserve">health </w:t>
      </w:r>
      <w:r w:rsidR="00BE515D" w:rsidRPr="0068493A">
        <w:rPr>
          <w:color w:val="121212" w:themeColor="text1"/>
          <w:szCs w:val="24"/>
        </w:rPr>
        <w:t xml:space="preserve">system </w:t>
      </w:r>
      <w:r w:rsidR="00BE515D">
        <w:rPr>
          <w:color w:val="121212" w:themeColor="text1"/>
          <w:szCs w:val="24"/>
        </w:rPr>
        <w:t xml:space="preserve">to address </w:t>
      </w:r>
      <w:r w:rsidR="00862DEE" w:rsidRPr="0068493A">
        <w:rPr>
          <w:color w:val="121212" w:themeColor="text1"/>
          <w:szCs w:val="24"/>
        </w:rPr>
        <w:t xml:space="preserve">various challenges </w:t>
      </w:r>
      <w:r w:rsidR="00C91371" w:rsidRPr="0068493A">
        <w:rPr>
          <w:color w:val="121212" w:themeColor="text1"/>
          <w:szCs w:val="24"/>
        </w:rPr>
        <w:t>to</w:t>
      </w:r>
      <w:r w:rsidR="0064514E" w:rsidRPr="0068493A">
        <w:rPr>
          <w:color w:val="121212" w:themeColor="text1"/>
          <w:szCs w:val="24"/>
        </w:rPr>
        <w:t xml:space="preserve"> achieve the desired outcomes. </w:t>
      </w:r>
      <w:r w:rsidR="00020386" w:rsidRPr="0068493A">
        <w:rPr>
          <w:kern w:val="2"/>
          <w:szCs w:val="24"/>
          <w:lang w:eastAsia="en-NZ"/>
          <w14:ligatures w14:val="standardContextual"/>
        </w:rPr>
        <w:t>I</w:t>
      </w:r>
      <w:r w:rsidR="0064514E" w:rsidRPr="0068493A">
        <w:rPr>
          <w:kern w:val="2"/>
          <w:szCs w:val="24"/>
          <w:lang w:eastAsia="en-NZ"/>
          <w14:ligatures w14:val="standardContextual"/>
        </w:rPr>
        <w:t>mplementation science</w:t>
      </w:r>
      <w:r w:rsidR="00020386" w:rsidRPr="0068493A">
        <w:rPr>
          <w:kern w:val="2"/>
          <w:szCs w:val="24"/>
          <w:lang w:eastAsia="en-NZ"/>
          <w14:ligatures w14:val="standardContextual"/>
        </w:rPr>
        <w:t xml:space="preserve"> frameworks such as CFIR2.0</w:t>
      </w:r>
      <w:r w:rsidR="001A5C67">
        <w:rPr>
          <w:kern w:val="2"/>
          <w:szCs w:val="24"/>
          <w:lang w:eastAsia="en-NZ"/>
          <w14:ligatures w14:val="standardContextual"/>
        </w:rPr>
        <w:t xml:space="preserve"> </w:t>
      </w:r>
      <w:r w:rsidR="001A5C67">
        <w:rPr>
          <w:color w:val="121212" w:themeColor="text1"/>
          <w:szCs w:val="24"/>
        </w:rPr>
        <w:t>(</w:t>
      </w:r>
      <w:r w:rsidR="001A5C67">
        <w:t xml:space="preserve">Consolidated Framework for Implementation Research 2022) </w:t>
      </w:r>
      <w:r w:rsidR="0064514E" w:rsidRPr="0068493A">
        <w:rPr>
          <w:kern w:val="2"/>
          <w:szCs w:val="24"/>
          <w:lang w:eastAsia="en-NZ"/>
          <w14:ligatures w14:val="standardContextual"/>
        </w:rPr>
        <w:t>and improvement science also support this approach</w:t>
      </w:r>
      <w:r w:rsidR="008A5C41" w:rsidRPr="0068493A">
        <w:rPr>
          <w:kern w:val="2"/>
          <w:szCs w:val="24"/>
          <w:lang w:eastAsia="en-NZ"/>
          <w14:ligatures w14:val="standardContextual"/>
        </w:rPr>
        <w:t xml:space="preserve"> </w:t>
      </w:r>
      <w:r w:rsidR="00572DFF">
        <w:rPr>
          <w:kern w:val="2"/>
          <w:szCs w:val="24"/>
          <w:lang w:eastAsia="en-NZ"/>
          <w14:ligatures w14:val="standardContextual"/>
        </w:rPr>
        <w:t>to</w:t>
      </w:r>
      <w:r w:rsidR="008A5C41" w:rsidRPr="0068493A">
        <w:rPr>
          <w:kern w:val="2"/>
          <w:szCs w:val="24"/>
          <w:lang w:eastAsia="en-NZ"/>
          <w14:ligatures w14:val="standardContextual"/>
        </w:rPr>
        <w:t xml:space="preserve"> successful</w:t>
      </w:r>
      <w:r w:rsidR="00572DFF">
        <w:rPr>
          <w:kern w:val="2"/>
          <w:szCs w:val="24"/>
          <w:lang w:eastAsia="en-NZ"/>
          <w14:ligatures w14:val="standardContextual"/>
        </w:rPr>
        <w:t>ly</w:t>
      </w:r>
      <w:r w:rsidR="008A5C41" w:rsidRPr="0068493A">
        <w:rPr>
          <w:kern w:val="2"/>
          <w:szCs w:val="24"/>
          <w:lang w:eastAsia="en-NZ"/>
          <w14:ligatures w14:val="standardContextual"/>
        </w:rPr>
        <w:t xml:space="preserve"> implement</w:t>
      </w:r>
      <w:r w:rsidR="00572DFF">
        <w:rPr>
          <w:kern w:val="2"/>
          <w:szCs w:val="24"/>
          <w:lang w:eastAsia="en-NZ"/>
          <w14:ligatures w14:val="standardContextual"/>
        </w:rPr>
        <w:t xml:space="preserve"> </w:t>
      </w:r>
      <w:r w:rsidR="00D65851">
        <w:rPr>
          <w:kern w:val="2"/>
          <w:szCs w:val="24"/>
          <w:lang w:eastAsia="en-NZ"/>
          <w14:ligatures w14:val="standardContextual"/>
        </w:rPr>
        <w:t>the full sepsis package</w:t>
      </w:r>
      <w:r w:rsidR="008A5C41" w:rsidRPr="0068493A">
        <w:rPr>
          <w:kern w:val="2"/>
          <w:szCs w:val="24"/>
          <w:lang w:eastAsia="en-NZ"/>
          <w14:ligatures w14:val="standardContextual"/>
        </w:rPr>
        <w:t xml:space="preserve">. </w:t>
      </w:r>
    </w:p>
    <w:p w14:paraId="0602B4B7" w14:textId="08A86083" w:rsidR="002B1D2A" w:rsidRPr="0068493A" w:rsidRDefault="00822568" w:rsidP="002B1D2A">
      <w:pPr>
        <w:rPr>
          <w:kern w:val="2"/>
          <w:szCs w:val="24"/>
          <w:lang w:eastAsia="en-NZ"/>
          <w14:ligatures w14:val="standardContextual"/>
        </w:rPr>
      </w:pPr>
      <w:r w:rsidRPr="0068493A">
        <w:rPr>
          <w:kern w:val="2"/>
          <w:szCs w:val="24"/>
          <w:lang w:eastAsia="en-NZ"/>
          <w14:ligatures w14:val="standardContextual"/>
        </w:rPr>
        <w:t>A systematic review</w:t>
      </w:r>
      <w:r w:rsidR="0014592C" w:rsidRPr="0068493A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>and meta-analysis</w:t>
      </w:r>
      <w:r w:rsidR="00D60880" w:rsidRPr="0068493A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 xml:space="preserve">of 35 </w:t>
      </w:r>
      <w:r w:rsidR="00AE585D">
        <w:rPr>
          <w:kern w:val="2"/>
          <w:szCs w:val="24"/>
          <w:lang w:eastAsia="en-NZ"/>
          <w14:ligatures w14:val="standardContextual"/>
        </w:rPr>
        <w:t xml:space="preserve">international </w:t>
      </w:r>
      <w:r w:rsidRPr="0068493A">
        <w:rPr>
          <w:kern w:val="2"/>
          <w:szCs w:val="24"/>
          <w:lang w:eastAsia="en-NZ"/>
          <w14:ligatures w14:val="standardContextual"/>
        </w:rPr>
        <w:t>health</w:t>
      </w:r>
      <w:r w:rsidR="0050226F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>care studies found that system approaches were associated with significant improvements in both patient and service outcomes</w:t>
      </w:r>
      <w:r w:rsidR="00BE515D">
        <w:rPr>
          <w:kern w:val="2"/>
          <w:szCs w:val="24"/>
          <w:lang w:eastAsia="en-NZ"/>
          <w14:ligatures w14:val="standardContextual"/>
        </w:rPr>
        <w:t xml:space="preserve"> (Komashie et al 2021)</w:t>
      </w:r>
      <w:r w:rsidRPr="0068493A">
        <w:rPr>
          <w:kern w:val="2"/>
          <w:szCs w:val="24"/>
          <w:lang w:eastAsia="en-NZ"/>
          <w14:ligatures w14:val="standardContextual"/>
        </w:rPr>
        <w:t>.</w:t>
      </w:r>
      <w:r w:rsidR="0014592C" w:rsidRPr="0068493A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>The review concluded that health</w:t>
      </w:r>
      <w:r w:rsidR="00BE515D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>care improvement is most effective when it addresses interacting system components rather than isolated interventions. Common success factors included multidisciplinary collaboration, stakeholder engagement, communication and attention to organi</w:t>
      </w:r>
      <w:r w:rsidR="00AE585D">
        <w:rPr>
          <w:kern w:val="2"/>
          <w:szCs w:val="24"/>
          <w:lang w:eastAsia="en-NZ"/>
          <w14:ligatures w14:val="standardContextual"/>
        </w:rPr>
        <w:t>s</w:t>
      </w:r>
      <w:r w:rsidRPr="0068493A">
        <w:rPr>
          <w:kern w:val="2"/>
          <w:szCs w:val="24"/>
          <w:lang w:eastAsia="en-NZ"/>
          <w14:ligatures w14:val="standardContextual"/>
        </w:rPr>
        <w:t>ational</w:t>
      </w:r>
      <w:r w:rsidR="003B204E" w:rsidRPr="0068493A">
        <w:rPr>
          <w:kern w:val="2"/>
          <w:szCs w:val="24"/>
          <w:lang w:eastAsia="en-NZ"/>
          <w14:ligatures w14:val="standardContextual"/>
        </w:rPr>
        <w:t xml:space="preserve"> processes.</w:t>
      </w:r>
    </w:p>
    <w:p w14:paraId="73E7871C" w14:textId="2F67A191" w:rsidR="00FF0D4C" w:rsidRPr="0068493A" w:rsidRDefault="00FF0D4C">
      <w:pPr>
        <w:rPr>
          <w:kern w:val="2"/>
          <w:szCs w:val="24"/>
          <w:lang w:eastAsia="en-NZ"/>
          <w14:ligatures w14:val="standardContextual"/>
        </w:rPr>
      </w:pPr>
      <w:r w:rsidRPr="0068493A">
        <w:rPr>
          <w:kern w:val="2"/>
          <w:szCs w:val="24"/>
          <w:lang w:eastAsia="en-NZ"/>
          <w14:ligatures w14:val="standardContextual"/>
        </w:rPr>
        <w:t>Without a broader systems approach, implementation is often characterised by variable uptake, inconsistent decision-making, limited performance monitoring and declining adherence over time</w:t>
      </w:r>
      <w:r w:rsidR="00D93A67">
        <w:rPr>
          <w:kern w:val="2"/>
          <w:szCs w:val="24"/>
          <w:lang w:eastAsia="en-NZ"/>
          <w14:ligatures w14:val="standardContextual"/>
        </w:rPr>
        <w:t xml:space="preserve"> (Komashie et al 2021; Institute for Healthcare Improvement 2003)</w:t>
      </w:r>
      <w:r w:rsidRPr="0068493A">
        <w:rPr>
          <w:kern w:val="2"/>
          <w:szCs w:val="24"/>
          <w:lang w:eastAsia="en-NZ"/>
          <w14:ligatures w14:val="standardContextual"/>
        </w:rPr>
        <w:t>.</w:t>
      </w:r>
      <w:r w:rsidR="002A5CA1" w:rsidRPr="0068493A">
        <w:rPr>
          <w:rStyle w:val="FootnoteReference"/>
          <w:szCs w:val="24"/>
        </w:rPr>
        <w:t xml:space="preserve"> </w:t>
      </w:r>
    </w:p>
    <w:p w14:paraId="78852170" w14:textId="11B7D1AE" w:rsidR="000F363A" w:rsidRPr="0068493A" w:rsidRDefault="000F363A" w:rsidP="000F363A">
      <w:pPr>
        <w:rPr>
          <w:kern w:val="2"/>
          <w:szCs w:val="24"/>
          <w:lang w:eastAsia="en-NZ"/>
          <w14:ligatures w14:val="standardContextual"/>
        </w:rPr>
      </w:pPr>
      <w:r w:rsidRPr="0068493A">
        <w:rPr>
          <w:kern w:val="2"/>
          <w:szCs w:val="24"/>
          <w:lang w:eastAsia="en-NZ"/>
          <w14:ligatures w14:val="standardContextual"/>
        </w:rPr>
        <w:t>These limitations are reflected in the experience of Australia's SEPSIS KILLS program, one of the country's most successful quality improvement initiatives. Introduced in New South Wales in 2011, SEPSIS KILLS</w:t>
      </w:r>
      <w:r w:rsidR="00017B09" w:rsidRPr="0068493A">
        <w:rPr>
          <w:kern w:val="2"/>
          <w:szCs w:val="24"/>
          <w:lang w:eastAsia="en-NZ"/>
          <w14:ligatures w14:val="standardContextual"/>
        </w:rPr>
        <w:t xml:space="preserve"> </w:t>
      </w:r>
      <w:r w:rsidRPr="0068493A">
        <w:rPr>
          <w:kern w:val="2"/>
          <w:szCs w:val="24"/>
          <w:lang w:eastAsia="en-NZ"/>
          <w14:ligatures w14:val="standardContextual"/>
        </w:rPr>
        <w:t xml:space="preserve">demonstrated that improvements in sepsis outcomes were achieved not through clinical pathways alone but through a comprehensive systems-based approach incorporating five interdependent elements, including governance, education, clinical tools, escalation systems and ongoing measurement and evaluation. The </w:t>
      </w:r>
      <w:r w:rsidR="007F633B" w:rsidRPr="0068493A">
        <w:rPr>
          <w:kern w:val="2"/>
          <w:szCs w:val="24"/>
          <w:lang w:eastAsia="en-NZ"/>
          <w14:ligatures w14:val="standardContextual"/>
        </w:rPr>
        <w:t>program</w:t>
      </w:r>
      <w:r w:rsidR="007F633B">
        <w:rPr>
          <w:kern w:val="2"/>
          <w:szCs w:val="24"/>
          <w:lang w:eastAsia="en-NZ"/>
          <w14:ligatures w14:val="standardContextual"/>
        </w:rPr>
        <w:t>’</w:t>
      </w:r>
      <w:r w:rsidR="007F633B" w:rsidRPr="0068493A">
        <w:rPr>
          <w:kern w:val="2"/>
          <w:szCs w:val="24"/>
          <w:lang w:eastAsia="en-NZ"/>
          <w14:ligatures w14:val="standardContextual"/>
        </w:rPr>
        <w:t xml:space="preserve">s </w:t>
      </w:r>
      <w:r w:rsidRPr="0068493A">
        <w:rPr>
          <w:kern w:val="2"/>
          <w:szCs w:val="24"/>
          <w:lang w:eastAsia="en-NZ"/>
          <w14:ligatures w14:val="standardContextual"/>
        </w:rPr>
        <w:t>success</w:t>
      </w:r>
      <w:r w:rsidR="00F62874" w:rsidRPr="0068493A">
        <w:rPr>
          <w:kern w:val="2"/>
          <w:szCs w:val="24"/>
          <w:lang w:eastAsia="en-NZ"/>
          <w14:ligatures w14:val="standardContextual"/>
        </w:rPr>
        <w:t xml:space="preserve"> was</w:t>
      </w:r>
      <w:r w:rsidRPr="0068493A">
        <w:rPr>
          <w:kern w:val="2"/>
          <w:szCs w:val="24"/>
          <w:lang w:eastAsia="en-NZ"/>
          <w14:ligatures w14:val="standardContextual"/>
        </w:rPr>
        <w:t xml:space="preserve"> recognised internationally with a Global Sepsis Award</w:t>
      </w:r>
      <w:r w:rsidR="007F633B">
        <w:rPr>
          <w:kern w:val="2"/>
          <w:szCs w:val="24"/>
          <w:lang w:eastAsia="en-NZ"/>
          <w14:ligatures w14:val="standardContextual"/>
        </w:rPr>
        <w:t xml:space="preserve"> (Clinical Excellence Commission nd)</w:t>
      </w:r>
      <w:r w:rsidRPr="0068493A">
        <w:rPr>
          <w:kern w:val="2"/>
          <w:szCs w:val="24"/>
          <w:lang w:eastAsia="en-NZ"/>
          <w14:ligatures w14:val="standardContextual"/>
        </w:rPr>
        <w:t xml:space="preserve">. </w:t>
      </w:r>
    </w:p>
    <w:p w14:paraId="7700ADF8" w14:textId="2148D729" w:rsidR="000C3D74" w:rsidRPr="0068493A" w:rsidRDefault="005A5D9C" w:rsidP="000C3D74">
      <w:pPr>
        <w:pStyle w:val="HQSCbodytext"/>
        <w:rPr>
          <w:rFonts w:cstheme="minorBidi"/>
          <w:b/>
          <w:szCs w:val="24"/>
          <w:lang w:eastAsia="en-NZ"/>
        </w:rPr>
      </w:pPr>
      <w:r w:rsidRPr="0068493A">
        <w:rPr>
          <w:szCs w:val="24"/>
          <w:lang w:eastAsia="en-NZ"/>
        </w:rPr>
        <w:lastRenderedPageBreak/>
        <w:t>I</w:t>
      </w:r>
      <w:r w:rsidR="00FF0D4C" w:rsidRPr="0068493A">
        <w:rPr>
          <w:szCs w:val="24"/>
          <w:lang w:eastAsia="en-NZ"/>
        </w:rPr>
        <w:t>ts success informed the Australian Commission on Safety and Quality in Health Care's National Sepsis Program, Sepsis Clinical Care Standard and Better Care Everywhere</w:t>
      </w:r>
      <w:r w:rsidRPr="0068493A">
        <w:rPr>
          <w:rStyle w:val="FootnoteReference"/>
          <w:kern w:val="2"/>
          <w:szCs w:val="24"/>
          <w:lang w:eastAsia="en-NZ"/>
          <w14:ligatures w14:val="standardContextual"/>
        </w:rPr>
        <w:footnoteReference w:id="1"/>
      </w:r>
      <w:r w:rsidR="000A35C7" w:rsidRPr="0068493A">
        <w:rPr>
          <w:szCs w:val="24"/>
          <w:lang w:eastAsia="en-NZ"/>
        </w:rPr>
        <w:t xml:space="preserve"> </w:t>
      </w:r>
      <w:r w:rsidR="00FF0D4C" w:rsidRPr="0068493A">
        <w:rPr>
          <w:szCs w:val="24"/>
          <w:lang w:eastAsia="en-NZ"/>
        </w:rPr>
        <w:t>initiative, all of which emphasise that improving sepsis outcomes requires coordinated action</w:t>
      </w:r>
      <w:r w:rsidR="00FF0D4C" w:rsidRPr="00FF0D4C">
        <w:rPr>
          <w:lang w:eastAsia="en-NZ"/>
        </w:rPr>
        <w:t xml:space="preserve"> </w:t>
      </w:r>
      <w:r w:rsidR="00FF0D4C" w:rsidRPr="0068493A">
        <w:rPr>
          <w:szCs w:val="24"/>
          <w:lang w:eastAsia="en-NZ"/>
        </w:rPr>
        <w:t xml:space="preserve">across clinical governance, measurement, workforce capability, care standards and collaboration. </w:t>
      </w:r>
    </w:p>
    <w:p w14:paraId="7478C817" w14:textId="5DB94E33" w:rsidR="007D7B9E" w:rsidRPr="00BD74DD" w:rsidRDefault="007D7B9E" w:rsidP="002829D9">
      <w:pPr>
        <w:pStyle w:val="HQSChead2"/>
      </w:pPr>
      <w:r w:rsidRPr="00BD74DD">
        <w:t xml:space="preserve">The </w:t>
      </w:r>
      <w:r w:rsidR="00353A81" w:rsidRPr="00BD74DD">
        <w:t>sepsis package: a system approach</w:t>
      </w:r>
    </w:p>
    <w:p w14:paraId="58A10FB1" w14:textId="706B6458" w:rsidR="007D7B9E" w:rsidRDefault="007D7B9E" w:rsidP="007D7B9E">
      <w:r>
        <w:t>The sepsis package comprises four interdependent components</w:t>
      </w:r>
      <w:r w:rsidR="00782155">
        <w:t xml:space="preserve">. </w:t>
      </w:r>
    </w:p>
    <w:p w14:paraId="35E3E486" w14:textId="7D55FCEB" w:rsidR="007D7B9E" w:rsidRPr="005B7754" w:rsidRDefault="00782155" w:rsidP="007D7B9E">
      <w:pPr>
        <w:numPr>
          <w:ilvl w:val="0"/>
          <w:numId w:val="20"/>
        </w:numPr>
      </w:pPr>
      <w:r>
        <w:t>G</w:t>
      </w:r>
      <w:r w:rsidR="007D7B9E" w:rsidRPr="005B7754">
        <w:t>overnance: advice on governance for sepsis in hospitals</w:t>
      </w:r>
    </w:p>
    <w:p w14:paraId="02C2BFC0" w14:textId="3C1416D7" w:rsidR="007D7B9E" w:rsidRPr="005B7754" w:rsidRDefault="00782155" w:rsidP="007D7B9E">
      <w:pPr>
        <w:numPr>
          <w:ilvl w:val="0"/>
          <w:numId w:val="20"/>
        </w:numPr>
      </w:pPr>
      <w:r>
        <w:t>C</w:t>
      </w:r>
      <w:r w:rsidR="007D7B9E" w:rsidRPr="005B7754">
        <w:t>linical tools and guides: sepsis pathway tools and associated clinical resources to guide practice</w:t>
      </w:r>
    </w:p>
    <w:p w14:paraId="0442DEC7" w14:textId="5AE782A7" w:rsidR="007D7B9E" w:rsidRDefault="00F504F9" w:rsidP="007D7B9E">
      <w:pPr>
        <w:numPr>
          <w:ilvl w:val="0"/>
          <w:numId w:val="20"/>
        </w:numPr>
      </w:pPr>
      <w:r>
        <w:t>E</w:t>
      </w:r>
      <w:r w:rsidR="007D7B9E" w:rsidRPr="005B7754">
        <w:t>ducational materials: resources to enhance staff knowledge, awareness and skills</w:t>
      </w:r>
      <w:r w:rsidR="007D7B9E">
        <w:t>; patient and whānau resources</w:t>
      </w:r>
    </w:p>
    <w:p w14:paraId="14692A5A" w14:textId="7E8C39D3" w:rsidR="007D7B9E" w:rsidRPr="005B7754" w:rsidRDefault="00F504F9" w:rsidP="007D7B9E">
      <w:pPr>
        <w:numPr>
          <w:ilvl w:val="0"/>
          <w:numId w:val="20"/>
        </w:numPr>
      </w:pPr>
      <w:r>
        <w:t>M</w:t>
      </w:r>
      <w:r w:rsidR="007D7B9E" w:rsidRPr="00B65F96">
        <w:t>easurement system: guidance on establishing an effective measurement system</w:t>
      </w:r>
      <w:r w:rsidR="00E549B8">
        <w:t xml:space="preserve"> (HQSC 2025)</w:t>
      </w:r>
      <w:r w:rsidR="007D7B9E">
        <w:t>.</w:t>
      </w:r>
    </w:p>
    <w:p w14:paraId="33551E47" w14:textId="34303B9E" w:rsidR="007D7B9E" w:rsidRPr="003E2F5F" w:rsidRDefault="00B0065E" w:rsidP="0068493A">
      <w:pPr>
        <w:rPr>
          <w:b/>
          <w:lang w:eastAsia="en-NZ"/>
        </w:rPr>
      </w:pPr>
      <w:r>
        <w:rPr>
          <w:lang w:eastAsia="en-NZ"/>
        </w:rPr>
        <w:t>These four components</w:t>
      </w:r>
      <w:r w:rsidR="007D7B9E" w:rsidRPr="003E2F5F">
        <w:rPr>
          <w:lang w:eastAsia="en-NZ"/>
        </w:rPr>
        <w:t xml:space="preserve"> create a condition for a high-reliability system that links standardised pathways, disciplined implementation, evidence-based clinical decision support, workforce capability, performance visibility, executive oversight and patient and whānau partnership.</w:t>
      </w:r>
    </w:p>
    <w:p w14:paraId="51BF8EAC" w14:textId="64094FE9" w:rsidR="00617D1B" w:rsidRDefault="00353A81">
      <w:pPr>
        <w:pStyle w:val="HQSChead2"/>
      </w:pPr>
      <w:r>
        <w:t>C</w:t>
      </w:r>
      <w:r w:rsidR="00617D1B" w:rsidRPr="00BD74DD">
        <w:t>omponent</w:t>
      </w:r>
      <w:r w:rsidR="0050226F">
        <w:t>s of the sepsis package</w:t>
      </w:r>
    </w:p>
    <w:tbl>
      <w:tblPr>
        <w:tblStyle w:val="GridTable4-Accent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90"/>
        <w:gridCol w:w="2894"/>
        <w:gridCol w:w="2359"/>
        <w:gridCol w:w="2080"/>
      </w:tblGrid>
      <w:tr w:rsidR="005251A3" w:rsidRPr="009748C7" w14:paraId="1DF46A51" w14:textId="77777777" w:rsidTr="00A70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4E9FF" w14:textId="1EF84F19" w:rsidR="005251A3" w:rsidRPr="009748C7" w:rsidRDefault="005251A3" w:rsidP="00D10DF4">
            <w:pPr>
              <w:rPr>
                <w:color w:val="auto"/>
              </w:rPr>
            </w:pPr>
            <w:r w:rsidRPr="009748C7">
              <w:rPr>
                <w:color w:val="auto"/>
              </w:rPr>
              <w:t xml:space="preserve">Component 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1DC71" w14:textId="77777777" w:rsidR="005251A3" w:rsidRPr="009748C7" w:rsidRDefault="005251A3" w:rsidP="00E35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748C7">
              <w:rPr>
                <w:color w:val="auto"/>
              </w:rPr>
              <w:t>Description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297D1" w14:textId="77777777" w:rsidR="005251A3" w:rsidRPr="009748C7" w:rsidRDefault="005251A3" w:rsidP="00E35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748C7">
              <w:rPr>
                <w:color w:val="auto"/>
              </w:rPr>
              <w:t>Importance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12AD" w14:textId="77777777" w:rsidR="005251A3" w:rsidRPr="009748C7" w:rsidRDefault="005251A3" w:rsidP="00E35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748C7">
              <w:rPr>
                <w:color w:val="auto"/>
              </w:rPr>
              <w:t>Limitation if absent / used alone</w:t>
            </w:r>
          </w:p>
        </w:tc>
      </w:tr>
      <w:tr w:rsidR="005251A3" w:rsidRPr="00FA5305" w14:paraId="33697E21" w14:textId="77777777" w:rsidTr="00B65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9F5561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t>1. Governance and leadership for sustaining change</w:t>
            </w:r>
          </w:p>
        </w:tc>
        <w:tc>
          <w:tcPr>
            <w:tcW w:w="29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9B4DAB" w14:textId="4CF3D550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Cs w:val="24"/>
                <w:lang w:eastAsia="en-NZ"/>
                <w14:ligatures w14:val="standardContextual"/>
              </w:rPr>
            </w:pPr>
            <w:r w:rsidRPr="00D76E35">
              <w:rPr>
                <w:szCs w:val="24"/>
              </w:rPr>
              <w:t>Governance provides oversight, ownership and strategic direction for sepsis improvement.</w:t>
            </w:r>
          </w:p>
          <w:p w14:paraId="73FF7462" w14:textId="77777777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0B695" w14:textId="0A595717" w:rsidR="005251A3" w:rsidRPr="00D76E35" w:rsidRDefault="001B3A44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Governance</w:t>
            </w:r>
            <w:r w:rsidRPr="00D76E35">
              <w:rPr>
                <w:szCs w:val="24"/>
              </w:rPr>
              <w:t xml:space="preserve"> </w:t>
            </w:r>
            <w:r w:rsidR="005251A3" w:rsidRPr="00D76E35">
              <w:rPr>
                <w:szCs w:val="24"/>
              </w:rPr>
              <w:t>aligns departments, prioritises resources, removes barriers and embeds sepsis improvement within organisational quality and safety systems.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094A05" w14:textId="313A1AD6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Accountability is weak, momentum is lost and improvement is unlikely to be sustained.</w:t>
            </w:r>
          </w:p>
        </w:tc>
      </w:tr>
      <w:tr w:rsidR="005251A3" w:rsidRPr="00FA5305" w14:paraId="52BE4361" w14:textId="77777777" w:rsidTr="00974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7118896F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t xml:space="preserve">2a. </w:t>
            </w:r>
            <w:commentRangeStart w:id="1"/>
            <w:r w:rsidRPr="00D76E35">
              <w:rPr>
                <w:szCs w:val="24"/>
              </w:rPr>
              <w:t>Clinical pathways and tools for standardising care</w:t>
            </w:r>
            <w:commentRangeEnd w:id="1"/>
            <w:r w:rsidRPr="00D76E35">
              <w:rPr>
                <w:rStyle w:val="CommentReference"/>
                <w:sz w:val="24"/>
                <w:szCs w:val="24"/>
              </w:rPr>
              <w:commentReference w:id="1"/>
            </w:r>
          </w:p>
        </w:tc>
        <w:tc>
          <w:tcPr>
            <w:tcW w:w="2973" w:type="dxa"/>
            <w:shd w:val="clear" w:color="auto" w:fill="FFFFFF" w:themeFill="background1"/>
          </w:tcPr>
          <w:p w14:paraId="555D522C" w14:textId="3EEE1711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4"/>
                <w:lang w:eastAsia="en-NZ"/>
                <w14:ligatures w14:val="standardContextual"/>
              </w:rPr>
            </w:pPr>
            <w:r w:rsidRPr="00D76E35">
              <w:rPr>
                <w:szCs w:val="24"/>
              </w:rPr>
              <w:t xml:space="preserve">Clinical pathways define the expected approach to recognising and managing sepsis. They provide clear, evidence-based direction on early warning signs, </w:t>
            </w:r>
            <w:r w:rsidRPr="00D76E35">
              <w:rPr>
                <w:szCs w:val="24"/>
              </w:rPr>
              <w:lastRenderedPageBreak/>
              <w:t>escalation triggers and time-critical treatment actions.</w:t>
            </w:r>
          </w:p>
        </w:tc>
        <w:tc>
          <w:tcPr>
            <w:tcW w:w="2410" w:type="dxa"/>
            <w:shd w:val="clear" w:color="auto" w:fill="FFFFFF" w:themeFill="background1"/>
          </w:tcPr>
          <w:p w14:paraId="78263CB8" w14:textId="6E00F83C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4"/>
                <w:lang w:eastAsia="en-NZ"/>
                <w14:ligatures w14:val="standardContextual"/>
              </w:rPr>
            </w:pPr>
            <w:r w:rsidRPr="00D76E35">
              <w:rPr>
                <w:szCs w:val="24"/>
              </w:rPr>
              <w:lastRenderedPageBreak/>
              <w:t xml:space="preserve">They reduce unwarranted variation, support rapid decision-making and promote consistency </w:t>
            </w:r>
            <w:r w:rsidRPr="00D76E35">
              <w:rPr>
                <w:szCs w:val="24"/>
              </w:rPr>
              <w:lastRenderedPageBreak/>
              <w:t>regardless of clinician experience or care setting.</w:t>
            </w:r>
          </w:p>
        </w:tc>
        <w:tc>
          <w:tcPr>
            <w:tcW w:w="2098" w:type="dxa"/>
            <w:shd w:val="clear" w:color="auto" w:fill="FFFFFF" w:themeFill="background1"/>
          </w:tcPr>
          <w:p w14:paraId="6DF45DC5" w14:textId="2232D9FC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lastRenderedPageBreak/>
              <w:t xml:space="preserve">Without training, reinforcement and oversight, pathways are unlikely to change </w:t>
            </w:r>
            <w:r w:rsidRPr="00D76E35">
              <w:rPr>
                <w:szCs w:val="24"/>
              </w:rPr>
              <w:lastRenderedPageBreak/>
              <w:t>behaviour consistently.</w:t>
            </w:r>
          </w:p>
        </w:tc>
      </w:tr>
      <w:tr w:rsidR="005251A3" w:rsidRPr="00FA5305" w14:paraId="52358AD8" w14:textId="77777777" w:rsidTr="00974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82BC0F8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lastRenderedPageBreak/>
              <w:t>2b. Sepsis implementation guide to support converting strategy into execution</w:t>
            </w:r>
          </w:p>
        </w:tc>
        <w:tc>
          <w:tcPr>
            <w:tcW w:w="2973" w:type="dxa"/>
            <w:shd w:val="clear" w:color="auto" w:fill="FFFFFF" w:themeFill="background1"/>
          </w:tcPr>
          <w:p w14:paraId="7196D709" w14:textId="19D9F6CE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The implementation guide is critical because it converts the sepsis package into an executable improvement programme. It provides the structure for local planning, clear accountabilities, staged roll</w:t>
            </w:r>
            <w:r w:rsidR="004E604A">
              <w:rPr>
                <w:szCs w:val="24"/>
              </w:rPr>
              <w:t>-</w:t>
            </w:r>
            <w:r w:rsidRPr="00D76E35">
              <w:rPr>
                <w:szCs w:val="24"/>
              </w:rPr>
              <w:t>out, governance, workforce engagement and monitoring</w:t>
            </w:r>
            <w:r w:rsidR="007F474E">
              <w:rPr>
                <w:szCs w:val="24"/>
              </w:rPr>
              <w:t xml:space="preserve">, </w:t>
            </w:r>
            <w:r w:rsidRPr="00D76E35">
              <w:rPr>
                <w:szCs w:val="24"/>
              </w:rPr>
              <w:t>ensuring adoption is deliberate, coordinated and sustainable.</w:t>
            </w:r>
          </w:p>
        </w:tc>
        <w:tc>
          <w:tcPr>
            <w:tcW w:w="2410" w:type="dxa"/>
            <w:shd w:val="clear" w:color="auto" w:fill="FFFFFF" w:themeFill="background1"/>
          </w:tcPr>
          <w:p w14:paraId="42C47885" w14:textId="3CBF42E6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T</w:t>
            </w:r>
            <w:r w:rsidR="0002070D">
              <w:rPr>
                <w:szCs w:val="24"/>
              </w:rPr>
              <w:t>he guide t</w:t>
            </w:r>
            <w:r w:rsidRPr="00D76E35">
              <w:rPr>
                <w:szCs w:val="24"/>
              </w:rPr>
              <w:t xml:space="preserve">urns the </w:t>
            </w:r>
            <w:r w:rsidR="0002070D">
              <w:rPr>
                <w:szCs w:val="24"/>
              </w:rPr>
              <w:t xml:space="preserve">sepsis </w:t>
            </w:r>
            <w:r w:rsidRPr="00D76E35">
              <w:rPr>
                <w:szCs w:val="24"/>
              </w:rPr>
              <w:t>package into a coordinated, sustainable programme.</w:t>
            </w:r>
          </w:p>
        </w:tc>
        <w:tc>
          <w:tcPr>
            <w:tcW w:w="2098" w:type="dxa"/>
            <w:shd w:val="clear" w:color="auto" w:fill="FFFFFF" w:themeFill="background1"/>
          </w:tcPr>
          <w:p w14:paraId="065050B9" w14:textId="77777777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Implementation is fragmented and inconsistent.</w:t>
            </w:r>
          </w:p>
        </w:tc>
      </w:tr>
      <w:tr w:rsidR="005251A3" w:rsidRPr="00FA5305" w14:paraId="482FE302" w14:textId="77777777" w:rsidTr="00974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B1C5ECD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t>2c. Sepsis clinical management guide to drive consistent clinical decisions</w:t>
            </w:r>
          </w:p>
        </w:tc>
        <w:tc>
          <w:tcPr>
            <w:tcW w:w="2973" w:type="dxa"/>
            <w:shd w:val="clear" w:color="auto" w:fill="FFFFFF" w:themeFill="background1"/>
          </w:tcPr>
          <w:p w14:paraId="3A6DD29D" w14:textId="0F99ECCA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The clinical management guide is equally critical because it provides the evidence-based decision support that underpins safe, timely and consistent care. It supports recognition, risk stratification, escalation and treatment, giving clinicians a shared basis for decision-making across services and settings.</w:t>
            </w:r>
          </w:p>
        </w:tc>
        <w:tc>
          <w:tcPr>
            <w:tcW w:w="2410" w:type="dxa"/>
            <w:shd w:val="clear" w:color="auto" w:fill="FFFFFF" w:themeFill="background1"/>
          </w:tcPr>
          <w:p w14:paraId="2235997E" w14:textId="77777777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Enables consistent, evidence-based clinical decisions across teams and care settings.</w:t>
            </w:r>
          </w:p>
          <w:p w14:paraId="7D4E430C" w14:textId="77777777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14:paraId="3E6F201E" w14:textId="68531F59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Clinical decision-making can be more variable, increasing the risk of delayed recognition, inconsistent treatment and potential variation in care.</w:t>
            </w:r>
          </w:p>
        </w:tc>
      </w:tr>
      <w:tr w:rsidR="005251A3" w:rsidRPr="00FA5305" w14:paraId="1E97861D" w14:textId="77777777" w:rsidTr="00974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7024A1D5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t>3a. Education and training to enable reliable action</w:t>
            </w:r>
          </w:p>
        </w:tc>
        <w:tc>
          <w:tcPr>
            <w:tcW w:w="2973" w:type="dxa"/>
            <w:shd w:val="clear" w:color="auto" w:fill="FFFFFF" w:themeFill="background1"/>
          </w:tcPr>
          <w:p w14:paraId="5CC4E490" w14:textId="28628932" w:rsidR="005251A3" w:rsidRPr="00D76E35" w:rsidRDefault="005251A3" w:rsidP="00017D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Education ensures staff know when and how to apply the pathway. It builds confidence, reinforces time-critical actions and creates a shared mental model across teams.</w:t>
            </w:r>
          </w:p>
        </w:tc>
        <w:tc>
          <w:tcPr>
            <w:tcW w:w="2410" w:type="dxa"/>
            <w:shd w:val="clear" w:color="auto" w:fill="FFFFFF" w:themeFill="background1"/>
          </w:tcPr>
          <w:p w14:paraId="088152DD" w14:textId="00F6BCC0" w:rsidR="005251A3" w:rsidRPr="00D76E35" w:rsidRDefault="008E5DB9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Education</w:t>
            </w:r>
            <w:r w:rsidRPr="00D76E35">
              <w:rPr>
                <w:szCs w:val="24"/>
              </w:rPr>
              <w:t xml:space="preserve"> </w:t>
            </w:r>
            <w:r w:rsidR="005251A3" w:rsidRPr="00D76E35">
              <w:rPr>
                <w:szCs w:val="24"/>
              </w:rPr>
              <w:t>drives behaviour change, supports onboarding of new and rotating staff and sustains workforce capability over time.</w:t>
            </w:r>
          </w:p>
        </w:tc>
        <w:tc>
          <w:tcPr>
            <w:tcW w:w="2098" w:type="dxa"/>
            <w:shd w:val="clear" w:color="auto" w:fill="FFFFFF" w:themeFill="background1"/>
          </w:tcPr>
          <w:p w14:paraId="6454A700" w14:textId="77777777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Variation in knowledge and confidence leads to delayed recognition and treatment, even when pathways are in place.</w:t>
            </w:r>
          </w:p>
        </w:tc>
      </w:tr>
      <w:tr w:rsidR="005251A3" w:rsidRPr="00FA5305" w14:paraId="48A173DE" w14:textId="77777777" w:rsidTr="00974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3600DB94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t>3b. Patient and whānau resources to strengthen safety</w:t>
            </w:r>
          </w:p>
        </w:tc>
        <w:tc>
          <w:tcPr>
            <w:tcW w:w="2973" w:type="dxa"/>
            <w:shd w:val="clear" w:color="auto" w:fill="FFFFFF" w:themeFill="background1"/>
          </w:tcPr>
          <w:p w14:paraId="59F49CD3" w14:textId="77777777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4"/>
                <w:lang w:eastAsia="en-NZ"/>
                <w14:ligatures w14:val="standardContextual"/>
              </w:rPr>
            </w:pPr>
            <w:r w:rsidRPr="00D76E35">
              <w:rPr>
                <w:szCs w:val="24"/>
              </w:rPr>
              <w:t>Patient and whānau resources build awareness of sepsis signs and support early escalation of concern.</w:t>
            </w:r>
          </w:p>
          <w:p w14:paraId="18311F40" w14:textId="77777777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F889080" w14:textId="4010499D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Patients and whānau often recognise deterioration early; empowering them strengthens detection, engagement and equity.</w:t>
            </w:r>
          </w:p>
        </w:tc>
        <w:tc>
          <w:tcPr>
            <w:tcW w:w="2098" w:type="dxa"/>
            <w:shd w:val="clear" w:color="auto" w:fill="FFFFFF" w:themeFill="background1"/>
          </w:tcPr>
          <w:p w14:paraId="251C4576" w14:textId="77777777" w:rsidR="005251A3" w:rsidRPr="00D76E35" w:rsidRDefault="005251A3" w:rsidP="00E3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Opportunities for early recognition and escalation may be missed.</w:t>
            </w:r>
          </w:p>
        </w:tc>
      </w:tr>
      <w:tr w:rsidR="005251A3" w:rsidRPr="00FA5305" w14:paraId="5B980CEB" w14:textId="77777777" w:rsidTr="00974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74E6E7BB" w14:textId="77777777" w:rsidR="005251A3" w:rsidRPr="00D76E35" w:rsidRDefault="005251A3" w:rsidP="00E359B8">
            <w:pPr>
              <w:rPr>
                <w:szCs w:val="24"/>
              </w:rPr>
            </w:pPr>
            <w:r w:rsidRPr="00D76E35">
              <w:rPr>
                <w:szCs w:val="24"/>
              </w:rPr>
              <w:lastRenderedPageBreak/>
              <w:t>4. Measurement and audit to make performance visible</w:t>
            </w:r>
          </w:p>
        </w:tc>
        <w:tc>
          <w:tcPr>
            <w:tcW w:w="2973" w:type="dxa"/>
            <w:shd w:val="clear" w:color="auto" w:fill="FFFFFF" w:themeFill="background1"/>
          </w:tcPr>
          <w:p w14:paraId="2C0F6DBD" w14:textId="6CCAC2EB" w:rsidR="005251A3" w:rsidRPr="00D76E35" w:rsidRDefault="005251A3" w:rsidP="00407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Measurement systems track core process and outcome indicators</w:t>
            </w:r>
            <w:r w:rsidR="002D6191">
              <w:rPr>
                <w:szCs w:val="24"/>
              </w:rPr>
              <w:t>,</w:t>
            </w:r>
            <w:r w:rsidRPr="00D76E35">
              <w:rPr>
                <w:szCs w:val="24"/>
              </w:rPr>
              <w:t xml:space="preserve"> such as time to antibiotics, escalation compliance, mortality and length of stay.</w:t>
            </w:r>
          </w:p>
        </w:tc>
        <w:tc>
          <w:tcPr>
            <w:tcW w:w="2410" w:type="dxa"/>
            <w:shd w:val="clear" w:color="auto" w:fill="FFFFFF" w:themeFill="background1"/>
          </w:tcPr>
          <w:p w14:paraId="66F1C51F" w14:textId="67652399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Measurement makes performance visible, identifies gaps, enables continuous improvement and strengthens accountability.</w:t>
            </w:r>
          </w:p>
        </w:tc>
        <w:tc>
          <w:tcPr>
            <w:tcW w:w="2098" w:type="dxa"/>
            <w:shd w:val="clear" w:color="auto" w:fill="FFFFFF" w:themeFill="background1"/>
          </w:tcPr>
          <w:p w14:paraId="642431D1" w14:textId="6E020B93" w:rsidR="005251A3" w:rsidRPr="00D76E35" w:rsidRDefault="005251A3" w:rsidP="00E35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76E35">
              <w:rPr>
                <w:szCs w:val="24"/>
              </w:rPr>
              <w:t>Organisations cannot assess whether care is improving, where variation sits or where intervention is required.</w:t>
            </w:r>
          </w:p>
        </w:tc>
      </w:tr>
    </w:tbl>
    <w:p w14:paraId="6ED286D7" w14:textId="67B413A9" w:rsidR="00617D1B" w:rsidRPr="006D1F9C" w:rsidRDefault="000A368E" w:rsidP="002829D9">
      <w:pPr>
        <w:pStyle w:val="HQSChead2"/>
      </w:pPr>
      <w:r>
        <w:t>I</w:t>
      </w:r>
      <w:r w:rsidR="00617D1B" w:rsidRPr="006D1F9C">
        <w:t>mplications</w:t>
      </w:r>
      <w:r>
        <w:t xml:space="preserve"> for leaders</w:t>
      </w:r>
    </w:p>
    <w:p w14:paraId="33AAC83C" w14:textId="6994E913" w:rsidR="00D318FF" w:rsidRDefault="0051725B">
      <w:r>
        <w:t xml:space="preserve">Leaders </w:t>
      </w:r>
      <w:r w:rsidR="00081FFE">
        <w:t>must actively support</w:t>
      </w:r>
      <w:r w:rsidR="0009632A">
        <w:t xml:space="preserve"> implementation of</w:t>
      </w:r>
      <w:r w:rsidR="00AB5959">
        <w:t xml:space="preserve"> the</w:t>
      </w:r>
      <w:r w:rsidR="0009632A">
        <w:t xml:space="preserve"> </w:t>
      </w:r>
      <w:r>
        <w:t xml:space="preserve">full </w:t>
      </w:r>
      <w:r w:rsidR="00FE7317">
        <w:t xml:space="preserve">sepsis </w:t>
      </w:r>
      <w:r>
        <w:t>package</w:t>
      </w:r>
      <w:r w:rsidR="001E1096">
        <w:t xml:space="preserve"> </w:t>
      </w:r>
      <w:r w:rsidR="00406209">
        <w:t>through</w:t>
      </w:r>
      <w:r w:rsidR="00A02E7A">
        <w:t xml:space="preserve"> governance and accountability, invest</w:t>
      </w:r>
      <w:r w:rsidR="001E1096">
        <w:t>ing</w:t>
      </w:r>
      <w:r w:rsidR="00A02E7A">
        <w:t xml:space="preserve"> in workforce</w:t>
      </w:r>
      <w:r w:rsidR="00A02E7A" w:rsidRPr="00A02E7A">
        <w:t xml:space="preserve"> </w:t>
      </w:r>
      <w:r w:rsidR="00A02E7A">
        <w:t>capability and measurement infrastructure and integrat</w:t>
      </w:r>
      <w:r w:rsidR="001E1096">
        <w:t>ing</w:t>
      </w:r>
      <w:r w:rsidR="00A02E7A">
        <w:t xml:space="preserve"> sepsis</w:t>
      </w:r>
      <w:r w:rsidR="001E1096">
        <w:t xml:space="preserve"> improvement</w:t>
      </w:r>
      <w:r w:rsidR="00A02E7A">
        <w:t xml:space="preserve"> into organisational quality and safety systems.</w:t>
      </w:r>
      <w:r>
        <w:t xml:space="preserve"> </w:t>
      </w:r>
    </w:p>
    <w:p w14:paraId="6E8FDE6C" w14:textId="112BC52E" w:rsidR="0061110D" w:rsidRDefault="001A5C67" w:rsidP="002829D9">
      <w:pPr>
        <w:pStyle w:val="HQSChead2"/>
      </w:pPr>
      <w:r>
        <w:t>References</w:t>
      </w:r>
    </w:p>
    <w:p w14:paraId="30676E34" w14:textId="11F6129A" w:rsidR="000261F2" w:rsidRPr="00013622" w:rsidRDefault="000261F2" w:rsidP="000261F2">
      <w:pPr>
        <w:rPr>
          <w:szCs w:val="24"/>
        </w:rPr>
      </w:pPr>
      <w:r w:rsidRPr="00013622">
        <w:rPr>
          <w:szCs w:val="24"/>
        </w:rPr>
        <w:t xml:space="preserve">CDC. 2023 </w:t>
      </w:r>
      <w:r w:rsidRPr="00013622">
        <w:rPr>
          <w:i/>
          <w:iCs/>
          <w:szCs w:val="24"/>
        </w:rPr>
        <w:t>Hospital Sepsis Program Core Elements.</w:t>
      </w:r>
      <w:r w:rsidRPr="00013622">
        <w:rPr>
          <w:szCs w:val="24"/>
        </w:rPr>
        <w:t xml:space="preserve"> Atlanta, GA: US Department of Health and Human Services, Centers for Disease Control and Prevention (CDC). URL: cdc.gov/sepsis/core-elements.html </w:t>
      </w:r>
    </w:p>
    <w:p w14:paraId="61657189" w14:textId="39DE9569" w:rsidR="007F633B" w:rsidRPr="00013622" w:rsidRDefault="007F633B" w:rsidP="00BE515D">
      <w:pPr>
        <w:rPr>
          <w:szCs w:val="24"/>
        </w:rPr>
      </w:pPr>
      <w:r w:rsidRPr="00013622">
        <w:rPr>
          <w:szCs w:val="24"/>
        </w:rPr>
        <w:t>Clinical Excellence Commission. nd. SEPSIS KILLS program. NSW Government. URL:  (accessed 7 July 2026).</w:t>
      </w:r>
    </w:p>
    <w:p w14:paraId="12F4E5B3" w14:textId="4BB45D20" w:rsidR="00AE585D" w:rsidRPr="00013622" w:rsidRDefault="001A5C67" w:rsidP="00BE515D">
      <w:pPr>
        <w:rPr>
          <w:szCs w:val="24"/>
        </w:rPr>
      </w:pPr>
      <w:r w:rsidRPr="00013622">
        <w:rPr>
          <w:szCs w:val="24"/>
        </w:rPr>
        <w:t xml:space="preserve">Consolidated Framework for Implementation Research. 2022. URL: </w:t>
      </w:r>
      <w:hyperlink r:id="rId17" w:history="1">
        <w:r w:rsidR="00AE585D" w:rsidRPr="00013622">
          <w:rPr>
            <w:rStyle w:val="Hyperlink"/>
            <w:szCs w:val="24"/>
          </w:rPr>
          <w:t>https://cfirguide.org</w:t>
        </w:r>
      </w:hyperlink>
    </w:p>
    <w:p w14:paraId="0EC6F9E4" w14:textId="38634B23" w:rsidR="00D93A67" w:rsidRPr="00013622" w:rsidRDefault="00D93A67" w:rsidP="00D93A67">
      <w:pPr>
        <w:rPr>
          <w:szCs w:val="24"/>
        </w:rPr>
      </w:pPr>
      <w:r w:rsidRPr="00013622">
        <w:rPr>
          <w:szCs w:val="24"/>
        </w:rPr>
        <w:t>Hayes JF</w:t>
      </w:r>
      <w:r w:rsidR="0077154E" w:rsidRPr="00013622">
        <w:rPr>
          <w:szCs w:val="24"/>
        </w:rPr>
        <w:t>, Frank HE, Littlewood A,</w:t>
      </w:r>
      <w:r w:rsidRPr="00013622">
        <w:rPr>
          <w:szCs w:val="24"/>
        </w:rPr>
        <w:t xml:space="preserve"> et al. 2026. From feedback to action: a process evaluation of implementation strategies for sepsis bundles in emergency departments. </w:t>
      </w:r>
      <w:r w:rsidRPr="00013622">
        <w:rPr>
          <w:i/>
          <w:iCs/>
          <w:szCs w:val="24"/>
        </w:rPr>
        <w:t>Frontiers in Medicine</w:t>
      </w:r>
      <w:r w:rsidRPr="00013622">
        <w:rPr>
          <w:szCs w:val="24"/>
        </w:rPr>
        <w:t xml:space="preserve"> 10:1215341</w:t>
      </w:r>
      <w:r w:rsidR="00B4205E" w:rsidRPr="00013622">
        <w:rPr>
          <w:szCs w:val="24"/>
        </w:rPr>
        <w:t>.</w:t>
      </w:r>
    </w:p>
    <w:p w14:paraId="6B2F1B76" w14:textId="68329C9B" w:rsidR="00E549B8" w:rsidRPr="00013622" w:rsidRDefault="00782155" w:rsidP="00E549B8">
      <w:pPr>
        <w:rPr>
          <w:szCs w:val="24"/>
          <w:lang w:val="en-US"/>
        </w:rPr>
      </w:pPr>
      <w:r w:rsidRPr="00013622">
        <w:rPr>
          <w:szCs w:val="24"/>
          <w:lang w:val="en-US"/>
        </w:rPr>
        <w:t>HQSC</w:t>
      </w:r>
      <w:r w:rsidR="00E549B8" w:rsidRPr="00013622">
        <w:rPr>
          <w:szCs w:val="24"/>
          <w:lang w:val="en-US"/>
        </w:rPr>
        <w:t xml:space="preserve">. 2025. </w:t>
      </w:r>
      <w:r w:rsidR="00E549B8" w:rsidRPr="00013622">
        <w:rPr>
          <w:i/>
          <w:iCs/>
          <w:szCs w:val="24"/>
          <w:lang w:val="en-US"/>
        </w:rPr>
        <w:t>Raise the Flag sepsis package and implementation guide</w:t>
      </w:r>
      <w:r w:rsidR="00E549B8" w:rsidRPr="00013622">
        <w:rPr>
          <w:szCs w:val="24"/>
          <w:lang w:val="en-US"/>
        </w:rPr>
        <w:t>. Wellington</w:t>
      </w:r>
      <w:r w:rsidRPr="00013622">
        <w:rPr>
          <w:szCs w:val="24"/>
          <w:lang w:val="en-US"/>
        </w:rPr>
        <w:t>, Health Quality &amp; Safety Commission Te Tāhū Hauora (</w:t>
      </w:r>
      <w:r w:rsidR="00E549B8" w:rsidRPr="00013622">
        <w:rPr>
          <w:szCs w:val="24"/>
          <w:lang w:val="en-US"/>
        </w:rPr>
        <w:t>HQSC</w:t>
      </w:r>
      <w:r w:rsidRPr="00013622">
        <w:rPr>
          <w:szCs w:val="24"/>
          <w:lang w:val="en-US"/>
        </w:rPr>
        <w:t>)</w:t>
      </w:r>
      <w:r w:rsidR="00E549B8" w:rsidRPr="00013622">
        <w:rPr>
          <w:szCs w:val="24"/>
          <w:lang w:val="en-US"/>
        </w:rPr>
        <w:t>.</w:t>
      </w:r>
    </w:p>
    <w:p w14:paraId="76DB8758" w14:textId="77777777" w:rsidR="000B73E5" w:rsidRPr="00013622" w:rsidRDefault="000B73E5" w:rsidP="002829D9">
      <w:pPr>
        <w:rPr>
          <w:szCs w:val="24"/>
        </w:rPr>
      </w:pPr>
      <w:r w:rsidRPr="00013622">
        <w:rPr>
          <w:szCs w:val="24"/>
        </w:rPr>
        <w:t xml:space="preserve">Institute for Healthcare Improvement. 2003. </w:t>
      </w:r>
      <w:r w:rsidRPr="00013622">
        <w:rPr>
          <w:i/>
          <w:iCs/>
          <w:szCs w:val="24"/>
        </w:rPr>
        <w:t>The Breakthrough Series: IHI’s Collaborative Model for Achieving Breakthrough Improvement</w:t>
      </w:r>
      <w:r w:rsidRPr="00013622">
        <w:rPr>
          <w:szCs w:val="24"/>
        </w:rPr>
        <w:t>. Boston, MA: IHI</w:t>
      </w:r>
    </w:p>
    <w:p w14:paraId="7ED1CBF7" w14:textId="51E91BC7" w:rsidR="00970F62" w:rsidRPr="00013622" w:rsidRDefault="00BE515D" w:rsidP="002829D9">
      <w:pPr>
        <w:rPr>
          <w:szCs w:val="24"/>
        </w:rPr>
      </w:pPr>
      <w:r w:rsidRPr="00013622">
        <w:rPr>
          <w:szCs w:val="24"/>
        </w:rPr>
        <w:t xml:space="preserve">Komashie A, Ward J, Bashford T, et al. 2021. Systems approach to health service design, delivery and improvement: a systematic review and meta-analysis. </w:t>
      </w:r>
      <w:r w:rsidRPr="00013622">
        <w:rPr>
          <w:i/>
          <w:iCs/>
          <w:szCs w:val="24"/>
        </w:rPr>
        <w:t xml:space="preserve">BMJ Open. </w:t>
      </w:r>
      <w:r w:rsidRPr="00013622">
        <w:rPr>
          <w:szCs w:val="24"/>
        </w:rPr>
        <w:t>11(1):e037667. DOI: 10.1136/bmjopen-2020-037667.</w:t>
      </w:r>
    </w:p>
    <w:p w14:paraId="79E520FB" w14:textId="3EA24D79" w:rsidR="00761E2C" w:rsidRPr="00013622" w:rsidRDefault="000261F2" w:rsidP="000261F2">
      <w:pPr>
        <w:rPr>
          <w:szCs w:val="24"/>
        </w:rPr>
      </w:pPr>
      <w:r w:rsidRPr="00013622">
        <w:rPr>
          <w:szCs w:val="24"/>
        </w:rPr>
        <w:t>Schinkel</w:t>
      </w:r>
      <w:r w:rsidR="00C3255F" w:rsidRPr="00013622">
        <w:rPr>
          <w:szCs w:val="24"/>
        </w:rPr>
        <w:t>, Nana</w:t>
      </w:r>
      <w:r w:rsidR="0050088F" w:rsidRPr="00013622">
        <w:rPr>
          <w:szCs w:val="24"/>
        </w:rPr>
        <w:t>yakkara PWB, Wiersinga WJ,</w:t>
      </w:r>
      <w:r w:rsidRPr="00013622">
        <w:rPr>
          <w:szCs w:val="24"/>
        </w:rPr>
        <w:t xml:space="preserve"> et al. 202</w:t>
      </w:r>
      <w:r w:rsidR="00465DDE" w:rsidRPr="00013622">
        <w:rPr>
          <w:szCs w:val="24"/>
        </w:rPr>
        <w:t>2</w:t>
      </w:r>
      <w:r w:rsidRPr="00013622">
        <w:rPr>
          <w:szCs w:val="24"/>
        </w:rPr>
        <w:t xml:space="preserve">. </w:t>
      </w:r>
      <w:r w:rsidR="00C30653" w:rsidRPr="00013622">
        <w:rPr>
          <w:szCs w:val="24"/>
          <w:lang w:val="en-US"/>
        </w:rPr>
        <w:t>Sepsis</w:t>
      </w:r>
      <w:r w:rsidR="009065BE" w:rsidRPr="00013622">
        <w:rPr>
          <w:szCs w:val="24"/>
          <w:lang w:val="en-US"/>
        </w:rPr>
        <w:t xml:space="preserve"> Performance Improvement Programs: From Evidence Toward Clinical Implementation. </w:t>
      </w:r>
      <w:r w:rsidR="009065BE" w:rsidRPr="00013622">
        <w:rPr>
          <w:i/>
          <w:iCs/>
          <w:szCs w:val="24"/>
          <w:lang w:val="en-US"/>
        </w:rPr>
        <w:t>Critical Care</w:t>
      </w:r>
      <w:r w:rsidR="00C30653" w:rsidRPr="00013622">
        <w:rPr>
          <w:szCs w:val="24"/>
          <w:lang w:val="en-US"/>
        </w:rPr>
        <w:t xml:space="preserve"> </w:t>
      </w:r>
      <w:r w:rsidR="009065BE" w:rsidRPr="00013622">
        <w:rPr>
          <w:szCs w:val="24"/>
          <w:lang w:val="en-US"/>
        </w:rPr>
        <w:t>26:77.</w:t>
      </w:r>
      <w:r w:rsidR="009065BE" w:rsidRPr="00013622">
        <w:rPr>
          <w:szCs w:val="24"/>
        </w:rPr>
        <w:t> </w:t>
      </w:r>
    </w:p>
    <w:p w14:paraId="4C44C0D7" w14:textId="055CCBDC" w:rsidR="000261F2" w:rsidRPr="00013622" w:rsidRDefault="000261F2" w:rsidP="000261F2">
      <w:pPr>
        <w:rPr>
          <w:szCs w:val="24"/>
        </w:rPr>
      </w:pPr>
      <w:r w:rsidRPr="00013622">
        <w:rPr>
          <w:szCs w:val="24"/>
        </w:rPr>
        <w:t>Valiveru RC</w:t>
      </w:r>
      <w:r w:rsidR="00CA4ADE" w:rsidRPr="00013622">
        <w:rPr>
          <w:szCs w:val="24"/>
        </w:rPr>
        <w:t>, Cherian A, Srinivasan K,</w:t>
      </w:r>
      <w:r w:rsidRPr="00013622">
        <w:rPr>
          <w:szCs w:val="24"/>
        </w:rPr>
        <w:t xml:space="preserve"> et al. 2021. Use of a Clinical Audit System in Implementing Surviving Sepsis Campaign Guidelines in Patients with Peritonitis. </w:t>
      </w:r>
      <w:r w:rsidRPr="00013622">
        <w:rPr>
          <w:i/>
          <w:iCs/>
          <w:szCs w:val="24"/>
        </w:rPr>
        <w:t xml:space="preserve">Cureus </w:t>
      </w:r>
      <w:r w:rsidRPr="00013622">
        <w:rPr>
          <w:szCs w:val="24"/>
        </w:rPr>
        <w:t>13(6):e15961.</w:t>
      </w:r>
    </w:p>
    <w:p w14:paraId="065EF8C4" w14:textId="3DFA103F" w:rsidR="00AF57B3" w:rsidRPr="004846B0" w:rsidRDefault="00AF57B3" w:rsidP="00406209">
      <w:pPr>
        <w:pStyle w:val="HQSCbodytext"/>
        <w:rPr>
          <w:noProof/>
        </w:rPr>
      </w:pPr>
    </w:p>
    <w:sectPr w:rsidR="00AF57B3" w:rsidRPr="004846B0" w:rsidSect="00216355">
      <w:footerReference w:type="default" r:id="rId18"/>
      <w:pgSz w:w="11906" w:h="16838"/>
      <w:pgMar w:top="1440" w:right="1133" w:bottom="993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hashweta Mistry" w:date="2026-06-15T10:45:00Z" w:initials="MM">
    <w:p w14:paraId="73348615" w14:textId="77777777" w:rsidR="005251A3" w:rsidRDefault="005251A3" w:rsidP="00110700">
      <w:pPr>
        <w:pStyle w:val="CommentText"/>
      </w:pPr>
      <w:r>
        <w:rPr>
          <w:rStyle w:val="CommentReference"/>
        </w:rPr>
        <w:annotationRef/>
      </w:r>
      <w:r>
        <w:t xml:space="preserve">We could add links to where is of the components are found on our website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3486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82C493" w16cex:dateUtc="2026-06-14T2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348615" w16cid:durableId="1382C4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B231" w14:textId="77777777" w:rsidR="00457CDE" w:rsidRDefault="00457CDE" w:rsidP="003C45E1">
      <w:pPr>
        <w:spacing w:after="0" w:line="240" w:lineRule="auto"/>
      </w:pPr>
      <w:r>
        <w:separator/>
      </w:r>
    </w:p>
  </w:endnote>
  <w:endnote w:type="continuationSeparator" w:id="0">
    <w:p w14:paraId="56F4A793" w14:textId="77777777" w:rsidR="00457CDE" w:rsidRDefault="00457CDE" w:rsidP="003C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8603580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2C30C" w14:textId="42122D44" w:rsidR="004907D7" w:rsidRPr="004A752B" w:rsidRDefault="004A64FD" w:rsidP="004A752B">
            <w:pPr>
              <w:pStyle w:val="Footer"/>
              <w:spacing w:after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importance </w:t>
            </w:r>
            <w:r w:rsidR="0027434B">
              <w:rPr>
                <w:sz w:val="20"/>
                <w:szCs w:val="20"/>
              </w:rPr>
              <w:t xml:space="preserve">of </w:t>
            </w:r>
            <w:r w:rsidR="00385E9F">
              <w:rPr>
                <w:sz w:val="20"/>
                <w:szCs w:val="20"/>
              </w:rPr>
              <w:t xml:space="preserve">using </w:t>
            </w:r>
            <w:r>
              <w:rPr>
                <w:sz w:val="20"/>
                <w:szCs w:val="20"/>
              </w:rPr>
              <w:t xml:space="preserve">the </w:t>
            </w:r>
            <w:r w:rsidR="00385E9F">
              <w:rPr>
                <w:sz w:val="20"/>
                <w:szCs w:val="20"/>
              </w:rPr>
              <w:t xml:space="preserve">full </w:t>
            </w:r>
            <w:r>
              <w:rPr>
                <w:sz w:val="20"/>
                <w:szCs w:val="20"/>
              </w:rPr>
              <w:t>sepsis</w:t>
            </w:r>
            <w:r w:rsidR="0027434B">
              <w:rPr>
                <w:sz w:val="20"/>
                <w:szCs w:val="20"/>
              </w:rPr>
              <w:t xml:space="preserve"> package</w:t>
            </w:r>
            <w:r w:rsidR="009F42EF">
              <w:rPr>
                <w:sz w:val="20"/>
                <w:szCs w:val="20"/>
              </w:rPr>
              <w:tab/>
            </w:r>
            <w:r w:rsidR="004A752B" w:rsidRPr="004A752B">
              <w:rPr>
                <w:sz w:val="20"/>
                <w:szCs w:val="20"/>
              </w:rPr>
              <w:tab/>
            </w:r>
            <w:r w:rsidR="004A752B" w:rsidRPr="004A752B">
              <w:rPr>
                <w:sz w:val="20"/>
                <w:szCs w:val="20"/>
              </w:rPr>
              <w:fldChar w:fldCharType="begin"/>
            </w:r>
            <w:r w:rsidR="004A752B" w:rsidRPr="004A752B">
              <w:rPr>
                <w:sz w:val="20"/>
                <w:szCs w:val="20"/>
              </w:rPr>
              <w:instrText xml:space="preserve"> PAGE </w:instrText>
            </w:r>
            <w:r w:rsidR="004A752B" w:rsidRPr="004A752B">
              <w:rPr>
                <w:sz w:val="20"/>
                <w:szCs w:val="20"/>
              </w:rPr>
              <w:fldChar w:fldCharType="separate"/>
            </w:r>
            <w:r w:rsidR="004A752B" w:rsidRPr="004A752B">
              <w:rPr>
                <w:noProof/>
                <w:sz w:val="20"/>
                <w:szCs w:val="20"/>
              </w:rPr>
              <w:t>2</w:t>
            </w:r>
            <w:r w:rsidR="004A752B" w:rsidRPr="004A752B">
              <w:rPr>
                <w:sz w:val="20"/>
                <w:szCs w:val="20"/>
              </w:rPr>
              <w:fldChar w:fldCharType="end"/>
            </w:r>
            <w:r w:rsidR="004A752B" w:rsidRPr="004A752B">
              <w:rPr>
                <w:sz w:val="20"/>
                <w:szCs w:val="20"/>
              </w:rPr>
              <w:t xml:space="preserve"> of </w:t>
            </w:r>
            <w:r w:rsidR="004A752B" w:rsidRPr="004A752B">
              <w:rPr>
                <w:sz w:val="20"/>
                <w:szCs w:val="20"/>
              </w:rPr>
              <w:fldChar w:fldCharType="begin"/>
            </w:r>
            <w:r w:rsidR="004A752B" w:rsidRPr="004A752B">
              <w:rPr>
                <w:sz w:val="20"/>
                <w:szCs w:val="20"/>
              </w:rPr>
              <w:instrText xml:space="preserve"> NUMPAGES  </w:instrText>
            </w:r>
            <w:r w:rsidR="004A752B" w:rsidRPr="004A752B">
              <w:rPr>
                <w:sz w:val="20"/>
                <w:szCs w:val="20"/>
              </w:rPr>
              <w:fldChar w:fldCharType="separate"/>
            </w:r>
            <w:r w:rsidR="004A752B" w:rsidRPr="004A752B">
              <w:rPr>
                <w:noProof/>
                <w:sz w:val="20"/>
                <w:szCs w:val="20"/>
              </w:rPr>
              <w:t>2</w:t>
            </w:r>
            <w:r w:rsidR="004A752B" w:rsidRPr="004A752B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3E7F" w14:textId="77777777" w:rsidR="00457CDE" w:rsidRDefault="00457CDE" w:rsidP="003C45E1">
      <w:pPr>
        <w:spacing w:after="0" w:line="240" w:lineRule="auto"/>
      </w:pPr>
      <w:r>
        <w:separator/>
      </w:r>
    </w:p>
  </w:footnote>
  <w:footnote w:type="continuationSeparator" w:id="0">
    <w:p w14:paraId="0AC51D23" w14:textId="77777777" w:rsidR="00457CDE" w:rsidRDefault="00457CDE" w:rsidP="003C45E1">
      <w:pPr>
        <w:spacing w:after="0" w:line="240" w:lineRule="auto"/>
      </w:pPr>
      <w:r>
        <w:continuationSeparator/>
      </w:r>
    </w:p>
  </w:footnote>
  <w:footnote w:id="1">
    <w:p w14:paraId="06EAD0E5" w14:textId="01B7FABE" w:rsidR="005A5D9C" w:rsidRDefault="005A5D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735EC">
        <w:t xml:space="preserve">See: </w:t>
      </w:r>
      <w:r w:rsidR="00CB11EA" w:rsidRPr="00CB11EA">
        <w:t>safetyandquality.gov.au/clinical-topics/sepsis-hub?utm_source=chatgpt.com</w:t>
      </w:r>
      <w:r w:rsidR="00DF6078">
        <w:t xml:space="preserve"> (accessed </w:t>
      </w:r>
      <w:r w:rsidR="00353A81">
        <w:t>7 July 2026).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48A0D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554B7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34035"/>
    <w:multiLevelType w:val="multilevel"/>
    <w:tmpl w:val="2090B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EA90D44"/>
    <w:multiLevelType w:val="hybridMultilevel"/>
    <w:tmpl w:val="F808FC2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7844"/>
    <w:multiLevelType w:val="hybridMultilevel"/>
    <w:tmpl w:val="7C86928C"/>
    <w:lvl w:ilvl="0" w:tplc="6CB28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06E0"/>
    <w:multiLevelType w:val="hybridMultilevel"/>
    <w:tmpl w:val="E6D63B6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E3E3A"/>
    <w:multiLevelType w:val="hybridMultilevel"/>
    <w:tmpl w:val="D74617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361D1"/>
    <w:multiLevelType w:val="hybridMultilevel"/>
    <w:tmpl w:val="390AAC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CD3DE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03623"/>
    <w:multiLevelType w:val="hybridMultilevel"/>
    <w:tmpl w:val="3FDAE6E2"/>
    <w:lvl w:ilvl="0" w:tplc="F8A6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0F86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14229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36C29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96821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20EB1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614A8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1D2BE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F3898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3D29109C"/>
    <w:multiLevelType w:val="hybridMultilevel"/>
    <w:tmpl w:val="CC4AF280"/>
    <w:styleLink w:val="Dash"/>
    <w:lvl w:ilvl="0" w:tplc="A5D216C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4A48D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FA2A3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002358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DD21FE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70F85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B05962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A4DEF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44216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74B4637"/>
    <w:multiLevelType w:val="hybridMultilevel"/>
    <w:tmpl w:val="DC24D8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758FD"/>
    <w:multiLevelType w:val="multilevel"/>
    <w:tmpl w:val="2090B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01453E9"/>
    <w:multiLevelType w:val="hybridMultilevel"/>
    <w:tmpl w:val="D42E7B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0230B"/>
    <w:multiLevelType w:val="hybridMultilevel"/>
    <w:tmpl w:val="50AC4CE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11780"/>
    <w:multiLevelType w:val="multilevel"/>
    <w:tmpl w:val="6268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CF5ACB"/>
    <w:multiLevelType w:val="hybridMultilevel"/>
    <w:tmpl w:val="B17420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C3B95"/>
    <w:multiLevelType w:val="hybridMultilevel"/>
    <w:tmpl w:val="FB6014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37056"/>
    <w:multiLevelType w:val="hybridMultilevel"/>
    <w:tmpl w:val="D35028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B6656"/>
    <w:multiLevelType w:val="hybridMultilevel"/>
    <w:tmpl w:val="600ADA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813112">
    <w:abstractNumId w:val="7"/>
  </w:num>
  <w:num w:numId="2" w16cid:durableId="1664695360">
    <w:abstractNumId w:val="10"/>
  </w:num>
  <w:num w:numId="3" w16cid:durableId="86075489">
    <w:abstractNumId w:val="13"/>
  </w:num>
  <w:num w:numId="4" w16cid:durableId="961226629">
    <w:abstractNumId w:val="11"/>
  </w:num>
  <w:num w:numId="5" w16cid:durableId="810247892">
    <w:abstractNumId w:val="15"/>
  </w:num>
  <w:num w:numId="6" w16cid:durableId="199098544">
    <w:abstractNumId w:val="9"/>
  </w:num>
  <w:num w:numId="7" w16cid:durableId="1829781319">
    <w:abstractNumId w:val="18"/>
  </w:num>
  <w:num w:numId="8" w16cid:durableId="534579980">
    <w:abstractNumId w:val="12"/>
  </w:num>
  <w:num w:numId="9" w16cid:durableId="1863742993">
    <w:abstractNumId w:val="6"/>
  </w:num>
  <w:num w:numId="10" w16cid:durableId="50538599">
    <w:abstractNumId w:val="5"/>
  </w:num>
  <w:num w:numId="11" w16cid:durableId="1131828693">
    <w:abstractNumId w:val="3"/>
  </w:num>
  <w:num w:numId="12" w16cid:durableId="1093433892">
    <w:abstractNumId w:val="17"/>
  </w:num>
  <w:num w:numId="13" w16cid:durableId="272787516">
    <w:abstractNumId w:val="16"/>
  </w:num>
  <w:num w:numId="14" w16cid:durableId="1390617373">
    <w:abstractNumId w:val="4"/>
  </w:num>
  <w:num w:numId="15" w16cid:durableId="761143986">
    <w:abstractNumId w:val="2"/>
  </w:num>
  <w:num w:numId="16" w16cid:durableId="1515728625">
    <w:abstractNumId w:val="1"/>
  </w:num>
  <w:num w:numId="17" w16cid:durableId="999843847">
    <w:abstractNumId w:val="0"/>
  </w:num>
  <w:num w:numId="18" w16cid:durableId="1301568591">
    <w:abstractNumId w:val="0"/>
    <w:lvlOverride w:ilvl="0">
      <w:startOverride w:val="1"/>
    </w:lvlOverride>
  </w:num>
  <w:num w:numId="19" w16cid:durableId="832646073">
    <w:abstractNumId w:val="8"/>
  </w:num>
  <w:num w:numId="20" w16cid:durableId="2100177114">
    <w:abstractNumId w:val="14"/>
  </w:num>
  <w:num w:numId="21" w16cid:durableId="1345017223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003123140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487673450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ashweta Mistry">
    <w15:presenceInfo w15:providerId="AD" w15:userId="S::Mahashweta.Mistry@hqsc.govt.nz::81c90bb8-94ee-4652-8daf-d0c086ff9b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ED"/>
    <w:rsid w:val="00000224"/>
    <w:rsid w:val="00003978"/>
    <w:rsid w:val="00005986"/>
    <w:rsid w:val="000072B5"/>
    <w:rsid w:val="0001010A"/>
    <w:rsid w:val="00012B25"/>
    <w:rsid w:val="00012CD3"/>
    <w:rsid w:val="00013622"/>
    <w:rsid w:val="00014BDF"/>
    <w:rsid w:val="000154D5"/>
    <w:rsid w:val="00015F44"/>
    <w:rsid w:val="00017216"/>
    <w:rsid w:val="00017B09"/>
    <w:rsid w:val="00017D58"/>
    <w:rsid w:val="00020386"/>
    <w:rsid w:val="0002070D"/>
    <w:rsid w:val="00021A1A"/>
    <w:rsid w:val="00022D30"/>
    <w:rsid w:val="000235D4"/>
    <w:rsid w:val="000257D7"/>
    <w:rsid w:val="000261F2"/>
    <w:rsid w:val="00026401"/>
    <w:rsid w:val="000311DA"/>
    <w:rsid w:val="00041838"/>
    <w:rsid w:val="00043083"/>
    <w:rsid w:val="000445B0"/>
    <w:rsid w:val="00044F54"/>
    <w:rsid w:val="000464F5"/>
    <w:rsid w:val="00051CC0"/>
    <w:rsid w:val="0005287A"/>
    <w:rsid w:val="00052B4C"/>
    <w:rsid w:val="0005504C"/>
    <w:rsid w:val="00057F11"/>
    <w:rsid w:val="00062B82"/>
    <w:rsid w:val="00067C71"/>
    <w:rsid w:val="00070184"/>
    <w:rsid w:val="00071CE6"/>
    <w:rsid w:val="00072B90"/>
    <w:rsid w:val="00077897"/>
    <w:rsid w:val="00081524"/>
    <w:rsid w:val="00081E3B"/>
    <w:rsid w:val="00081FFE"/>
    <w:rsid w:val="00083C26"/>
    <w:rsid w:val="0008726B"/>
    <w:rsid w:val="00092A37"/>
    <w:rsid w:val="0009632A"/>
    <w:rsid w:val="00096C19"/>
    <w:rsid w:val="00097AFD"/>
    <w:rsid w:val="000A0FF5"/>
    <w:rsid w:val="000A1514"/>
    <w:rsid w:val="000A35C7"/>
    <w:rsid w:val="000A368E"/>
    <w:rsid w:val="000A5622"/>
    <w:rsid w:val="000B111C"/>
    <w:rsid w:val="000B12A1"/>
    <w:rsid w:val="000B19FF"/>
    <w:rsid w:val="000B73E5"/>
    <w:rsid w:val="000C1227"/>
    <w:rsid w:val="000C3D74"/>
    <w:rsid w:val="000C71F5"/>
    <w:rsid w:val="000D0071"/>
    <w:rsid w:val="000D3113"/>
    <w:rsid w:val="000D3FA3"/>
    <w:rsid w:val="000D430D"/>
    <w:rsid w:val="000D7E4B"/>
    <w:rsid w:val="000E0698"/>
    <w:rsid w:val="000E5631"/>
    <w:rsid w:val="000E5B30"/>
    <w:rsid w:val="000F32D0"/>
    <w:rsid w:val="000F363A"/>
    <w:rsid w:val="000F7471"/>
    <w:rsid w:val="00101302"/>
    <w:rsid w:val="00101644"/>
    <w:rsid w:val="0010173C"/>
    <w:rsid w:val="0010202C"/>
    <w:rsid w:val="00104BBC"/>
    <w:rsid w:val="00105E23"/>
    <w:rsid w:val="00106109"/>
    <w:rsid w:val="001064AF"/>
    <w:rsid w:val="00106ECE"/>
    <w:rsid w:val="00110700"/>
    <w:rsid w:val="001111D6"/>
    <w:rsid w:val="001123E1"/>
    <w:rsid w:val="00112F9A"/>
    <w:rsid w:val="001136BD"/>
    <w:rsid w:val="00115489"/>
    <w:rsid w:val="00115AEB"/>
    <w:rsid w:val="001249E2"/>
    <w:rsid w:val="00124E94"/>
    <w:rsid w:val="0013118C"/>
    <w:rsid w:val="00131C72"/>
    <w:rsid w:val="00131E3D"/>
    <w:rsid w:val="00133F6A"/>
    <w:rsid w:val="00134F5C"/>
    <w:rsid w:val="001378CA"/>
    <w:rsid w:val="00140AAC"/>
    <w:rsid w:val="001428C9"/>
    <w:rsid w:val="00143651"/>
    <w:rsid w:val="00144E3A"/>
    <w:rsid w:val="0014592C"/>
    <w:rsid w:val="00147145"/>
    <w:rsid w:val="00150EC1"/>
    <w:rsid w:val="00150EE7"/>
    <w:rsid w:val="00150F2F"/>
    <w:rsid w:val="00152382"/>
    <w:rsid w:val="00152BD6"/>
    <w:rsid w:val="00153C73"/>
    <w:rsid w:val="00161C4A"/>
    <w:rsid w:val="0016398C"/>
    <w:rsid w:val="001639FA"/>
    <w:rsid w:val="00163FF8"/>
    <w:rsid w:val="00164036"/>
    <w:rsid w:val="00165B6D"/>
    <w:rsid w:val="001725BA"/>
    <w:rsid w:val="00173B88"/>
    <w:rsid w:val="00180D5C"/>
    <w:rsid w:val="00183219"/>
    <w:rsid w:val="00183F98"/>
    <w:rsid w:val="001855EA"/>
    <w:rsid w:val="00185F52"/>
    <w:rsid w:val="00185F83"/>
    <w:rsid w:val="001904CE"/>
    <w:rsid w:val="00193951"/>
    <w:rsid w:val="0019407B"/>
    <w:rsid w:val="001958FD"/>
    <w:rsid w:val="001A02AD"/>
    <w:rsid w:val="001A132C"/>
    <w:rsid w:val="001A2A4E"/>
    <w:rsid w:val="001A44E7"/>
    <w:rsid w:val="001A4CFD"/>
    <w:rsid w:val="001A5C67"/>
    <w:rsid w:val="001A6068"/>
    <w:rsid w:val="001A6553"/>
    <w:rsid w:val="001A7D7F"/>
    <w:rsid w:val="001B0CC5"/>
    <w:rsid w:val="001B161C"/>
    <w:rsid w:val="001B3A44"/>
    <w:rsid w:val="001B5249"/>
    <w:rsid w:val="001B6AEC"/>
    <w:rsid w:val="001C03A7"/>
    <w:rsid w:val="001C2409"/>
    <w:rsid w:val="001D0822"/>
    <w:rsid w:val="001D6AAD"/>
    <w:rsid w:val="001E06DF"/>
    <w:rsid w:val="001E0B57"/>
    <w:rsid w:val="001E1096"/>
    <w:rsid w:val="001E225F"/>
    <w:rsid w:val="001E24DB"/>
    <w:rsid w:val="001E6A9F"/>
    <w:rsid w:val="001F1896"/>
    <w:rsid w:val="001F3461"/>
    <w:rsid w:val="001F5516"/>
    <w:rsid w:val="001F58F5"/>
    <w:rsid w:val="001F6E5D"/>
    <w:rsid w:val="0020107E"/>
    <w:rsid w:val="00203EA2"/>
    <w:rsid w:val="00205657"/>
    <w:rsid w:val="00205AD6"/>
    <w:rsid w:val="0020715D"/>
    <w:rsid w:val="00207222"/>
    <w:rsid w:val="00210DFB"/>
    <w:rsid w:val="002121B9"/>
    <w:rsid w:val="0021261B"/>
    <w:rsid w:val="00216355"/>
    <w:rsid w:val="002201B7"/>
    <w:rsid w:val="00223103"/>
    <w:rsid w:val="0022425F"/>
    <w:rsid w:val="0022513B"/>
    <w:rsid w:val="00225BC0"/>
    <w:rsid w:val="0023054B"/>
    <w:rsid w:val="00231D8D"/>
    <w:rsid w:val="002339EA"/>
    <w:rsid w:val="00234A25"/>
    <w:rsid w:val="002371B4"/>
    <w:rsid w:val="00237533"/>
    <w:rsid w:val="002429AE"/>
    <w:rsid w:val="00242AF6"/>
    <w:rsid w:val="00244839"/>
    <w:rsid w:val="00245178"/>
    <w:rsid w:val="002514A1"/>
    <w:rsid w:val="002520EF"/>
    <w:rsid w:val="00252B7B"/>
    <w:rsid w:val="002665C5"/>
    <w:rsid w:val="00266D5F"/>
    <w:rsid w:val="0027152B"/>
    <w:rsid w:val="00272AA4"/>
    <w:rsid w:val="00273082"/>
    <w:rsid w:val="0027434B"/>
    <w:rsid w:val="00276320"/>
    <w:rsid w:val="002829D9"/>
    <w:rsid w:val="00287D53"/>
    <w:rsid w:val="0029029C"/>
    <w:rsid w:val="00291E66"/>
    <w:rsid w:val="00293EAE"/>
    <w:rsid w:val="00294E30"/>
    <w:rsid w:val="0029676C"/>
    <w:rsid w:val="002969D8"/>
    <w:rsid w:val="00297582"/>
    <w:rsid w:val="00297676"/>
    <w:rsid w:val="00297B4B"/>
    <w:rsid w:val="00297DA1"/>
    <w:rsid w:val="002A03F2"/>
    <w:rsid w:val="002A05F8"/>
    <w:rsid w:val="002A1B31"/>
    <w:rsid w:val="002A4CFA"/>
    <w:rsid w:val="002A5CA1"/>
    <w:rsid w:val="002B00E9"/>
    <w:rsid w:val="002B10A4"/>
    <w:rsid w:val="002B1D2A"/>
    <w:rsid w:val="002B4FF6"/>
    <w:rsid w:val="002B678B"/>
    <w:rsid w:val="002C0F5F"/>
    <w:rsid w:val="002C4D1E"/>
    <w:rsid w:val="002D22C7"/>
    <w:rsid w:val="002D6191"/>
    <w:rsid w:val="002D7090"/>
    <w:rsid w:val="002E1666"/>
    <w:rsid w:val="002E2CCF"/>
    <w:rsid w:val="002E547C"/>
    <w:rsid w:val="002E7831"/>
    <w:rsid w:val="002F0EFC"/>
    <w:rsid w:val="002F6704"/>
    <w:rsid w:val="00300830"/>
    <w:rsid w:val="0030109F"/>
    <w:rsid w:val="00301AB6"/>
    <w:rsid w:val="00303EF1"/>
    <w:rsid w:val="00305E8C"/>
    <w:rsid w:val="00310A4C"/>
    <w:rsid w:val="00310A90"/>
    <w:rsid w:val="00322A64"/>
    <w:rsid w:val="003250E5"/>
    <w:rsid w:val="003257DC"/>
    <w:rsid w:val="00331B24"/>
    <w:rsid w:val="00331D2C"/>
    <w:rsid w:val="003362F8"/>
    <w:rsid w:val="00340841"/>
    <w:rsid w:val="00341800"/>
    <w:rsid w:val="00342210"/>
    <w:rsid w:val="0034255E"/>
    <w:rsid w:val="00343340"/>
    <w:rsid w:val="003451B3"/>
    <w:rsid w:val="00345201"/>
    <w:rsid w:val="00345ACC"/>
    <w:rsid w:val="003470AA"/>
    <w:rsid w:val="00350934"/>
    <w:rsid w:val="00351589"/>
    <w:rsid w:val="00353A81"/>
    <w:rsid w:val="003557A9"/>
    <w:rsid w:val="003558C2"/>
    <w:rsid w:val="00356454"/>
    <w:rsid w:val="003564CD"/>
    <w:rsid w:val="0035680A"/>
    <w:rsid w:val="0036225A"/>
    <w:rsid w:val="00370C0F"/>
    <w:rsid w:val="003720D9"/>
    <w:rsid w:val="00372989"/>
    <w:rsid w:val="00374EB2"/>
    <w:rsid w:val="003751B1"/>
    <w:rsid w:val="00380044"/>
    <w:rsid w:val="0038042C"/>
    <w:rsid w:val="00385E9F"/>
    <w:rsid w:val="00386712"/>
    <w:rsid w:val="00390A08"/>
    <w:rsid w:val="00392C96"/>
    <w:rsid w:val="00393170"/>
    <w:rsid w:val="003950D5"/>
    <w:rsid w:val="003A069B"/>
    <w:rsid w:val="003A1838"/>
    <w:rsid w:val="003A3D1C"/>
    <w:rsid w:val="003A4712"/>
    <w:rsid w:val="003A634F"/>
    <w:rsid w:val="003A6ECC"/>
    <w:rsid w:val="003B13D7"/>
    <w:rsid w:val="003B204E"/>
    <w:rsid w:val="003B2190"/>
    <w:rsid w:val="003B2535"/>
    <w:rsid w:val="003B57B5"/>
    <w:rsid w:val="003B6C8D"/>
    <w:rsid w:val="003B784D"/>
    <w:rsid w:val="003C45E1"/>
    <w:rsid w:val="003C4CD3"/>
    <w:rsid w:val="003C597F"/>
    <w:rsid w:val="003C6425"/>
    <w:rsid w:val="003D19E6"/>
    <w:rsid w:val="003E1978"/>
    <w:rsid w:val="003E2238"/>
    <w:rsid w:val="003E2F5F"/>
    <w:rsid w:val="003E38E3"/>
    <w:rsid w:val="003E52D6"/>
    <w:rsid w:val="003F0791"/>
    <w:rsid w:val="003F330A"/>
    <w:rsid w:val="003F5A26"/>
    <w:rsid w:val="00401200"/>
    <w:rsid w:val="00402A50"/>
    <w:rsid w:val="00403E25"/>
    <w:rsid w:val="00404A37"/>
    <w:rsid w:val="0040507C"/>
    <w:rsid w:val="00406209"/>
    <w:rsid w:val="0040657D"/>
    <w:rsid w:val="004071C7"/>
    <w:rsid w:val="00407CA8"/>
    <w:rsid w:val="00410D2D"/>
    <w:rsid w:val="004114BA"/>
    <w:rsid w:val="00411BBC"/>
    <w:rsid w:val="00416629"/>
    <w:rsid w:val="004201E0"/>
    <w:rsid w:val="00422CC8"/>
    <w:rsid w:val="004241B9"/>
    <w:rsid w:val="004258F9"/>
    <w:rsid w:val="00425AA0"/>
    <w:rsid w:val="00425B08"/>
    <w:rsid w:val="00432DE0"/>
    <w:rsid w:val="00433D6F"/>
    <w:rsid w:val="004363F2"/>
    <w:rsid w:val="0043743D"/>
    <w:rsid w:val="004427AC"/>
    <w:rsid w:val="00442819"/>
    <w:rsid w:val="00442889"/>
    <w:rsid w:val="004458DE"/>
    <w:rsid w:val="004466EF"/>
    <w:rsid w:val="00447327"/>
    <w:rsid w:val="0045000E"/>
    <w:rsid w:val="004542AF"/>
    <w:rsid w:val="00454778"/>
    <w:rsid w:val="0045730F"/>
    <w:rsid w:val="00457CDE"/>
    <w:rsid w:val="00461A9A"/>
    <w:rsid w:val="00461AE6"/>
    <w:rsid w:val="00461FDE"/>
    <w:rsid w:val="00462D7A"/>
    <w:rsid w:val="004639D3"/>
    <w:rsid w:val="00465DDE"/>
    <w:rsid w:val="00470861"/>
    <w:rsid w:val="0047638D"/>
    <w:rsid w:val="0047654C"/>
    <w:rsid w:val="0048247F"/>
    <w:rsid w:val="00483B89"/>
    <w:rsid w:val="004846B0"/>
    <w:rsid w:val="004857E1"/>
    <w:rsid w:val="004863EB"/>
    <w:rsid w:val="004907D7"/>
    <w:rsid w:val="004947A0"/>
    <w:rsid w:val="0049681B"/>
    <w:rsid w:val="004968AD"/>
    <w:rsid w:val="004A0DE8"/>
    <w:rsid w:val="004A182F"/>
    <w:rsid w:val="004A1ACA"/>
    <w:rsid w:val="004A1E32"/>
    <w:rsid w:val="004A54CE"/>
    <w:rsid w:val="004A6075"/>
    <w:rsid w:val="004A64FD"/>
    <w:rsid w:val="004A752B"/>
    <w:rsid w:val="004B06BD"/>
    <w:rsid w:val="004B0E7D"/>
    <w:rsid w:val="004B16F1"/>
    <w:rsid w:val="004B387A"/>
    <w:rsid w:val="004B5C67"/>
    <w:rsid w:val="004B7369"/>
    <w:rsid w:val="004B7CE3"/>
    <w:rsid w:val="004C24CF"/>
    <w:rsid w:val="004C6CC9"/>
    <w:rsid w:val="004D0AD0"/>
    <w:rsid w:val="004D441C"/>
    <w:rsid w:val="004D4691"/>
    <w:rsid w:val="004D6696"/>
    <w:rsid w:val="004D7200"/>
    <w:rsid w:val="004D78B3"/>
    <w:rsid w:val="004E0317"/>
    <w:rsid w:val="004E04D9"/>
    <w:rsid w:val="004E1DD4"/>
    <w:rsid w:val="004E4BE9"/>
    <w:rsid w:val="004E604A"/>
    <w:rsid w:val="004E6CE7"/>
    <w:rsid w:val="004E71E1"/>
    <w:rsid w:val="004F0CFB"/>
    <w:rsid w:val="004F6871"/>
    <w:rsid w:val="004F78F1"/>
    <w:rsid w:val="0050088F"/>
    <w:rsid w:val="005010E0"/>
    <w:rsid w:val="0050226F"/>
    <w:rsid w:val="005025A1"/>
    <w:rsid w:val="00505999"/>
    <w:rsid w:val="00510182"/>
    <w:rsid w:val="005166FD"/>
    <w:rsid w:val="0051725B"/>
    <w:rsid w:val="005240E9"/>
    <w:rsid w:val="00524A45"/>
    <w:rsid w:val="005251A3"/>
    <w:rsid w:val="005267A2"/>
    <w:rsid w:val="00530DDE"/>
    <w:rsid w:val="00530F66"/>
    <w:rsid w:val="00533F38"/>
    <w:rsid w:val="005351ED"/>
    <w:rsid w:val="005369FF"/>
    <w:rsid w:val="00540003"/>
    <w:rsid w:val="00547932"/>
    <w:rsid w:val="00551DD8"/>
    <w:rsid w:val="0055202E"/>
    <w:rsid w:val="005557C1"/>
    <w:rsid w:val="00555C13"/>
    <w:rsid w:val="00560AC3"/>
    <w:rsid w:val="00561028"/>
    <w:rsid w:val="0056200A"/>
    <w:rsid w:val="00566A3D"/>
    <w:rsid w:val="005678BB"/>
    <w:rsid w:val="00567B3C"/>
    <w:rsid w:val="00572C53"/>
    <w:rsid w:val="00572DFF"/>
    <w:rsid w:val="005735EC"/>
    <w:rsid w:val="00580F29"/>
    <w:rsid w:val="005820DB"/>
    <w:rsid w:val="005825AC"/>
    <w:rsid w:val="0058260A"/>
    <w:rsid w:val="0058455D"/>
    <w:rsid w:val="00584623"/>
    <w:rsid w:val="005906D1"/>
    <w:rsid w:val="00594523"/>
    <w:rsid w:val="00594DCE"/>
    <w:rsid w:val="005955BF"/>
    <w:rsid w:val="005A5B29"/>
    <w:rsid w:val="005A5D9C"/>
    <w:rsid w:val="005A662D"/>
    <w:rsid w:val="005A6C91"/>
    <w:rsid w:val="005A6D47"/>
    <w:rsid w:val="005A7551"/>
    <w:rsid w:val="005B033F"/>
    <w:rsid w:val="005B59BC"/>
    <w:rsid w:val="005B68AE"/>
    <w:rsid w:val="005B7754"/>
    <w:rsid w:val="005C48F2"/>
    <w:rsid w:val="005C6B19"/>
    <w:rsid w:val="005D2B92"/>
    <w:rsid w:val="005D6515"/>
    <w:rsid w:val="005E1C29"/>
    <w:rsid w:val="005E3A56"/>
    <w:rsid w:val="005E406A"/>
    <w:rsid w:val="005F2B44"/>
    <w:rsid w:val="005F3D9A"/>
    <w:rsid w:val="005F4F38"/>
    <w:rsid w:val="00601D1B"/>
    <w:rsid w:val="006068DF"/>
    <w:rsid w:val="00606E99"/>
    <w:rsid w:val="00610563"/>
    <w:rsid w:val="006107EF"/>
    <w:rsid w:val="0061110D"/>
    <w:rsid w:val="00617D1B"/>
    <w:rsid w:val="0062308A"/>
    <w:rsid w:val="00630927"/>
    <w:rsid w:val="00630A1A"/>
    <w:rsid w:val="00632295"/>
    <w:rsid w:val="00632461"/>
    <w:rsid w:val="00635057"/>
    <w:rsid w:val="00635F6B"/>
    <w:rsid w:val="006377E7"/>
    <w:rsid w:val="00640803"/>
    <w:rsid w:val="00640F2D"/>
    <w:rsid w:val="00641988"/>
    <w:rsid w:val="00641AC2"/>
    <w:rsid w:val="006431FD"/>
    <w:rsid w:val="00643C1E"/>
    <w:rsid w:val="006448A5"/>
    <w:rsid w:val="0064514E"/>
    <w:rsid w:val="006469DF"/>
    <w:rsid w:val="00646AB1"/>
    <w:rsid w:val="006477D4"/>
    <w:rsid w:val="006501CA"/>
    <w:rsid w:val="0065106E"/>
    <w:rsid w:val="006510B7"/>
    <w:rsid w:val="00651921"/>
    <w:rsid w:val="00651EE8"/>
    <w:rsid w:val="0065374E"/>
    <w:rsid w:val="0065535B"/>
    <w:rsid w:val="00662F45"/>
    <w:rsid w:val="006657D7"/>
    <w:rsid w:val="00665D22"/>
    <w:rsid w:val="00665FF2"/>
    <w:rsid w:val="00666274"/>
    <w:rsid w:val="00666709"/>
    <w:rsid w:val="0066775E"/>
    <w:rsid w:val="006712B6"/>
    <w:rsid w:val="00672126"/>
    <w:rsid w:val="0067432D"/>
    <w:rsid w:val="00675B7E"/>
    <w:rsid w:val="006779C5"/>
    <w:rsid w:val="00677DF6"/>
    <w:rsid w:val="00680240"/>
    <w:rsid w:val="006821D2"/>
    <w:rsid w:val="006838BC"/>
    <w:rsid w:val="0068435B"/>
    <w:rsid w:val="0068493A"/>
    <w:rsid w:val="006849E9"/>
    <w:rsid w:val="00685328"/>
    <w:rsid w:val="0069060A"/>
    <w:rsid w:val="006907DA"/>
    <w:rsid w:val="00691F5B"/>
    <w:rsid w:val="00693A6C"/>
    <w:rsid w:val="006958CA"/>
    <w:rsid w:val="00695C2D"/>
    <w:rsid w:val="00696DEB"/>
    <w:rsid w:val="00697C79"/>
    <w:rsid w:val="006A3910"/>
    <w:rsid w:val="006A473A"/>
    <w:rsid w:val="006A4D97"/>
    <w:rsid w:val="006A4E3B"/>
    <w:rsid w:val="006A4FA5"/>
    <w:rsid w:val="006A6F8D"/>
    <w:rsid w:val="006A7E69"/>
    <w:rsid w:val="006B2F4A"/>
    <w:rsid w:val="006B4B65"/>
    <w:rsid w:val="006B4E4A"/>
    <w:rsid w:val="006B5F93"/>
    <w:rsid w:val="006B7045"/>
    <w:rsid w:val="006B7508"/>
    <w:rsid w:val="006B75B9"/>
    <w:rsid w:val="006C08E2"/>
    <w:rsid w:val="006C6809"/>
    <w:rsid w:val="006C6BE9"/>
    <w:rsid w:val="006D1081"/>
    <w:rsid w:val="006D1F9C"/>
    <w:rsid w:val="006D2995"/>
    <w:rsid w:val="006D2CCB"/>
    <w:rsid w:val="006D3334"/>
    <w:rsid w:val="006D341B"/>
    <w:rsid w:val="006D3D27"/>
    <w:rsid w:val="006D3FCB"/>
    <w:rsid w:val="006D4188"/>
    <w:rsid w:val="006D4BD1"/>
    <w:rsid w:val="006D666D"/>
    <w:rsid w:val="006E00EE"/>
    <w:rsid w:val="006E0CBC"/>
    <w:rsid w:val="006E1EC2"/>
    <w:rsid w:val="006E3D7B"/>
    <w:rsid w:val="006E4525"/>
    <w:rsid w:val="006E5039"/>
    <w:rsid w:val="006E706A"/>
    <w:rsid w:val="006F1949"/>
    <w:rsid w:val="006F4DE3"/>
    <w:rsid w:val="006F4F4B"/>
    <w:rsid w:val="00702438"/>
    <w:rsid w:val="00703375"/>
    <w:rsid w:val="00705CED"/>
    <w:rsid w:val="00707E7B"/>
    <w:rsid w:val="00710158"/>
    <w:rsid w:val="00711F9F"/>
    <w:rsid w:val="00716634"/>
    <w:rsid w:val="00722C09"/>
    <w:rsid w:val="007247B2"/>
    <w:rsid w:val="007248A2"/>
    <w:rsid w:val="00725940"/>
    <w:rsid w:val="00732FBC"/>
    <w:rsid w:val="007347F0"/>
    <w:rsid w:val="007351D5"/>
    <w:rsid w:val="00740542"/>
    <w:rsid w:val="007415A2"/>
    <w:rsid w:val="00752144"/>
    <w:rsid w:val="00756A70"/>
    <w:rsid w:val="00757FD8"/>
    <w:rsid w:val="00760025"/>
    <w:rsid w:val="00760894"/>
    <w:rsid w:val="00761E2C"/>
    <w:rsid w:val="00762438"/>
    <w:rsid w:val="00763715"/>
    <w:rsid w:val="00764327"/>
    <w:rsid w:val="00764E9F"/>
    <w:rsid w:val="007653D8"/>
    <w:rsid w:val="00766E6B"/>
    <w:rsid w:val="00770D2E"/>
    <w:rsid w:val="0077154E"/>
    <w:rsid w:val="00771E61"/>
    <w:rsid w:val="00776923"/>
    <w:rsid w:val="00782155"/>
    <w:rsid w:val="00782E58"/>
    <w:rsid w:val="007852F8"/>
    <w:rsid w:val="0078555F"/>
    <w:rsid w:val="00786552"/>
    <w:rsid w:val="007909B6"/>
    <w:rsid w:val="00790B45"/>
    <w:rsid w:val="007922E7"/>
    <w:rsid w:val="00792E41"/>
    <w:rsid w:val="00792E4C"/>
    <w:rsid w:val="00797213"/>
    <w:rsid w:val="007A0445"/>
    <w:rsid w:val="007A13D0"/>
    <w:rsid w:val="007A4E9E"/>
    <w:rsid w:val="007A570B"/>
    <w:rsid w:val="007B151D"/>
    <w:rsid w:val="007B2E6E"/>
    <w:rsid w:val="007B304E"/>
    <w:rsid w:val="007B558E"/>
    <w:rsid w:val="007C06A8"/>
    <w:rsid w:val="007C13AC"/>
    <w:rsid w:val="007C15E3"/>
    <w:rsid w:val="007C2E58"/>
    <w:rsid w:val="007C3522"/>
    <w:rsid w:val="007C361C"/>
    <w:rsid w:val="007C454E"/>
    <w:rsid w:val="007C7ED1"/>
    <w:rsid w:val="007D2178"/>
    <w:rsid w:val="007D219A"/>
    <w:rsid w:val="007D34AD"/>
    <w:rsid w:val="007D7B9E"/>
    <w:rsid w:val="007E0634"/>
    <w:rsid w:val="007E5241"/>
    <w:rsid w:val="007E5DDC"/>
    <w:rsid w:val="007F15E5"/>
    <w:rsid w:val="007F25D4"/>
    <w:rsid w:val="007F2D3B"/>
    <w:rsid w:val="007F474E"/>
    <w:rsid w:val="007F633B"/>
    <w:rsid w:val="007F694F"/>
    <w:rsid w:val="007F7612"/>
    <w:rsid w:val="007F79FC"/>
    <w:rsid w:val="00801A1F"/>
    <w:rsid w:val="0080238B"/>
    <w:rsid w:val="00802A41"/>
    <w:rsid w:val="00802BBC"/>
    <w:rsid w:val="00803339"/>
    <w:rsid w:val="008036BA"/>
    <w:rsid w:val="00803890"/>
    <w:rsid w:val="008043AA"/>
    <w:rsid w:val="0080549C"/>
    <w:rsid w:val="00806A50"/>
    <w:rsid w:val="00811357"/>
    <w:rsid w:val="008115CF"/>
    <w:rsid w:val="008131B0"/>
    <w:rsid w:val="00813D42"/>
    <w:rsid w:val="0081594A"/>
    <w:rsid w:val="00816A83"/>
    <w:rsid w:val="0082234A"/>
    <w:rsid w:val="00822568"/>
    <w:rsid w:val="00832768"/>
    <w:rsid w:val="008332F5"/>
    <w:rsid w:val="00833405"/>
    <w:rsid w:val="00836BA4"/>
    <w:rsid w:val="00836C24"/>
    <w:rsid w:val="00841260"/>
    <w:rsid w:val="00841CAA"/>
    <w:rsid w:val="00845529"/>
    <w:rsid w:val="00845F20"/>
    <w:rsid w:val="0084633E"/>
    <w:rsid w:val="00846C16"/>
    <w:rsid w:val="0085071D"/>
    <w:rsid w:val="00851905"/>
    <w:rsid w:val="00852E2D"/>
    <w:rsid w:val="0085596D"/>
    <w:rsid w:val="0085597F"/>
    <w:rsid w:val="008601B0"/>
    <w:rsid w:val="00861C08"/>
    <w:rsid w:val="008622DF"/>
    <w:rsid w:val="00862DEE"/>
    <w:rsid w:val="00863DF7"/>
    <w:rsid w:val="00865172"/>
    <w:rsid w:val="008652F3"/>
    <w:rsid w:val="0087040B"/>
    <w:rsid w:val="008734B3"/>
    <w:rsid w:val="008739C8"/>
    <w:rsid w:val="00875747"/>
    <w:rsid w:val="00880D00"/>
    <w:rsid w:val="00881869"/>
    <w:rsid w:val="008917AD"/>
    <w:rsid w:val="00891E09"/>
    <w:rsid w:val="00893E01"/>
    <w:rsid w:val="008946E7"/>
    <w:rsid w:val="00894A88"/>
    <w:rsid w:val="008960B0"/>
    <w:rsid w:val="008A58D2"/>
    <w:rsid w:val="008A5C41"/>
    <w:rsid w:val="008A60AE"/>
    <w:rsid w:val="008B0E06"/>
    <w:rsid w:val="008B30A0"/>
    <w:rsid w:val="008B3135"/>
    <w:rsid w:val="008B4E25"/>
    <w:rsid w:val="008B68E9"/>
    <w:rsid w:val="008B77E8"/>
    <w:rsid w:val="008C2CC4"/>
    <w:rsid w:val="008C329A"/>
    <w:rsid w:val="008C4218"/>
    <w:rsid w:val="008C5E97"/>
    <w:rsid w:val="008D1E6C"/>
    <w:rsid w:val="008D439B"/>
    <w:rsid w:val="008D5795"/>
    <w:rsid w:val="008D7ACA"/>
    <w:rsid w:val="008D7B48"/>
    <w:rsid w:val="008E1024"/>
    <w:rsid w:val="008E5DB9"/>
    <w:rsid w:val="008E77A7"/>
    <w:rsid w:val="008F0563"/>
    <w:rsid w:val="008F12DC"/>
    <w:rsid w:val="008F4E91"/>
    <w:rsid w:val="008F6B3D"/>
    <w:rsid w:val="008F6ECF"/>
    <w:rsid w:val="008F749A"/>
    <w:rsid w:val="008F7E81"/>
    <w:rsid w:val="00900AFF"/>
    <w:rsid w:val="0090213C"/>
    <w:rsid w:val="00905630"/>
    <w:rsid w:val="009065BE"/>
    <w:rsid w:val="00906793"/>
    <w:rsid w:val="0091087B"/>
    <w:rsid w:val="00911920"/>
    <w:rsid w:val="00914500"/>
    <w:rsid w:val="00915D2C"/>
    <w:rsid w:val="009200C0"/>
    <w:rsid w:val="00920C9A"/>
    <w:rsid w:val="0092294D"/>
    <w:rsid w:val="00923481"/>
    <w:rsid w:val="00930B7A"/>
    <w:rsid w:val="00930BF3"/>
    <w:rsid w:val="00934ECD"/>
    <w:rsid w:val="009350E4"/>
    <w:rsid w:val="00935266"/>
    <w:rsid w:val="00940DCC"/>
    <w:rsid w:val="0094131A"/>
    <w:rsid w:val="00944659"/>
    <w:rsid w:val="00945CC2"/>
    <w:rsid w:val="00950B35"/>
    <w:rsid w:val="00951121"/>
    <w:rsid w:val="009522ED"/>
    <w:rsid w:val="00952FE6"/>
    <w:rsid w:val="009538DA"/>
    <w:rsid w:val="00960486"/>
    <w:rsid w:val="0096081E"/>
    <w:rsid w:val="00962138"/>
    <w:rsid w:val="00964C54"/>
    <w:rsid w:val="00970F62"/>
    <w:rsid w:val="009727E5"/>
    <w:rsid w:val="00972AB2"/>
    <w:rsid w:val="009733AA"/>
    <w:rsid w:val="009740A1"/>
    <w:rsid w:val="009748C7"/>
    <w:rsid w:val="0097679C"/>
    <w:rsid w:val="00977D3E"/>
    <w:rsid w:val="00980E85"/>
    <w:rsid w:val="009829AF"/>
    <w:rsid w:val="00984936"/>
    <w:rsid w:val="009860B1"/>
    <w:rsid w:val="00987573"/>
    <w:rsid w:val="00987D1B"/>
    <w:rsid w:val="00990D84"/>
    <w:rsid w:val="0099184F"/>
    <w:rsid w:val="00991FC7"/>
    <w:rsid w:val="00994889"/>
    <w:rsid w:val="00995BAE"/>
    <w:rsid w:val="009A0136"/>
    <w:rsid w:val="009A0E5A"/>
    <w:rsid w:val="009A0EF7"/>
    <w:rsid w:val="009A0EFC"/>
    <w:rsid w:val="009A15FC"/>
    <w:rsid w:val="009A270D"/>
    <w:rsid w:val="009A4F53"/>
    <w:rsid w:val="009A51C4"/>
    <w:rsid w:val="009A5930"/>
    <w:rsid w:val="009A65BA"/>
    <w:rsid w:val="009A6C7B"/>
    <w:rsid w:val="009A7126"/>
    <w:rsid w:val="009B0A87"/>
    <w:rsid w:val="009B1229"/>
    <w:rsid w:val="009B25F5"/>
    <w:rsid w:val="009B4BFD"/>
    <w:rsid w:val="009B4E57"/>
    <w:rsid w:val="009B5C4F"/>
    <w:rsid w:val="009B60E1"/>
    <w:rsid w:val="009B6390"/>
    <w:rsid w:val="009B64BE"/>
    <w:rsid w:val="009B6DBE"/>
    <w:rsid w:val="009C107F"/>
    <w:rsid w:val="009C1104"/>
    <w:rsid w:val="009C22A0"/>
    <w:rsid w:val="009C2B15"/>
    <w:rsid w:val="009C34D9"/>
    <w:rsid w:val="009D4AF8"/>
    <w:rsid w:val="009D5006"/>
    <w:rsid w:val="009D56D9"/>
    <w:rsid w:val="009D622E"/>
    <w:rsid w:val="009D79CD"/>
    <w:rsid w:val="009E1132"/>
    <w:rsid w:val="009E1ED9"/>
    <w:rsid w:val="009E2620"/>
    <w:rsid w:val="009E52B6"/>
    <w:rsid w:val="009E5660"/>
    <w:rsid w:val="009F2B44"/>
    <w:rsid w:val="009F42EF"/>
    <w:rsid w:val="009F4817"/>
    <w:rsid w:val="009F5E00"/>
    <w:rsid w:val="009F713A"/>
    <w:rsid w:val="00A001B1"/>
    <w:rsid w:val="00A00662"/>
    <w:rsid w:val="00A02E7A"/>
    <w:rsid w:val="00A03AF2"/>
    <w:rsid w:val="00A04EDC"/>
    <w:rsid w:val="00A0512B"/>
    <w:rsid w:val="00A052F6"/>
    <w:rsid w:val="00A06C35"/>
    <w:rsid w:val="00A1177E"/>
    <w:rsid w:val="00A13A94"/>
    <w:rsid w:val="00A203DB"/>
    <w:rsid w:val="00A225AF"/>
    <w:rsid w:val="00A2381C"/>
    <w:rsid w:val="00A23F96"/>
    <w:rsid w:val="00A26F05"/>
    <w:rsid w:val="00A278C8"/>
    <w:rsid w:val="00A313E6"/>
    <w:rsid w:val="00A322BB"/>
    <w:rsid w:val="00A32B11"/>
    <w:rsid w:val="00A41608"/>
    <w:rsid w:val="00A44379"/>
    <w:rsid w:val="00A45804"/>
    <w:rsid w:val="00A50201"/>
    <w:rsid w:val="00A53296"/>
    <w:rsid w:val="00A533FF"/>
    <w:rsid w:val="00A54C80"/>
    <w:rsid w:val="00A54CFC"/>
    <w:rsid w:val="00A56998"/>
    <w:rsid w:val="00A57261"/>
    <w:rsid w:val="00A6040B"/>
    <w:rsid w:val="00A627C3"/>
    <w:rsid w:val="00A63E1E"/>
    <w:rsid w:val="00A64FAA"/>
    <w:rsid w:val="00A66C36"/>
    <w:rsid w:val="00A67C26"/>
    <w:rsid w:val="00A705A4"/>
    <w:rsid w:val="00A70B1C"/>
    <w:rsid w:val="00A7257A"/>
    <w:rsid w:val="00A7328E"/>
    <w:rsid w:val="00A75C6B"/>
    <w:rsid w:val="00A7698C"/>
    <w:rsid w:val="00A80094"/>
    <w:rsid w:val="00A86E20"/>
    <w:rsid w:val="00A87348"/>
    <w:rsid w:val="00A87AEA"/>
    <w:rsid w:val="00A9188E"/>
    <w:rsid w:val="00A9198C"/>
    <w:rsid w:val="00A92C02"/>
    <w:rsid w:val="00A93AD6"/>
    <w:rsid w:val="00A94A67"/>
    <w:rsid w:val="00A959BB"/>
    <w:rsid w:val="00A95C29"/>
    <w:rsid w:val="00A97B76"/>
    <w:rsid w:val="00AA18AC"/>
    <w:rsid w:val="00AA7B43"/>
    <w:rsid w:val="00AB36B2"/>
    <w:rsid w:val="00AB5337"/>
    <w:rsid w:val="00AB5959"/>
    <w:rsid w:val="00AC0387"/>
    <w:rsid w:val="00AC1F59"/>
    <w:rsid w:val="00AC3D8C"/>
    <w:rsid w:val="00AC52B6"/>
    <w:rsid w:val="00AC637F"/>
    <w:rsid w:val="00AD2CE6"/>
    <w:rsid w:val="00AD52B8"/>
    <w:rsid w:val="00AD68FF"/>
    <w:rsid w:val="00AE117F"/>
    <w:rsid w:val="00AE330D"/>
    <w:rsid w:val="00AE4D47"/>
    <w:rsid w:val="00AE5786"/>
    <w:rsid w:val="00AE585D"/>
    <w:rsid w:val="00AE7F4C"/>
    <w:rsid w:val="00AF29E6"/>
    <w:rsid w:val="00AF57B3"/>
    <w:rsid w:val="00B00323"/>
    <w:rsid w:val="00B0065E"/>
    <w:rsid w:val="00B00CA7"/>
    <w:rsid w:val="00B0744F"/>
    <w:rsid w:val="00B10CC1"/>
    <w:rsid w:val="00B114D7"/>
    <w:rsid w:val="00B20E20"/>
    <w:rsid w:val="00B22FC1"/>
    <w:rsid w:val="00B23E77"/>
    <w:rsid w:val="00B23EF3"/>
    <w:rsid w:val="00B26C04"/>
    <w:rsid w:val="00B30F12"/>
    <w:rsid w:val="00B33B6D"/>
    <w:rsid w:val="00B347E2"/>
    <w:rsid w:val="00B36433"/>
    <w:rsid w:val="00B4205E"/>
    <w:rsid w:val="00B42FDE"/>
    <w:rsid w:val="00B43090"/>
    <w:rsid w:val="00B44EEB"/>
    <w:rsid w:val="00B4731B"/>
    <w:rsid w:val="00B51721"/>
    <w:rsid w:val="00B51A14"/>
    <w:rsid w:val="00B552A4"/>
    <w:rsid w:val="00B57804"/>
    <w:rsid w:val="00B57F3B"/>
    <w:rsid w:val="00B61DF2"/>
    <w:rsid w:val="00B650B0"/>
    <w:rsid w:val="00B65F96"/>
    <w:rsid w:val="00B660B9"/>
    <w:rsid w:val="00B6649D"/>
    <w:rsid w:val="00B673CF"/>
    <w:rsid w:val="00B6785B"/>
    <w:rsid w:val="00B725CC"/>
    <w:rsid w:val="00B73DFA"/>
    <w:rsid w:val="00B74276"/>
    <w:rsid w:val="00B75910"/>
    <w:rsid w:val="00B7606A"/>
    <w:rsid w:val="00B86B40"/>
    <w:rsid w:val="00B86F76"/>
    <w:rsid w:val="00B91803"/>
    <w:rsid w:val="00B94E9E"/>
    <w:rsid w:val="00B96A41"/>
    <w:rsid w:val="00B9741F"/>
    <w:rsid w:val="00B97AD4"/>
    <w:rsid w:val="00BA1ECC"/>
    <w:rsid w:val="00BA37BF"/>
    <w:rsid w:val="00BA3F77"/>
    <w:rsid w:val="00BA7FA4"/>
    <w:rsid w:val="00BB145B"/>
    <w:rsid w:val="00BB18D0"/>
    <w:rsid w:val="00BB3AC8"/>
    <w:rsid w:val="00BB51D5"/>
    <w:rsid w:val="00BB5F8B"/>
    <w:rsid w:val="00BB7084"/>
    <w:rsid w:val="00BB7FC7"/>
    <w:rsid w:val="00BC1F1C"/>
    <w:rsid w:val="00BC2021"/>
    <w:rsid w:val="00BD161A"/>
    <w:rsid w:val="00BD1AA4"/>
    <w:rsid w:val="00BD305F"/>
    <w:rsid w:val="00BD3899"/>
    <w:rsid w:val="00BD74DD"/>
    <w:rsid w:val="00BD7F74"/>
    <w:rsid w:val="00BE162D"/>
    <w:rsid w:val="00BE2A2D"/>
    <w:rsid w:val="00BE3307"/>
    <w:rsid w:val="00BE515D"/>
    <w:rsid w:val="00BE52A6"/>
    <w:rsid w:val="00BE795D"/>
    <w:rsid w:val="00BF08F7"/>
    <w:rsid w:val="00BF0D6E"/>
    <w:rsid w:val="00BF0DEA"/>
    <w:rsid w:val="00BF2F1E"/>
    <w:rsid w:val="00BF5F18"/>
    <w:rsid w:val="00C06646"/>
    <w:rsid w:val="00C073B8"/>
    <w:rsid w:val="00C07928"/>
    <w:rsid w:val="00C109D3"/>
    <w:rsid w:val="00C11053"/>
    <w:rsid w:val="00C12070"/>
    <w:rsid w:val="00C12987"/>
    <w:rsid w:val="00C14BC1"/>
    <w:rsid w:val="00C1691A"/>
    <w:rsid w:val="00C1717A"/>
    <w:rsid w:val="00C173F0"/>
    <w:rsid w:val="00C1781F"/>
    <w:rsid w:val="00C22BC0"/>
    <w:rsid w:val="00C23346"/>
    <w:rsid w:val="00C27859"/>
    <w:rsid w:val="00C30653"/>
    <w:rsid w:val="00C31730"/>
    <w:rsid w:val="00C3255F"/>
    <w:rsid w:val="00C35989"/>
    <w:rsid w:val="00C37F28"/>
    <w:rsid w:val="00C51579"/>
    <w:rsid w:val="00C56CDE"/>
    <w:rsid w:val="00C61DB7"/>
    <w:rsid w:val="00C637CC"/>
    <w:rsid w:val="00C6437C"/>
    <w:rsid w:val="00C6752C"/>
    <w:rsid w:val="00C678D4"/>
    <w:rsid w:val="00C73020"/>
    <w:rsid w:val="00C7448E"/>
    <w:rsid w:val="00C757E8"/>
    <w:rsid w:val="00C76017"/>
    <w:rsid w:val="00C761A5"/>
    <w:rsid w:val="00C761F8"/>
    <w:rsid w:val="00C764B2"/>
    <w:rsid w:val="00C80D65"/>
    <w:rsid w:val="00C83077"/>
    <w:rsid w:val="00C8315E"/>
    <w:rsid w:val="00C865CE"/>
    <w:rsid w:val="00C9095C"/>
    <w:rsid w:val="00C91371"/>
    <w:rsid w:val="00C92BEA"/>
    <w:rsid w:val="00C9350E"/>
    <w:rsid w:val="00C954AC"/>
    <w:rsid w:val="00C957A9"/>
    <w:rsid w:val="00CA34D7"/>
    <w:rsid w:val="00CA4AD9"/>
    <w:rsid w:val="00CA4ADE"/>
    <w:rsid w:val="00CA7F3D"/>
    <w:rsid w:val="00CB02E0"/>
    <w:rsid w:val="00CB11EA"/>
    <w:rsid w:val="00CB187D"/>
    <w:rsid w:val="00CB2309"/>
    <w:rsid w:val="00CB7C9E"/>
    <w:rsid w:val="00CC30F0"/>
    <w:rsid w:val="00CC32F3"/>
    <w:rsid w:val="00CC68C1"/>
    <w:rsid w:val="00CD1784"/>
    <w:rsid w:val="00CD1AAF"/>
    <w:rsid w:val="00CD6333"/>
    <w:rsid w:val="00CD67A5"/>
    <w:rsid w:val="00CE0FC3"/>
    <w:rsid w:val="00CE13F7"/>
    <w:rsid w:val="00CE24F8"/>
    <w:rsid w:val="00CE271E"/>
    <w:rsid w:val="00CE468C"/>
    <w:rsid w:val="00CF220E"/>
    <w:rsid w:val="00CF55E5"/>
    <w:rsid w:val="00D02530"/>
    <w:rsid w:val="00D02918"/>
    <w:rsid w:val="00D02CC6"/>
    <w:rsid w:val="00D1051D"/>
    <w:rsid w:val="00D105CA"/>
    <w:rsid w:val="00D10D67"/>
    <w:rsid w:val="00D10DF4"/>
    <w:rsid w:val="00D116BA"/>
    <w:rsid w:val="00D12FC1"/>
    <w:rsid w:val="00D132F2"/>
    <w:rsid w:val="00D148B6"/>
    <w:rsid w:val="00D17196"/>
    <w:rsid w:val="00D173A2"/>
    <w:rsid w:val="00D20555"/>
    <w:rsid w:val="00D20568"/>
    <w:rsid w:val="00D229A8"/>
    <w:rsid w:val="00D230FD"/>
    <w:rsid w:val="00D23541"/>
    <w:rsid w:val="00D23DEF"/>
    <w:rsid w:val="00D241F5"/>
    <w:rsid w:val="00D25A5D"/>
    <w:rsid w:val="00D271E6"/>
    <w:rsid w:val="00D318FF"/>
    <w:rsid w:val="00D32ECD"/>
    <w:rsid w:val="00D356FA"/>
    <w:rsid w:val="00D37168"/>
    <w:rsid w:val="00D41B94"/>
    <w:rsid w:val="00D44EB1"/>
    <w:rsid w:val="00D50662"/>
    <w:rsid w:val="00D50DFE"/>
    <w:rsid w:val="00D518E7"/>
    <w:rsid w:val="00D53DF7"/>
    <w:rsid w:val="00D560CF"/>
    <w:rsid w:val="00D574E9"/>
    <w:rsid w:val="00D60880"/>
    <w:rsid w:val="00D627A8"/>
    <w:rsid w:val="00D62F12"/>
    <w:rsid w:val="00D64D6E"/>
    <w:rsid w:val="00D6540B"/>
    <w:rsid w:val="00D65851"/>
    <w:rsid w:val="00D7344B"/>
    <w:rsid w:val="00D74DFB"/>
    <w:rsid w:val="00D76C8D"/>
    <w:rsid w:val="00D76D56"/>
    <w:rsid w:val="00D76DDE"/>
    <w:rsid w:val="00D76E35"/>
    <w:rsid w:val="00D81314"/>
    <w:rsid w:val="00D81D1A"/>
    <w:rsid w:val="00D8248F"/>
    <w:rsid w:val="00D82520"/>
    <w:rsid w:val="00D83ACB"/>
    <w:rsid w:val="00D83DCB"/>
    <w:rsid w:val="00D83F43"/>
    <w:rsid w:val="00D84620"/>
    <w:rsid w:val="00D86B58"/>
    <w:rsid w:val="00D906F1"/>
    <w:rsid w:val="00D9132A"/>
    <w:rsid w:val="00D91BC1"/>
    <w:rsid w:val="00D927B8"/>
    <w:rsid w:val="00D933BC"/>
    <w:rsid w:val="00D9394D"/>
    <w:rsid w:val="00D93A67"/>
    <w:rsid w:val="00D965FC"/>
    <w:rsid w:val="00D97BD4"/>
    <w:rsid w:val="00DA166A"/>
    <w:rsid w:val="00DA26D5"/>
    <w:rsid w:val="00DA3501"/>
    <w:rsid w:val="00DA59DF"/>
    <w:rsid w:val="00DA60DF"/>
    <w:rsid w:val="00DB10A5"/>
    <w:rsid w:val="00DB222F"/>
    <w:rsid w:val="00DB3901"/>
    <w:rsid w:val="00DB7060"/>
    <w:rsid w:val="00DB7F7B"/>
    <w:rsid w:val="00DC0A53"/>
    <w:rsid w:val="00DC1D67"/>
    <w:rsid w:val="00DC47C0"/>
    <w:rsid w:val="00DD3430"/>
    <w:rsid w:val="00DD3D3C"/>
    <w:rsid w:val="00DD3F10"/>
    <w:rsid w:val="00DD708A"/>
    <w:rsid w:val="00DE0E3A"/>
    <w:rsid w:val="00DE102A"/>
    <w:rsid w:val="00DE26FF"/>
    <w:rsid w:val="00DE3C40"/>
    <w:rsid w:val="00DE7B6E"/>
    <w:rsid w:val="00DF539A"/>
    <w:rsid w:val="00DF6078"/>
    <w:rsid w:val="00DF641D"/>
    <w:rsid w:val="00DF7671"/>
    <w:rsid w:val="00E0234F"/>
    <w:rsid w:val="00E03981"/>
    <w:rsid w:val="00E04D7E"/>
    <w:rsid w:val="00E07049"/>
    <w:rsid w:val="00E11A1F"/>
    <w:rsid w:val="00E1323D"/>
    <w:rsid w:val="00E15B88"/>
    <w:rsid w:val="00E16359"/>
    <w:rsid w:val="00E166FE"/>
    <w:rsid w:val="00E16BEB"/>
    <w:rsid w:val="00E17983"/>
    <w:rsid w:val="00E17C9D"/>
    <w:rsid w:val="00E30DE5"/>
    <w:rsid w:val="00E32108"/>
    <w:rsid w:val="00E325EC"/>
    <w:rsid w:val="00E34D4A"/>
    <w:rsid w:val="00E355BB"/>
    <w:rsid w:val="00E35E2C"/>
    <w:rsid w:val="00E36A1B"/>
    <w:rsid w:val="00E36C12"/>
    <w:rsid w:val="00E36E61"/>
    <w:rsid w:val="00E36FF7"/>
    <w:rsid w:val="00E426BD"/>
    <w:rsid w:val="00E4339E"/>
    <w:rsid w:val="00E462D4"/>
    <w:rsid w:val="00E473C4"/>
    <w:rsid w:val="00E5420C"/>
    <w:rsid w:val="00E549B8"/>
    <w:rsid w:val="00E56485"/>
    <w:rsid w:val="00E56EA0"/>
    <w:rsid w:val="00E60914"/>
    <w:rsid w:val="00E63867"/>
    <w:rsid w:val="00E65439"/>
    <w:rsid w:val="00E6626F"/>
    <w:rsid w:val="00E66736"/>
    <w:rsid w:val="00E71C6F"/>
    <w:rsid w:val="00E72F45"/>
    <w:rsid w:val="00E81591"/>
    <w:rsid w:val="00E83591"/>
    <w:rsid w:val="00E84606"/>
    <w:rsid w:val="00E84A45"/>
    <w:rsid w:val="00E9007D"/>
    <w:rsid w:val="00E9470A"/>
    <w:rsid w:val="00E95A46"/>
    <w:rsid w:val="00EA184C"/>
    <w:rsid w:val="00EA1FEE"/>
    <w:rsid w:val="00EA3D4F"/>
    <w:rsid w:val="00EA5F51"/>
    <w:rsid w:val="00EA6F68"/>
    <w:rsid w:val="00EB026B"/>
    <w:rsid w:val="00EB10BF"/>
    <w:rsid w:val="00EB14CC"/>
    <w:rsid w:val="00EB21BE"/>
    <w:rsid w:val="00EB21E0"/>
    <w:rsid w:val="00EB25CD"/>
    <w:rsid w:val="00EB2B83"/>
    <w:rsid w:val="00EB5095"/>
    <w:rsid w:val="00EB5FDA"/>
    <w:rsid w:val="00EB6194"/>
    <w:rsid w:val="00EB6D9B"/>
    <w:rsid w:val="00EC12F2"/>
    <w:rsid w:val="00EC2147"/>
    <w:rsid w:val="00EC4023"/>
    <w:rsid w:val="00EC4242"/>
    <w:rsid w:val="00EC6DCD"/>
    <w:rsid w:val="00EC7CCA"/>
    <w:rsid w:val="00ED24D5"/>
    <w:rsid w:val="00ED3293"/>
    <w:rsid w:val="00ED441B"/>
    <w:rsid w:val="00ED72F9"/>
    <w:rsid w:val="00EE3A40"/>
    <w:rsid w:val="00EE69F8"/>
    <w:rsid w:val="00EF16D2"/>
    <w:rsid w:val="00EF2B11"/>
    <w:rsid w:val="00EF581A"/>
    <w:rsid w:val="00EF6B01"/>
    <w:rsid w:val="00EF6E77"/>
    <w:rsid w:val="00EF7332"/>
    <w:rsid w:val="00F0090F"/>
    <w:rsid w:val="00F00CB3"/>
    <w:rsid w:val="00F0456A"/>
    <w:rsid w:val="00F078EB"/>
    <w:rsid w:val="00F10A7F"/>
    <w:rsid w:val="00F121A8"/>
    <w:rsid w:val="00F13190"/>
    <w:rsid w:val="00F14CF0"/>
    <w:rsid w:val="00F16A48"/>
    <w:rsid w:val="00F20B5F"/>
    <w:rsid w:val="00F2294F"/>
    <w:rsid w:val="00F23CD0"/>
    <w:rsid w:val="00F23E5D"/>
    <w:rsid w:val="00F248BD"/>
    <w:rsid w:val="00F2501D"/>
    <w:rsid w:val="00F2670A"/>
    <w:rsid w:val="00F2796D"/>
    <w:rsid w:val="00F2798A"/>
    <w:rsid w:val="00F320C2"/>
    <w:rsid w:val="00F34739"/>
    <w:rsid w:val="00F360F4"/>
    <w:rsid w:val="00F37B53"/>
    <w:rsid w:val="00F408BF"/>
    <w:rsid w:val="00F427A6"/>
    <w:rsid w:val="00F43049"/>
    <w:rsid w:val="00F4325E"/>
    <w:rsid w:val="00F43AC8"/>
    <w:rsid w:val="00F45D90"/>
    <w:rsid w:val="00F47A01"/>
    <w:rsid w:val="00F504F9"/>
    <w:rsid w:val="00F5417A"/>
    <w:rsid w:val="00F56E9F"/>
    <w:rsid w:val="00F5758B"/>
    <w:rsid w:val="00F61D1E"/>
    <w:rsid w:val="00F62874"/>
    <w:rsid w:val="00F633CD"/>
    <w:rsid w:val="00F63852"/>
    <w:rsid w:val="00F63A38"/>
    <w:rsid w:val="00F63C5E"/>
    <w:rsid w:val="00F64542"/>
    <w:rsid w:val="00F65321"/>
    <w:rsid w:val="00F65643"/>
    <w:rsid w:val="00F65D18"/>
    <w:rsid w:val="00F70ABE"/>
    <w:rsid w:val="00F70F22"/>
    <w:rsid w:val="00F7226A"/>
    <w:rsid w:val="00F73289"/>
    <w:rsid w:val="00F748D4"/>
    <w:rsid w:val="00F77A3D"/>
    <w:rsid w:val="00F77C12"/>
    <w:rsid w:val="00F83DB3"/>
    <w:rsid w:val="00F85709"/>
    <w:rsid w:val="00F85C21"/>
    <w:rsid w:val="00F87366"/>
    <w:rsid w:val="00F877C8"/>
    <w:rsid w:val="00F93975"/>
    <w:rsid w:val="00F94DE8"/>
    <w:rsid w:val="00F97891"/>
    <w:rsid w:val="00FA03C1"/>
    <w:rsid w:val="00FA159A"/>
    <w:rsid w:val="00FA37F8"/>
    <w:rsid w:val="00FA50C7"/>
    <w:rsid w:val="00FA5305"/>
    <w:rsid w:val="00FA5A33"/>
    <w:rsid w:val="00FB1714"/>
    <w:rsid w:val="00FB200E"/>
    <w:rsid w:val="00FB5B33"/>
    <w:rsid w:val="00FD2478"/>
    <w:rsid w:val="00FD2991"/>
    <w:rsid w:val="00FD4119"/>
    <w:rsid w:val="00FD5821"/>
    <w:rsid w:val="00FD5DB7"/>
    <w:rsid w:val="00FD5E12"/>
    <w:rsid w:val="00FE0228"/>
    <w:rsid w:val="00FE063C"/>
    <w:rsid w:val="00FE1659"/>
    <w:rsid w:val="00FE24DE"/>
    <w:rsid w:val="00FE39ED"/>
    <w:rsid w:val="00FE43C4"/>
    <w:rsid w:val="00FE7317"/>
    <w:rsid w:val="00FE7F1C"/>
    <w:rsid w:val="00FF0D4C"/>
    <w:rsid w:val="00FF109D"/>
    <w:rsid w:val="09263618"/>
    <w:rsid w:val="2A21FDAF"/>
    <w:rsid w:val="693EC928"/>
    <w:rsid w:val="70FE8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359D6"/>
  <w15:docId w15:val="{207CF887-5F86-402C-A4DD-A2212FC5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493A"/>
    <w:pPr>
      <w:spacing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6B0"/>
    <w:pPr>
      <w:keepNext/>
      <w:keepLines/>
      <w:spacing w:before="360" w:after="240" w:line="240" w:lineRule="auto"/>
      <w:outlineLvl w:val="0"/>
    </w:pPr>
    <w:rPr>
      <w:rFonts w:eastAsiaTheme="majorEastAsia" w:cstheme="majorBidi"/>
      <w:b/>
      <w:color w:val="121212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A473A"/>
    <w:pPr>
      <w:keepNext/>
      <w:keepLines/>
      <w:spacing w:before="360" w:line="240" w:lineRule="auto"/>
      <w:outlineLvl w:val="1"/>
    </w:pPr>
    <w:rPr>
      <w:rFonts w:eastAsiaTheme="majorEastAsia" w:cstheme="majorBidi"/>
      <w:b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C4242"/>
    <w:pPr>
      <w:keepNext/>
      <w:keepLines/>
      <w:spacing w:before="280" w:after="200" w:line="240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80E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01B4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61A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01B4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73A"/>
    <w:rPr>
      <w:rFonts w:ascii="Arial" w:eastAsiaTheme="majorEastAsia" w:hAnsi="Arial" w:cstheme="majorBidi"/>
      <w:b/>
      <w:i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846B0"/>
    <w:rPr>
      <w:rFonts w:ascii="Arial" w:eastAsiaTheme="majorEastAsia" w:hAnsi="Arial" w:cstheme="majorBidi"/>
      <w:b/>
      <w:color w:val="121212" w:themeColor="text1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BB7FC7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D0822"/>
    <w:pPr>
      <w:tabs>
        <w:tab w:val="left" w:pos="880"/>
        <w:tab w:val="right" w:leader="dot" w:pos="9016"/>
      </w:tabs>
      <w:spacing w:after="60"/>
      <w:ind w:left="425"/>
    </w:pPr>
  </w:style>
  <w:style w:type="character" w:styleId="Hyperlink">
    <w:name w:val="Hyperlink"/>
    <w:basedOn w:val="DefaultParagraphFont"/>
    <w:uiPriority w:val="99"/>
    <w:unhideWhenUsed/>
    <w:rsid w:val="00EF6B01"/>
    <w:rPr>
      <w:color w:val="2C2568"/>
      <w:u w:val="single"/>
    </w:rPr>
  </w:style>
  <w:style w:type="table" w:styleId="TableGrid">
    <w:name w:val="Table Grid"/>
    <w:basedOn w:val="TableNormal"/>
    <w:uiPriority w:val="59"/>
    <w:rsid w:val="00BB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BB7FC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rsid w:val="004D0AD0"/>
    <w:pPr>
      <w:spacing w:line="240" w:lineRule="auto"/>
    </w:pPr>
    <w:rPr>
      <w:i/>
      <w:iCs/>
      <w:color w:val="2C2568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C4242"/>
    <w:rPr>
      <w:rFonts w:ascii="Arial" w:eastAsiaTheme="majorEastAsia" w:hAnsi="Arial" w:cstheme="majorBidi"/>
      <w:b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7351D5"/>
    <w:pPr>
      <w:spacing w:before="240" w:after="60"/>
      <w:ind w:left="709" w:right="709"/>
    </w:pPr>
    <w:rPr>
      <w:iCs/>
      <w:color w:val="646464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7351D5"/>
    <w:rPr>
      <w:iCs/>
      <w:color w:val="646464" w:themeColor="text1" w:themeTint="A6"/>
    </w:rPr>
  </w:style>
  <w:style w:type="paragraph" w:styleId="TOC3">
    <w:name w:val="toc 3"/>
    <w:basedOn w:val="Normal"/>
    <w:next w:val="Normal"/>
    <w:autoRedefine/>
    <w:uiPriority w:val="39"/>
    <w:unhideWhenUsed/>
    <w:rsid w:val="004C24CF"/>
    <w:pPr>
      <w:tabs>
        <w:tab w:val="right" w:leader="dot" w:pos="9016"/>
      </w:tabs>
      <w:spacing w:after="40"/>
      <w:ind w:left="851"/>
    </w:pPr>
  </w:style>
  <w:style w:type="paragraph" w:customStyle="1" w:styleId="Body">
    <w:name w:val="Body"/>
    <w:rsid w:val="00CC32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NZ"/>
    </w:rPr>
  </w:style>
  <w:style w:type="numbering" w:customStyle="1" w:styleId="Dash">
    <w:name w:val="Dash"/>
    <w:rsid w:val="00CC32F3"/>
    <w:pPr>
      <w:numPr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980E85"/>
    <w:rPr>
      <w:rFonts w:asciiTheme="majorHAnsi" w:eastAsiaTheme="majorEastAsia" w:hAnsiTheme="majorHAnsi" w:cstheme="majorBidi"/>
      <w:i/>
      <w:iCs/>
      <w:color w:val="201B4D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E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1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DB7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61A9A"/>
    <w:rPr>
      <w:rFonts w:asciiTheme="majorHAnsi" w:eastAsiaTheme="majorEastAsia" w:hAnsiTheme="majorHAnsi" w:cstheme="majorBidi"/>
      <w:color w:val="201B4D" w:themeColor="accent1" w:themeShade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45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45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C45E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2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2E7"/>
  </w:style>
  <w:style w:type="paragraph" w:styleId="Footer">
    <w:name w:val="footer"/>
    <w:basedOn w:val="Normal"/>
    <w:link w:val="FooterChar"/>
    <w:uiPriority w:val="99"/>
    <w:unhideWhenUsed/>
    <w:rsid w:val="00792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2E7"/>
  </w:style>
  <w:style w:type="paragraph" w:styleId="Revision">
    <w:name w:val="Revision"/>
    <w:hidden/>
    <w:uiPriority w:val="99"/>
    <w:semiHidden/>
    <w:rsid w:val="00356454"/>
    <w:pPr>
      <w:spacing w:after="0" w:line="240" w:lineRule="auto"/>
    </w:pPr>
  </w:style>
  <w:style w:type="paragraph" w:styleId="NormalIndent">
    <w:name w:val="Normal Indent"/>
    <w:basedOn w:val="Normal"/>
    <w:uiPriority w:val="99"/>
    <w:unhideWhenUsed/>
    <w:rsid w:val="00851905"/>
    <w:pPr>
      <w:ind w:left="720"/>
    </w:pPr>
  </w:style>
  <w:style w:type="paragraph" w:styleId="ListContinue">
    <w:name w:val="List Continue"/>
    <w:basedOn w:val="Normal"/>
    <w:uiPriority w:val="99"/>
    <w:unhideWhenUsed/>
    <w:rsid w:val="002665C5"/>
    <w:pPr>
      <w:ind w:left="283"/>
      <w:contextualSpacing/>
    </w:pPr>
  </w:style>
  <w:style w:type="paragraph" w:styleId="List">
    <w:name w:val="List"/>
    <w:basedOn w:val="Normal"/>
    <w:uiPriority w:val="99"/>
    <w:unhideWhenUsed/>
    <w:rsid w:val="00FD5821"/>
    <w:pPr>
      <w:ind w:left="283" w:hanging="283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4C24CF"/>
    <w:pPr>
      <w:tabs>
        <w:tab w:val="left" w:pos="425"/>
      </w:tabs>
      <w:spacing w:after="100"/>
    </w:pPr>
  </w:style>
  <w:style w:type="paragraph" w:styleId="ListBullet">
    <w:name w:val="List Bullet"/>
    <w:basedOn w:val="Normal"/>
    <w:link w:val="ListBulletChar"/>
    <w:uiPriority w:val="99"/>
    <w:unhideWhenUsed/>
    <w:rsid w:val="00205AD6"/>
    <w:pPr>
      <w:numPr>
        <w:numId w:val="16"/>
      </w:numPr>
      <w:contextualSpacing/>
    </w:pPr>
  </w:style>
  <w:style w:type="paragraph" w:styleId="ListNumber">
    <w:name w:val="List Number"/>
    <w:basedOn w:val="Normal"/>
    <w:uiPriority w:val="99"/>
    <w:unhideWhenUsed/>
    <w:rsid w:val="00A54CFC"/>
    <w:pPr>
      <w:numPr>
        <w:numId w:val="17"/>
      </w:numPr>
      <w:contextualSpacing/>
    </w:pPr>
  </w:style>
  <w:style w:type="paragraph" w:styleId="BodyText">
    <w:name w:val="Body Text"/>
    <w:basedOn w:val="Normal"/>
    <w:link w:val="BodyTextChar"/>
    <w:uiPriority w:val="1"/>
    <w:rsid w:val="007E0634"/>
    <w:pPr>
      <w:widowControl w:val="0"/>
    </w:pPr>
    <w:rPr>
      <w:rFonts w:eastAsia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E0634"/>
    <w:rPr>
      <w:rFonts w:ascii="Arial" w:eastAsia="Arial" w:hAnsi="Arial" w:cs="Arial"/>
    </w:rPr>
  </w:style>
  <w:style w:type="paragraph" w:customStyle="1" w:styleId="Figuretableheading">
    <w:name w:val="Figure table heading"/>
    <w:basedOn w:val="Normal"/>
    <w:link w:val="FiguretableheadingChar"/>
    <w:rsid w:val="006A473A"/>
    <w:rPr>
      <w:rFonts w:cs="Arial"/>
      <w:b/>
    </w:rPr>
  </w:style>
  <w:style w:type="character" w:customStyle="1" w:styleId="FiguretableheadingChar">
    <w:name w:val="Figure table heading Char"/>
    <w:basedOn w:val="DefaultParagraphFont"/>
    <w:link w:val="Figuretableheading"/>
    <w:rsid w:val="006A473A"/>
    <w:rPr>
      <w:rFonts w:ascii="Arial" w:hAnsi="Arial" w:cs="Arial"/>
      <w:b/>
    </w:rPr>
  </w:style>
  <w:style w:type="paragraph" w:customStyle="1" w:styleId="Bullets">
    <w:name w:val="Bullets"/>
    <w:basedOn w:val="ListBullet"/>
    <w:link w:val="BulletsChar"/>
    <w:rsid w:val="008D7ACA"/>
    <w:pPr>
      <w:spacing w:after="60"/>
      <w:ind w:left="357" w:hanging="357"/>
      <w:contextualSpacing w:val="0"/>
    </w:pPr>
    <w:rPr>
      <w:rFonts w:cs="Arial"/>
    </w:rPr>
  </w:style>
  <w:style w:type="character" w:customStyle="1" w:styleId="ListBulletChar">
    <w:name w:val="List Bullet Char"/>
    <w:basedOn w:val="DefaultParagraphFont"/>
    <w:link w:val="ListBullet"/>
    <w:uiPriority w:val="99"/>
    <w:rsid w:val="008D7ACA"/>
    <w:rPr>
      <w:rFonts w:ascii="Arial" w:hAnsi="Arial"/>
    </w:rPr>
  </w:style>
  <w:style w:type="character" w:customStyle="1" w:styleId="BulletsChar">
    <w:name w:val="Bullets Char"/>
    <w:basedOn w:val="ListBulletChar"/>
    <w:link w:val="Bullets"/>
    <w:rsid w:val="008D7ACA"/>
    <w:rPr>
      <w:rFonts w:ascii="Arial" w:hAnsi="Arial" w:cs="Arial"/>
    </w:rPr>
  </w:style>
  <w:style w:type="paragraph" w:customStyle="1" w:styleId="HQSChead1">
    <w:name w:val="HQSC head 1"/>
    <w:basedOn w:val="Heading1"/>
    <w:qFormat/>
    <w:rsid w:val="00EF6B01"/>
    <w:rPr>
      <w:rFonts w:cs="Arial"/>
      <w:color w:val="2C2568"/>
    </w:rPr>
  </w:style>
  <w:style w:type="paragraph" w:customStyle="1" w:styleId="HQSCbodytext">
    <w:name w:val="HQSC body text"/>
    <w:basedOn w:val="Normal"/>
    <w:qFormat/>
    <w:rsid w:val="00D8248F"/>
    <w:rPr>
      <w:rFonts w:cs="Arial"/>
    </w:rPr>
  </w:style>
  <w:style w:type="paragraph" w:customStyle="1" w:styleId="HQSCbullets">
    <w:name w:val="HQSC bullets"/>
    <w:basedOn w:val="Bullets"/>
    <w:qFormat/>
    <w:rsid w:val="00792E41"/>
  </w:style>
  <w:style w:type="paragraph" w:customStyle="1" w:styleId="HQSCindentedquote">
    <w:name w:val="HQSC indented quote"/>
    <w:basedOn w:val="Quote"/>
    <w:qFormat/>
    <w:rsid w:val="009B60E1"/>
    <w:rPr>
      <w:rFonts w:cs="Arial"/>
      <w:color w:val="auto"/>
    </w:rPr>
  </w:style>
  <w:style w:type="paragraph" w:customStyle="1" w:styleId="HQSCsource">
    <w:name w:val="HQSC source"/>
    <w:basedOn w:val="NormalIndent"/>
    <w:qFormat/>
    <w:rsid w:val="00792E41"/>
    <w:rPr>
      <w:rFonts w:cs="Arial"/>
    </w:rPr>
  </w:style>
  <w:style w:type="paragraph" w:customStyle="1" w:styleId="HQSChead2">
    <w:name w:val="HQSC head 2"/>
    <w:basedOn w:val="Heading2"/>
    <w:qFormat/>
    <w:rsid w:val="00EF6B01"/>
    <w:rPr>
      <w:rFonts w:cs="Arial"/>
      <w:i w:val="0"/>
      <w:color w:val="2C2568"/>
    </w:rPr>
  </w:style>
  <w:style w:type="paragraph" w:customStyle="1" w:styleId="HQSChead3">
    <w:name w:val="HQSC head 3"/>
    <w:basedOn w:val="Heading3"/>
    <w:qFormat/>
    <w:rsid w:val="00792E41"/>
    <w:rPr>
      <w:rFonts w:cs="Arial"/>
    </w:rPr>
  </w:style>
  <w:style w:type="paragraph" w:customStyle="1" w:styleId="HQSCtablefigurecaption">
    <w:name w:val="HQSC table/figure caption"/>
    <w:basedOn w:val="Figuretableheading"/>
    <w:qFormat/>
    <w:rsid w:val="00792E41"/>
  </w:style>
  <w:style w:type="paragraph" w:customStyle="1" w:styleId="HQSCtablecolumnhead">
    <w:name w:val="HQSC table column head"/>
    <w:basedOn w:val="Normal"/>
    <w:qFormat/>
    <w:rsid w:val="00792E41"/>
    <w:pPr>
      <w:framePr w:hSpace="180" w:wrap="around" w:vAnchor="text" w:hAnchor="margin" w:y="2"/>
      <w:spacing w:before="60" w:after="60" w:line="240" w:lineRule="auto"/>
    </w:pPr>
    <w:rPr>
      <w:rFonts w:cs="Arial"/>
      <w:b/>
    </w:rPr>
  </w:style>
  <w:style w:type="paragraph" w:customStyle="1" w:styleId="HQSCtablecontent">
    <w:name w:val="HQSC table content"/>
    <w:basedOn w:val="Normal"/>
    <w:qFormat/>
    <w:rsid w:val="00792E41"/>
    <w:pPr>
      <w:framePr w:hSpace="180" w:wrap="around" w:vAnchor="text" w:hAnchor="margin" w:y="2"/>
      <w:spacing w:before="60" w:after="60" w:line="240" w:lineRule="auto"/>
    </w:pPr>
    <w:rPr>
      <w:rFonts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9B60E1"/>
    <w:rPr>
      <w:color w:val="605E5C"/>
      <w:shd w:val="clear" w:color="auto" w:fill="E1DFDD"/>
    </w:rPr>
  </w:style>
  <w:style w:type="table" w:customStyle="1" w:styleId="TeThHauoratable">
    <w:name w:val="Te Tāhū Hauora table"/>
    <w:basedOn w:val="TableNormal"/>
    <w:uiPriority w:val="99"/>
    <w:rsid w:val="004D6696"/>
    <w:pPr>
      <w:spacing w:after="0" w:line="240" w:lineRule="auto"/>
    </w:pPr>
    <w:rPr>
      <w:rFonts w:ascii="Arial" w:hAnsi="Arial"/>
    </w:rPr>
    <w:tblPr/>
  </w:style>
  <w:style w:type="paragraph" w:styleId="Subtitle">
    <w:name w:val="Subtitle"/>
    <w:basedOn w:val="Normal"/>
    <w:next w:val="Normal"/>
    <w:link w:val="SubtitleChar"/>
    <w:uiPriority w:val="11"/>
    <w:rsid w:val="007653D8"/>
    <w:pPr>
      <w:numPr>
        <w:ilvl w:val="1"/>
      </w:numPr>
      <w:spacing w:after="160"/>
    </w:pPr>
    <w:rPr>
      <w:rFonts w:asciiTheme="minorHAnsi" w:eastAsiaTheme="minorEastAsia" w:hAnsiTheme="minorHAnsi"/>
      <w:color w:val="656565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653D8"/>
    <w:rPr>
      <w:rFonts w:eastAsiaTheme="minorEastAsia"/>
      <w:color w:val="656565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2A4CFA"/>
    <w:pPr>
      <w:pBdr>
        <w:bottom w:val="single" w:sz="8" w:space="4" w:color="2C25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01B4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A4CFA"/>
    <w:rPr>
      <w:rFonts w:asciiTheme="majorHAnsi" w:eastAsiaTheme="majorEastAsia" w:hAnsiTheme="majorHAnsi" w:cstheme="majorBidi"/>
      <w:color w:val="201B4D" w:themeColor="text2" w:themeShade="BF"/>
      <w:spacing w:val="5"/>
      <w:kern w:val="28"/>
      <w:sz w:val="52"/>
      <w:szCs w:val="5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18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80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1803"/>
    <w:rPr>
      <w:vertAlign w:val="superscript"/>
    </w:rPr>
  </w:style>
  <w:style w:type="table" w:styleId="GridTable4-Accent1">
    <w:name w:val="Grid Table 4 Accent 1"/>
    <w:basedOn w:val="TableNormal"/>
    <w:uiPriority w:val="49"/>
    <w:rsid w:val="009F2B44"/>
    <w:pPr>
      <w:spacing w:after="0" w:line="240" w:lineRule="auto"/>
    </w:pPr>
    <w:tblPr>
      <w:tblStyleRowBandSize w:val="1"/>
      <w:tblStyleColBandSize w:val="1"/>
      <w:tblBorders>
        <w:top w:val="single" w:sz="4" w:space="0" w:color="665BC4" w:themeColor="accent1" w:themeTint="99"/>
        <w:left w:val="single" w:sz="4" w:space="0" w:color="665BC4" w:themeColor="accent1" w:themeTint="99"/>
        <w:bottom w:val="single" w:sz="4" w:space="0" w:color="665BC4" w:themeColor="accent1" w:themeTint="99"/>
        <w:right w:val="single" w:sz="4" w:space="0" w:color="665BC4" w:themeColor="accent1" w:themeTint="99"/>
        <w:insideH w:val="single" w:sz="4" w:space="0" w:color="665BC4" w:themeColor="accent1" w:themeTint="99"/>
        <w:insideV w:val="single" w:sz="4" w:space="0" w:color="665B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568" w:themeColor="accent1"/>
          <w:left w:val="single" w:sz="4" w:space="0" w:color="2C2568" w:themeColor="accent1"/>
          <w:bottom w:val="single" w:sz="4" w:space="0" w:color="2C2568" w:themeColor="accent1"/>
          <w:right w:val="single" w:sz="4" w:space="0" w:color="2C2568" w:themeColor="accent1"/>
          <w:insideH w:val="nil"/>
          <w:insideV w:val="nil"/>
        </w:tcBorders>
        <w:shd w:val="clear" w:color="auto" w:fill="2C2568" w:themeFill="accent1"/>
      </w:tcPr>
    </w:tblStylePr>
    <w:tblStylePr w:type="lastRow">
      <w:rPr>
        <w:b/>
        <w:bCs/>
      </w:rPr>
      <w:tblPr/>
      <w:tcPr>
        <w:tcBorders>
          <w:top w:val="double" w:sz="4" w:space="0" w:color="2C25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8EB" w:themeFill="accent1" w:themeFillTint="33"/>
      </w:tcPr>
    </w:tblStylePr>
    <w:tblStylePr w:type="band1Horz">
      <w:tblPr/>
      <w:tcPr>
        <w:shd w:val="clear" w:color="auto" w:fill="CBC8EB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91371"/>
    <w:rPr>
      <w:color w:val="2C256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7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cfirguide.org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rae\OneDrive%20-%20Health%20Quality%20Safety%20Commission\Desktop\Nikki\Sepsis\1-Sepsis%20package\FAQs\HQSC%20template.dotx" TargetMode="External"/></Relationships>
</file>

<file path=word/theme/theme1.xml><?xml version="1.0" encoding="utf-8"?>
<a:theme xmlns:a="http://schemas.openxmlformats.org/drawingml/2006/main" name="Office Theme">
  <a:themeElements>
    <a:clrScheme name="Te Tāhū Hauora">
      <a:dk1>
        <a:srgbClr val="121212"/>
      </a:dk1>
      <a:lt1>
        <a:srgbClr val="FFFFFF"/>
      </a:lt1>
      <a:dk2>
        <a:srgbClr val="2C2568"/>
      </a:dk2>
      <a:lt2>
        <a:srgbClr val="E8E5E5"/>
      </a:lt2>
      <a:accent1>
        <a:srgbClr val="2C2568"/>
      </a:accent1>
      <a:accent2>
        <a:srgbClr val="107383"/>
      </a:accent2>
      <a:accent3>
        <a:srgbClr val="37B0A8"/>
      </a:accent3>
      <a:accent4>
        <a:srgbClr val="904281"/>
      </a:accent4>
      <a:accent5>
        <a:srgbClr val="BB7CB3"/>
      </a:accent5>
      <a:accent6>
        <a:srgbClr val="FF4F2D"/>
      </a:accent6>
      <a:hlink>
        <a:srgbClr val="2C2568"/>
      </a:hlink>
      <a:folHlink>
        <a:srgbClr val="2C25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9904b-9bca-4a1b-aca3-78dad2044d15" xsi:nil="true"/>
    <_dlc_DocId xmlns="bef9904b-9bca-4a1b-aca3-78dad2044d15">DOCS-19005406-11514</_dlc_DocId>
    <_dlc_DocIdUrl xmlns="bef9904b-9bca-4a1b-aca3-78dad2044d15">
      <Url>https://hqsc.sharepoint.com/sites/dms-programmes/_layouts/15/DocIdRedir.aspx?ID=DOCS-19005406-11514</Url>
      <Description>DOCS-19005406-11514</Description>
    </_dlc_DocIdUrl>
    <lcf76f155ced4ddcb4097134ff3c332f xmlns="6115505d-417d-4ecf-9a00-27adfb90561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6CA698B3FC04A8677386CDAE57E29" ma:contentTypeVersion="20" ma:contentTypeDescription="Create a new document." ma:contentTypeScope="" ma:versionID="2443142caa3067f8dfc6e9f822ae9b87">
  <xsd:schema xmlns:xsd="http://www.w3.org/2001/XMLSchema" xmlns:xs="http://www.w3.org/2001/XMLSchema" xmlns:p="http://schemas.microsoft.com/office/2006/metadata/properties" xmlns:ns2="6115505d-417d-4ecf-9a00-27adfb90561b" xmlns:ns3="bef9904b-9bca-4a1b-aca3-78dad2044d15" targetNamespace="http://schemas.microsoft.com/office/2006/metadata/properties" ma:root="true" ma:fieldsID="daa327d5bad6a2cb4aad428b3d6aaa21" ns2:_="" ns3:_="">
    <xsd:import namespace="6115505d-417d-4ecf-9a00-27adfb90561b"/>
    <xsd:import namespace="bef9904b-9bca-4a1b-aca3-78dad2044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505d-417d-4ecf-9a00-27adfb905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9904b-9bca-4a1b-aca3-78dad2044d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3aa043-9336-4ecf-bd0c-87fd8a0c1d53}" ma:internalName="TaxCatchAll" ma:showField="CatchAllData" ma:web="bef9904b-9bca-4a1b-aca3-78dad204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A2A38A-F894-4ED8-BDBD-B0DE763C297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EA3E01-A735-482A-A783-12E764FDB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4217C-7EC6-4166-B6FA-B188E2D0B934}">
  <ds:schemaRefs>
    <ds:schemaRef ds:uri="http://schemas.microsoft.com/office/2006/metadata/properties"/>
    <ds:schemaRef ds:uri="http://schemas.microsoft.com/office/infopath/2007/PartnerControls"/>
    <ds:schemaRef ds:uri="bef9904b-9bca-4a1b-aca3-78dad2044d15"/>
    <ds:schemaRef ds:uri="6115505d-417d-4ecf-9a00-27adfb90561b"/>
  </ds:schemaRefs>
</ds:datastoreItem>
</file>

<file path=customXml/itemProps4.xml><?xml version="1.0" encoding="utf-8"?>
<ds:datastoreItem xmlns:ds="http://schemas.openxmlformats.org/officeDocument/2006/customXml" ds:itemID="{6E9979EB-B2CE-4A21-80E0-97B77D9BD7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591070-55C9-42DA-A9B4-5B6880826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5505d-417d-4ecf-9a00-27adfb90561b"/>
    <ds:schemaRef ds:uri="bef9904b-9bca-4a1b-aca3-78dad2044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1cefdf-35f4-4444-8638-55f0e12ab1c4}" enabled="0" method="" siteId="{701cefdf-35f4-4444-8638-55f0e12ab1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HQSC template</Template>
  <TotalTime>0</TotalTime>
  <Pages>4</Pages>
  <Words>1142</Words>
  <Characters>7612</Characters>
  <Application>Microsoft Office Word</Application>
  <DocSecurity>4</DocSecurity>
  <Lines>304</Lines>
  <Paragraphs>71</Paragraphs>
  <ScaleCrop>false</ScaleCrop>
  <Company>Health Quality &amp; Safety Commission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Grae</dc:creator>
  <cp:keywords/>
  <dc:description/>
  <cp:lastModifiedBy>Aimee Barton</cp:lastModifiedBy>
  <cp:revision>2</cp:revision>
  <dcterms:created xsi:type="dcterms:W3CDTF">2026-08-09T20:56:00Z</dcterms:created>
  <dcterms:modified xsi:type="dcterms:W3CDTF">2026-08-09T20:56:00Z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0x010100BD26CA698B3FC04A8677386CDAE57E29</vt:lpwstr>
  </property>
  <property fmtid="{D5CDD505-2E9C-101B-9397-08002B2CF9AE}" pid="3" name="AuthorIds_UIVersion_1024">
    <vt:lpwstr>17</vt:lpwstr>
  </property>
  <property fmtid="{D5CDD505-2E9C-101B-9397-08002B2CF9AE}" pid="4" name="MediaServiceImageTags">
    <vt:lpwstr/>
  </property>
  <property fmtid="{D5CDD505-2E9C-101B-9397-08002B2CF9AE}" pid="5" name="MMTeam">
    <vt:lpwstr>90;#Communications|9bb0b4c6-0c40-4de2-86de-4dfe1ea215df</vt:lpwstr>
  </property>
  <property fmtid="{D5CDD505-2E9C-101B-9397-08002B2CF9AE}" pid="6" name="_dlc_DocIdItemGuid">
    <vt:lpwstr>cab7beda-7b70-4624-8cae-559ddca8ef4c</vt:lpwstr>
  </property>
</Properties>
</file>