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61B2" w14:textId="7E534270" w:rsidR="00711A8E" w:rsidRDefault="00711A8E" w:rsidP="008F51BF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/>
        </w:rPr>
        <w:drawing>
          <wp:inline distT="0" distB="0" distL="0" distR="0" wp14:anchorId="2D6E8406" wp14:editId="131095E6">
            <wp:extent cx="2831757" cy="838200"/>
            <wp:effectExtent l="0" t="0" r="698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149" cy="83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8B121" w14:textId="77777777" w:rsidR="00711A8E" w:rsidRDefault="00711A8E" w:rsidP="008F51BF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A294D41" w14:textId="77777777" w:rsidR="00711A8E" w:rsidRDefault="00711A8E" w:rsidP="008F51BF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FAB8B8D" w14:textId="052ECD84" w:rsidR="00253821" w:rsidRPr="00FA1ECD" w:rsidRDefault="00E72A15" w:rsidP="00FA1ECD">
      <w:pPr>
        <w:pStyle w:val="NoSpacing"/>
        <w:spacing w:line="276" w:lineRule="auto"/>
        <w:rPr>
          <w:rFonts w:ascii="Arial" w:hAnsi="Arial"/>
          <w:b/>
          <w:sz w:val="28"/>
          <w:lang w:val="en-GB"/>
        </w:rPr>
      </w:pPr>
      <w:r w:rsidRPr="00FA1ECD">
        <w:rPr>
          <w:rFonts w:ascii="Arial" w:hAnsi="Arial"/>
          <w:b/>
          <w:sz w:val="28"/>
          <w:lang w:val="en-GB"/>
        </w:rPr>
        <w:t xml:space="preserve">Using the </w:t>
      </w:r>
      <w:r w:rsidR="005B0AAA" w:rsidRPr="00711A8E">
        <w:rPr>
          <w:rFonts w:ascii="Arial" w:hAnsi="Arial" w:cs="Arial"/>
          <w:b/>
          <w:bCs/>
          <w:sz w:val="28"/>
          <w:szCs w:val="28"/>
          <w:lang w:val="en-GB"/>
        </w:rPr>
        <w:t>Health Quality &amp; Safety Commission</w:t>
      </w:r>
      <w:r w:rsidR="00253821" w:rsidRPr="00711A8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351E1C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5B0AAA" w:rsidRPr="00711A8E">
        <w:rPr>
          <w:rFonts w:ascii="Arial" w:hAnsi="Arial" w:cs="Arial"/>
          <w:b/>
          <w:bCs/>
          <w:sz w:val="28"/>
          <w:szCs w:val="28"/>
          <w:lang w:val="en-GB"/>
        </w:rPr>
        <w:t xml:space="preserve">urgical </w:t>
      </w:r>
      <w:r w:rsidR="00351E1C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="005B0AAA" w:rsidRPr="00711A8E">
        <w:rPr>
          <w:rFonts w:ascii="Arial" w:hAnsi="Arial" w:cs="Arial"/>
          <w:b/>
          <w:bCs/>
          <w:sz w:val="28"/>
          <w:szCs w:val="28"/>
          <w:lang w:val="en-GB"/>
        </w:rPr>
        <w:t xml:space="preserve">ite </w:t>
      </w:r>
      <w:r w:rsidR="00351E1C">
        <w:rPr>
          <w:rFonts w:ascii="Arial" w:hAnsi="Arial" w:cs="Arial"/>
          <w:b/>
          <w:bCs/>
          <w:sz w:val="28"/>
          <w:szCs w:val="28"/>
          <w:lang w:val="en-GB"/>
        </w:rPr>
        <w:t>I</w:t>
      </w:r>
      <w:r w:rsidR="005B0AAA" w:rsidRPr="00711A8E">
        <w:rPr>
          <w:rFonts w:ascii="Arial" w:hAnsi="Arial" w:cs="Arial"/>
          <w:b/>
          <w:bCs/>
          <w:sz w:val="28"/>
          <w:szCs w:val="28"/>
          <w:lang w:val="en-GB"/>
        </w:rPr>
        <w:t>nfection</w:t>
      </w:r>
      <w:r w:rsidR="004133D8" w:rsidRPr="00FA1ECD">
        <w:rPr>
          <w:rFonts w:ascii="Arial" w:hAnsi="Arial"/>
          <w:b/>
          <w:sz w:val="28"/>
          <w:lang w:val="en-GB"/>
        </w:rPr>
        <w:t xml:space="preserve"> investigation tool </w:t>
      </w:r>
      <w:r w:rsidR="00711A8E" w:rsidRPr="00711A8E">
        <w:rPr>
          <w:rFonts w:ascii="Arial" w:hAnsi="Arial" w:cs="Arial"/>
          <w:b/>
          <w:bCs/>
          <w:sz w:val="28"/>
          <w:szCs w:val="28"/>
          <w:lang w:val="en-GB"/>
        </w:rPr>
        <w:t xml:space="preserve">– </w:t>
      </w:r>
      <w:r w:rsidR="00601632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601632" w:rsidRPr="00711A8E">
        <w:rPr>
          <w:rFonts w:ascii="Arial" w:hAnsi="Arial" w:cs="Arial"/>
          <w:b/>
          <w:bCs/>
          <w:sz w:val="28"/>
          <w:szCs w:val="28"/>
          <w:lang w:val="en-GB"/>
        </w:rPr>
        <w:t xml:space="preserve"> summary of practice points </w:t>
      </w:r>
      <w:r w:rsidR="00601632">
        <w:rPr>
          <w:rFonts w:ascii="Arial" w:hAnsi="Arial" w:cs="Arial"/>
          <w:b/>
          <w:bCs/>
          <w:sz w:val="28"/>
          <w:szCs w:val="28"/>
          <w:lang w:val="en-GB"/>
        </w:rPr>
        <w:t>from</w:t>
      </w:r>
      <w:r w:rsidRPr="00FA1ECD">
        <w:rPr>
          <w:rFonts w:ascii="Arial" w:hAnsi="Arial"/>
          <w:b/>
          <w:sz w:val="28"/>
          <w:lang w:val="en-GB"/>
        </w:rPr>
        <w:t xml:space="preserve"> </w:t>
      </w:r>
      <w:r w:rsidR="00CD0F0E" w:rsidRPr="00FA1ECD">
        <w:rPr>
          <w:rFonts w:ascii="Arial" w:hAnsi="Arial"/>
          <w:b/>
          <w:sz w:val="28"/>
          <w:lang w:val="en-GB"/>
        </w:rPr>
        <w:t>Dr Arthur</w:t>
      </w:r>
      <w:r w:rsidRPr="00FA1ECD">
        <w:rPr>
          <w:rFonts w:ascii="Arial" w:hAnsi="Arial"/>
          <w:b/>
          <w:sz w:val="28"/>
          <w:lang w:val="en-GB"/>
        </w:rPr>
        <w:t xml:space="preserve"> </w:t>
      </w:r>
      <w:r w:rsidR="00FC7012" w:rsidRPr="00FA1ECD">
        <w:rPr>
          <w:rFonts w:ascii="Arial" w:hAnsi="Arial"/>
          <w:b/>
          <w:sz w:val="28"/>
          <w:lang w:val="en-GB"/>
        </w:rPr>
        <w:t>Morris</w:t>
      </w:r>
      <w:r w:rsidR="00253821" w:rsidRPr="00FA1ECD">
        <w:rPr>
          <w:rFonts w:ascii="Arial" w:hAnsi="Arial"/>
          <w:b/>
          <w:sz w:val="28"/>
          <w:lang w:val="en-GB"/>
        </w:rPr>
        <w:t xml:space="preserve">, </w:t>
      </w:r>
      <w:r w:rsidR="00711A8E" w:rsidRPr="00711A8E">
        <w:rPr>
          <w:rFonts w:ascii="Arial" w:hAnsi="Arial" w:cs="Arial"/>
          <w:b/>
          <w:bCs/>
          <w:sz w:val="28"/>
          <w:szCs w:val="28"/>
          <w:lang w:val="en-GB"/>
        </w:rPr>
        <w:t>clinical lead, Health Quality &amp; Safety Commission</w:t>
      </w:r>
    </w:p>
    <w:p w14:paraId="619CF3A2" w14:textId="5D3B68AA" w:rsidR="00604659" w:rsidRPr="00FA1ECD" w:rsidRDefault="00604659" w:rsidP="00FA1ECD">
      <w:pPr>
        <w:pStyle w:val="NoSpacing"/>
        <w:spacing w:line="276" w:lineRule="auto"/>
        <w:rPr>
          <w:rFonts w:ascii="Arial" w:hAnsi="Arial"/>
          <w:b/>
          <w:sz w:val="28"/>
          <w:lang w:val="en-GB"/>
        </w:rPr>
      </w:pPr>
    </w:p>
    <w:p w14:paraId="4964563F" w14:textId="6DEC5B51" w:rsidR="00604659" w:rsidRDefault="00E72A15">
      <w:pPr>
        <w:rPr>
          <w:lang w:val="en-GB"/>
        </w:rPr>
      </w:pPr>
      <w:r w:rsidRPr="00B757C3">
        <w:rPr>
          <w:lang w:val="en-GB"/>
        </w:rPr>
        <w:t xml:space="preserve">The following points summarise the </w:t>
      </w:r>
      <w:r w:rsidR="00253821" w:rsidRPr="00B757C3">
        <w:rPr>
          <w:lang w:val="en-GB"/>
        </w:rPr>
        <w:t xml:space="preserve">information </w:t>
      </w:r>
      <w:r w:rsidR="00253821" w:rsidRPr="005B0AAA">
        <w:rPr>
          <w:lang w:val="en-GB"/>
        </w:rPr>
        <w:t xml:space="preserve">Dr </w:t>
      </w:r>
      <w:r w:rsidR="000643A4">
        <w:rPr>
          <w:lang w:val="en-GB"/>
        </w:rPr>
        <w:t xml:space="preserve">Arthur </w:t>
      </w:r>
      <w:r w:rsidR="00253821" w:rsidRPr="005B0AAA">
        <w:rPr>
          <w:lang w:val="en-GB"/>
        </w:rPr>
        <w:t xml:space="preserve">Morris </w:t>
      </w:r>
      <w:r w:rsidR="00253821" w:rsidRPr="00B757C3">
        <w:rPr>
          <w:lang w:val="en-GB"/>
        </w:rPr>
        <w:t xml:space="preserve">provided during his </w:t>
      </w:r>
      <w:r w:rsidR="000643A4">
        <w:rPr>
          <w:lang w:val="en-GB"/>
        </w:rPr>
        <w:t xml:space="preserve">webinar </w:t>
      </w:r>
      <w:r w:rsidR="00253821" w:rsidRPr="00B757C3">
        <w:rPr>
          <w:lang w:val="en-GB"/>
        </w:rPr>
        <w:t>presentation</w:t>
      </w:r>
      <w:r w:rsidR="00601632">
        <w:rPr>
          <w:lang w:val="en-GB"/>
        </w:rPr>
        <w:t xml:space="preserve"> on </w:t>
      </w:r>
      <w:r w:rsidR="00601632" w:rsidRPr="00601632">
        <w:rPr>
          <w:lang w:val="en-GB"/>
        </w:rPr>
        <w:t xml:space="preserve">7 December 2021 </w:t>
      </w:r>
      <w:r w:rsidR="00601632">
        <w:rPr>
          <w:lang w:val="en-GB"/>
        </w:rPr>
        <w:t>and include</w:t>
      </w:r>
      <w:r w:rsidR="00253821" w:rsidRPr="00B757C3">
        <w:rPr>
          <w:lang w:val="en-GB"/>
        </w:rPr>
        <w:t xml:space="preserve"> the rationale for collecting specific data.</w:t>
      </w:r>
      <w:r w:rsidRPr="00B757C3">
        <w:rPr>
          <w:lang w:val="en-GB"/>
        </w:rPr>
        <w:t xml:space="preserve"> </w:t>
      </w:r>
    </w:p>
    <w:p w14:paraId="02D32BD7" w14:textId="363499FB" w:rsidR="00BA28FF" w:rsidRPr="00B757C3" w:rsidRDefault="00BA28FF" w:rsidP="00BA28FF">
      <w:pPr>
        <w:rPr>
          <w:lang w:val="en-GB"/>
        </w:rPr>
      </w:pPr>
      <w:r>
        <w:rPr>
          <w:lang w:val="en-GB"/>
        </w:rPr>
        <w:t>The s</w:t>
      </w:r>
      <w:r w:rsidRPr="00BA28FF">
        <w:rPr>
          <w:lang w:val="en-GB"/>
        </w:rPr>
        <w:t>urgical site infection (SSI) investigation tool</w:t>
      </w:r>
      <w:r>
        <w:rPr>
          <w:lang w:val="en-GB"/>
        </w:rPr>
        <w:t xml:space="preserve"> is available on the Commission website at: </w:t>
      </w:r>
      <w:hyperlink r:id="rId13" w:history="1">
        <w:r w:rsidRPr="00687C41">
          <w:rPr>
            <w:rStyle w:val="Hyperlink"/>
            <w:lang w:val="en-GB"/>
          </w:rPr>
          <w:t>www.hqsc.govt.nz/resources/resource-library/surgical-site-infection-ssi-investigation-tool/</w:t>
        </w:r>
      </w:hyperlink>
      <w:r>
        <w:rPr>
          <w:lang w:val="en-GB"/>
        </w:rPr>
        <w:t xml:space="preserve">. </w:t>
      </w:r>
    </w:p>
    <w:p w14:paraId="521D15DF" w14:textId="2F4F6FC0" w:rsidR="0014115C" w:rsidRPr="0074056D" w:rsidRDefault="0014115C" w:rsidP="00FA1ECD">
      <w:pPr>
        <w:pStyle w:val="Heading2"/>
        <w:rPr>
          <w:lang w:val="en-GB"/>
        </w:rPr>
      </w:pPr>
      <w:r w:rsidRPr="0074056D">
        <w:rPr>
          <w:lang w:val="en-GB"/>
        </w:rPr>
        <w:t>General notes</w:t>
      </w:r>
    </w:p>
    <w:p w14:paraId="64BC0A89" w14:textId="2BA97618" w:rsidR="00253821" w:rsidRPr="00B757C3" w:rsidRDefault="000643A4" w:rsidP="00FA1ECD">
      <w:pPr>
        <w:pStyle w:val="ListParagraph"/>
        <w:numPr>
          <w:ilvl w:val="0"/>
          <w:numId w:val="2"/>
        </w:numPr>
        <w:ind w:left="357" w:hanging="357"/>
        <w:contextualSpacing w:val="0"/>
        <w:rPr>
          <w:lang w:val="en-GB"/>
        </w:rPr>
      </w:pPr>
      <w:r>
        <w:rPr>
          <w:lang w:val="en-GB"/>
        </w:rPr>
        <w:t xml:space="preserve">The </w:t>
      </w:r>
      <w:r w:rsidRPr="000643A4">
        <w:rPr>
          <w:lang w:val="en-GB"/>
        </w:rPr>
        <w:t>Health Quality &amp; Safety Commission</w:t>
      </w:r>
      <w:r>
        <w:rPr>
          <w:lang w:val="en-GB"/>
        </w:rPr>
        <w:t xml:space="preserve"> (the Commission) requires district health boards (</w:t>
      </w:r>
      <w:r w:rsidR="00640E89" w:rsidRPr="00B757C3">
        <w:rPr>
          <w:lang w:val="en-GB"/>
        </w:rPr>
        <w:t>DHBs</w:t>
      </w:r>
      <w:r>
        <w:rPr>
          <w:lang w:val="en-GB"/>
        </w:rPr>
        <w:t>)</w:t>
      </w:r>
      <w:r w:rsidR="00640E89" w:rsidRPr="00B757C3">
        <w:rPr>
          <w:lang w:val="en-GB"/>
        </w:rPr>
        <w:t xml:space="preserve"> </w:t>
      </w:r>
      <w:r w:rsidR="001C6B21" w:rsidRPr="00B757C3">
        <w:rPr>
          <w:lang w:val="en-GB"/>
        </w:rPr>
        <w:t>participating in</w:t>
      </w:r>
      <w:r w:rsidR="00640E89" w:rsidRPr="00B757C3">
        <w:rPr>
          <w:lang w:val="en-GB"/>
        </w:rPr>
        <w:t xml:space="preserve"> light surveillance </w:t>
      </w:r>
      <w:r w:rsidR="000F5C53" w:rsidRPr="00B757C3">
        <w:rPr>
          <w:lang w:val="en-GB"/>
        </w:rPr>
        <w:t>to undertake i</w:t>
      </w:r>
      <w:r w:rsidR="001C6B21" w:rsidRPr="00B757C3">
        <w:rPr>
          <w:lang w:val="en-GB"/>
        </w:rPr>
        <w:t>n</w:t>
      </w:r>
      <w:r w:rsidR="000F5C53" w:rsidRPr="00B757C3">
        <w:rPr>
          <w:lang w:val="en-GB"/>
        </w:rPr>
        <w:t>-depth investi</w:t>
      </w:r>
      <w:r w:rsidR="001C6B21" w:rsidRPr="00B757C3">
        <w:rPr>
          <w:lang w:val="en-GB"/>
        </w:rPr>
        <w:t>g</w:t>
      </w:r>
      <w:r w:rsidR="000F5C53" w:rsidRPr="00B757C3">
        <w:rPr>
          <w:lang w:val="en-GB"/>
        </w:rPr>
        <w:t>ation</w:t>
      </w:r>
      <w:r w:rsidR="001C6B21" w:rsidRPr="00B757C3">
        <w:rPr>
          <w:lang w:val="en-GB"/>
        </w:rPr>
        <w:t>s</w:t>
      </w:r>
      <w:r w:rsidR="000F5C53" w:rsidRPr="00B757C3">
        <w:rPr>
          <w:lang w:val="en-GB"/>
        </w:rPr>
        <w:t xml:space="preserve"> of </w:t>
      </w:r>
      <w:r>
        <w:rPr>
          <w:lang w:val="en-GB"/>
        </w:rPr>
        <w:t>surgical site infections (</w:t>
      </w:r>
      <w:r w:rsidR="00640E89" w:rsidRPr="00B757C3">
        <w:rPr>
          <w:lang w:val="en-GB"/>
        </w:rPr>
        <w:t>SSIs</w:t>
      </w:r>
      <w:r>
        <w:rPr>
          <w:lang w:val="en-GB"/>
        </w:rPr>
        <w:t>)</w:t>
      </w:r>
      <w:r w:rsidR="001040E1" w:rsidRPr="00B757C3">
        <w:rPr>
          <w:lang w:val="en-GB"/>
        </w:rPr>
        <w:t xml:space="preserve"> using the SSI </w:t>
      </w:r>
      <w:r>
        <w:rPr>
          <w:lang w:val="en-GB"/>
        </w:rPr>
        <w:t>i</w:t>
      </w:r>
      <w:r w:rsidR="001040E1" w:rsidRPr="000643A4">
        <w:rPr>
          <w:lang w:val="en-GB"/>
        </w:rPr>
        <w:t>nvestigation</w:t>
      </w:r>
      <w:r w:rsidR="001040E1" w:rsidRPr="00B757C3">
        <w:rPr>
          <w:lang w:val="en-GB"/>
        </w:rPr>
        <w:t xml:space="preserve"> </w:t>
      </w:r>
      <w:r w:rsidR="00B757C3" w:rsidRPr="00B757C3">
        <w:rPr>
          <w:lang w:val="en-GB"/>
        </w:rPr>
        <w:t>t</w:t>
      </w:r>
      <w:r w:rsidR="001040E1" w:rsidRPr="00B757C3">
        <w:rPr>
          <w:lang w:val="en-GB"/>
        </w:rPr>
        <w:t>ool</w:t>
      </w:r>
      <w:r w:rsidR="00640E89" w:rsidRPr="00B757C3">
        <w:rPr>
          <w:lang w:val="en-GB"/>
        </w:rPr>
        <w:t xml:space="preserve">. </w:t>
      </w:r>
      <w:r>
        <w:rPr>
          <w:lang w:val="en-GB"/>
        </w:rPr>
        <w:t>D</w:t>
      </w:r>
      <w:r w:rsidR="00640E89" w:rsidRPr="000643A4">
        <w:rPr>
          <w:lang w:val="en-GB"/>
        </w:rPr>
        <w:t>eep</w:t>
      </w:r>
      <w:r w:rsidR="00640E89" w:rsidRPr="00B757C3">
        <w:rPr>
          <w:lang w:val="en-GB"/>
        </w:rPr>
        <w:t xml:space="preserve"> </w:t>
      </w:r>
      <w:r w:rsidR="001A0344" w:rsidRPr="00B757C3">
        <w:rPr>
          <w:lang w:val="en-GB"/>
        </w:rPr>
        <w:t xml:space="preserve">and organ space </w:t>
      </w:r>
      <w:r w:rsidR="00B362E3">
        <w:rPr>
          <w:lang w:val="en-GB"/>
        </w:rPr>
        <w:t>infections</w:t>
      </w:r>
      <w:r>
        <w:rPr>
          <w:lang w:val="en-GB"/>
        </w:rPr>
        <w:t xml:space="preserve"> should take priority</w:t>
      </w:r>
      <w:r w:rsidR="00CD0F0E">
        <w:rPr>
          <w:lang w:val="en-GB"/>
        </w:rPr>
        <w:t>.</w:t>
      </w:r>
    </w:p>
    <w:p w14:paraId="004C1F94" w14:textId="1F24519C" w:rsidR="001A0344" w:rsidRPr="00B757C3" w:rsidRDefault="001A0344" w:rsidP="00FA1ECD">
      <w:pPr>
        <w:pStyle w:val="ListParagraph"/>
        <w:numPr>
          <w:ilvl w:val="0"/>
          <w:numId w:val="2"/>
        </w:numPr>
        <w:ind w:left="357" w:hanging="357"/>
        <w:contextualSpacing w:val="0"/>
        <w:rPr>
          <w:lang w:val="en-GB"/>
        </w:rPr>
      </w:pPr>
      <w:r w:rsidRPr="00B757C3">
        <w:rPr>
          <w:lang w:val="en-GB"/>
        </w:rPr>
        <w:t xml:space="preserve">For DHBs </w:t>
      </w:r>
      <w:r w:rsidR="001C6B21" w:rsidRPr="00B757C3">
        <w:rPr>
          <w:lang w:val="en-GB"/>
        </w:rPr>
        <w:t>participating in</w:t>
      </w:r>
      <w:r w:rsidRPr="00B757C3">
        <w:rPr>
          <w:lang w:val="en-GB"/>
        </w:rPr>
        <w:t xml:space="preserve"> full surveillance</w:t>
      </w:r>
      <w:r w:rsidR="00197003" w:rsidRPr="00B757C3">
        <w:rPr>
          <w:lang w:val="en-GB"/>
        </w:rPr>
        <w:t>,</w:t>
      </w:r>
      <w:r w:rsidR="001C6B21" w:rsidRPr="00B757C3">
        <w:rPr>
          <w:lang w:val="en-GB"/>
        </w:rPr>
        <w:t xml:space="preserve"> </w:t>
      </w:r>
      <w:r w:rsidR="000643A4">
        <w:rPr>
          <w:lang w:val="en-GB"/>
        </w:rPr>
        <w:t xml:space="preserve">we encourage </w:t>
      </w:r>
      <w:r w:rsidR="00197003" w:rsidRPr="00B757C3">
        <w:rPr>
          <w:lang w:val="en-GB"/>
        </w:rPr>
        <w:t>the use of the SSI investigation tool for deep and organ space infe</w:t>
      </w:r>
      <w:r w:rsidR="007874B2" w:rsidRPr="00B757C3">
        <w:rPr>
          <w:lang w:val="en-GB"/>
        </w:rPr>
        <w:t>c</w:t>
      </w:r>
      <w:r w:rsidR="00197003" w:rsidRPr="00B757C3">
        <w:rPr>
          <w:lang w:val="en-GB"/>
        </w:rPr>
        <w:t>tions</w:t>
      </w:r>
      <w:r w:rsidR="00CD0F0E">
        <w:rPr>
          <w:lang w:val="en-GB"/>
        </w:rPr>
        <w:t>.</w:t>
      </w:r>
    </w:p>
    <w:p w14:paraId="79B6DAFE" w14:textId="62ED3614" w:rsidR="00061BF1" w:rsidRPr="00B757C3" w:rsidRDefault="004133D8" w:rsidP="00FA1ECD">
      <w:pPr>
        <w:pStyle w:val="ListParagraph"/>
        <w:numPr>
          <w:ilvl w:val="0"/>
          <w:numId w:val="2"/>
        </w:numPr>
        <w:ind w:left="357" w:hanging="357"/>
        <w:contextualSpacing w:val="0"/>
        <w:rPr>
          <w:lang w:val="en-GB"/>
        </w:rPr>
      </w:pPr>
      <w:r w:rsidRPr="00B757C3">
        <w:rPr>
          <w:lang w:val="en-GB"/>
        </w:rPr>
        <w:t xml:space="preserve">The </w:t>
      </w:r>
      <w:r w:rsidR="00197003" w:rsidRPr="00B757C3">
        <w:rPr>
          <w:lang w:val="en-GB"/>
        </w:rPr>
        <w:t xml:space="preserve">SSI </w:t>
      </w:r>
      <w:r w:rsidR="000643A4">
        <w:rPr>
          <w:lang w:val="en-GB"/>
        </w:rPr>
        <w:t>i</w:t>
      </w:r>
      <w:r w:rsidR="00197003" w:rsidRPr="000643A4">
        <w:rPr>
          <w:lang w:val="en-GB"/>
        </w:rPr>
        <w:t>nvestigation</w:t>
      </w:r>
      <w:r w:rsidR="00197003" w:rsidRPr="00B757C3">
        <w:rPr>
          <w:lang w:val="en-GB"/>
        </w:rPr>
        <w:t xml:space="preserve"> </w:t>
      </w:r>
      <w:r w:rsidRPr="00B757C3">
        <w:rPr>
          <w:lang w:val="en-GB"/>
        </w:rPr>
        <w:t xml:space="preserve">tool lists risk factors </w:t>
      </w:r>
      <w:r w:rsidR="006823F3" w:rsidRPr="00B757C3">
        <w:rPr>
          <w:lang w:val="en-GB"/>
        </w:rPr>
        <w:t xml:space="preserve">relevant to </w:t>
      </w:r>
      <w:r w:rsidR="00061BF1" w:rsidRPr="00B757C3">
        <w:rPr>
          <w:lang w:val="en-GB"/>
        </w:rPr>
        <w:t>SSI and gives an opportunity to collect data when available</w:t>
      </w:r>
      <w:r w:rsidR="007C346D" w:rsidRPr="00B757C3">
        <w:rPr>
          <w:lang w:val="en-GB"/>
        </w:rPr>
        <w:t xml:space="preserve">. There are key items, particularly related to the </w:t>
      </w:r>
      <w:r w:rsidR="000643A4">
        <w:rPr>
          <w:lang w:val="en-GB"/>
        </w:rPr>
        <w:t>quality and safety markers</w:t>
      </w:r>
      <w:r w:rsidR="007C346D" w:rsidRPr="00B757C3">
        <w:rPr>
          <w:lang w:val="en-GB"/>
        </w:rPr>
        <w:t xml:space="preserve">, </w:t>
      </w:r>
      <w:r w:rsidR="006823F3" w:rsidRPr="00B757C3">
        <w:rPr>
          <w:lang w:val="en-GB"/>
        </w:rPr>
        <w:t xml:space="preserve">where </w:t>
      </w:r>
      <w:r w:rsidR="007C346D" w:rsidRPr="00B757C3">
        <w:rPr>
          <w:lang w:val="en-GB"/>
        </w:rPr>
        <w:t>the data will be available</w:t>
      </w:r>
      <w:r w:rsidR="006823F3" w:rsidRPr="00B757C3">
        <w:rPr>
          <w:lang w:val="en-GB"/>
        </w:rPr>
        <w:t>.</w:t>
      </w:r>
      <w:r w:rsidR="00B757C3">
        <w:rPr>
          <w:lang w:val="en-GB"/>
        </w:rPr>
        <w:t xml:space="preserve"> </w:t>
      </w:r>
      <w:r w:rsidR="006823F3" w:rsidRPr="00B757C3">
        <w:rPr>
          <w:lang w:val="en-GB"/>
        </w:rPr>
        <w:t>O</w:t>
      </w:r>
      <w:r w:rsidR="007C346D" w:rsidRPr="00B757C3">
        <w:rPr>
          <w:lang w:val="en-GB"/>
        </w:rPr>
        <w:t xml:space="preserve">ther items are </w:t>
      </w:r>
      <w:r w:rsidR="006823F3" w:rsidRPr="00B757C3">
        <w:rPr>
          <w:lang w:val="en-GB"/>
        </w:rPr>
        <w:t xml:space="preserve">listed as </w:t>
      </w:r>
      <w:r w:rsidR="007C346D" w:rsidRPr="00B757C3">
        <w:rPr>
          <w:lang w:val="en-GB"/>
        </w:rPr>
        <w:t xml:space="preserve">a </w:t>
      </w:r>
      <w:r w:rsidR="007874B2" w:rsidRPr="00B757C3">
        <w:rPr>
          <w:lang w:val="en-GB"/>
        </w:rPr>
        <w:t xml:space="preserve">prompt </w:t>
      </w:r>
      <w:r w:rsidR="007C346D" w:rsidRPr="00B757C3">
        <w:rPr>
          <w:lang w:val="en-GB"/>
        </w:rPr>
        <w:t xml:space="preserve">for identifying </w:t>
      </w:r>
      <w:r w:rsidR="006823F3" w:rsidRPr="00B757C3">
        <w:rPr>
          <w:lang w:val="en-GB"/>
        </w:rPr>
        <w:t>other potential contributors to SSI.</w:t>
      </w:r>
    </w:p>
    <w:p w14:paraId="36FFD439" w14:textId="4DB6F093" w:rsidR="0014115C" w:rsidRDefault="007874B2" w:rsidP="00FA1ECD">
      <w:pPr>
        <w:pStyle w:val="ListParagraph"/>
        <w:numPr>
          <w:ilvl w:val="0"/>
          <w:numId w:val="2"/>
        </w:numPr>
        <w:ind w:left="357" w:hanging="357"/>
        <w:contextualSpacing w:val="0"/>
        <w:rPr>
          <w:lang w:val="en-GB"/>
        </w:rPr>
      </w:pPr>
      <w:r w:rsidRPr="00B757C3">
        <w:rPr>
          <w:lang w:val="en-GB"/>
        </w:rPr>
        <w:t>When</w:t>
      </w:r>
      <w:r w:rsidR="005A4101" w:rsidRPr="00B757C3">
        <w:rPr>
          <w:lang w:val="en-GB"/>
        </w:rPr>
        <w:t xml:space="preserve"> problems are </w:t>
      </w:r>
      <w:r w:rsidR="00B757C3" w:rsidRPr="00B757C3">
        <w:rPr>
          <w:lang w:val="en-GB"/>
        </w:rPr>
        <w:t xml:space="preserve">identified, </w:t>
      </w:r>
      <w:r w:rsidR="005B0716">
        <w:rPr>
          <w:lang w:val="en-GB"/>
        </w:rPr>
        <w:t xml:space="preserve">for example, incorrect timing for antibiotic prophylaxis or </w:t>
      </w:r>
      <w:r w:rsidR="005B0716" w:rsidRPr="00B757C3">
        <w:rPr>
          <w:lang w:val="en-GB"/>
        </w:rPr>
        <w:t xml:space="preserve">non-use of an alcohol skin </w:t>
      </w:r>
      <w:r w:rsidR="005B0716" w:rsidRPr="000643A4">
        <w:rPr>
          <w:lang w:val="en-GB"/>
        </w:rPr>
        <w:t>prep</w:t>
      </w:r>
      <w:r w:rsidR="000643A4">
        <w:rPr>
          <w:lang w:val="en-GB"/>
        </w:rPr>
        <w:t>aration</w:t>
      </w:r>
      <w:r w:rsidR="005B0716" w:rsidRPr="000643A4">
        <w:rPr>
          <w:lang w:val="en-GB"/>
        </w:rPr>
        <w:t xml:space="preserve">, </w:t>
      </w:r>
      <w:r w:rsidR="00B757C3" w:rsidRPr="000643A4">
        <w:rPr>
          <w:lang w:val="en-GB"/>
        </w:rPr>
        <w:t>the</w:t>
      </w:r>
      <w:r w:rsidR="00524B76">
        <w:rPr>
          <w:lang w:val="en-GB"/>
        </w:rPr>
        <w:t>se</w:t>
      </w:r>
      <w:r w:rsidR="00B757C3" w:rsidRPr="00B757C3">
        <w:rPr>
          <w:lang w:val="en-GB"/>
        </w:rPr>
        <w:t xml:space="preserve"> can be addressed through a quality improvement feedback loop </w:t>
      </w:r>
      <w:r w:rsidRPr="00B757C3">
        <w:rPr>
          <w:lang w:val="en-GB"/>
        </w:rPr>
        <w:t xml:space="preserve">to </w:t>
      </w:r>
      <w:r w:rsidR="000643A4">
        <w:rPr>
          <w:lang w:val="en-GB"/>
        </w:rPr>
        <w:t>bring about</w:t>
      </w:r>
      <w:r w:rsidRPr="00B757C3">
        <w:rPr>
          <w:lang w:val="en-GB"/>
        </w:rPr>
        <w:t xml:space="preserve"> </w:t>
      </w:r>
      <w:r w:rsidR="005B0716">
        <w:rPr>
          <w:lang w:val="en-GB"/>
        </w:rPr>
        <w:t>change</w:t>
      </w:r>
      <w:r w:rsidRPr="00B757C3">
        <w:rPr>
          <w:lang w:val="en-GB"/>
        </w:rPr>
        <w:t xml:space="preserve">. </w:t>
      </w:r>
    </w:p>
    <w:p w14:paraId="6F7ED97A" w14:textId="4A98E283" w:rsidR="00CD0F0E" w:rsidRDefault="0F6BE782" w:rsidP="00FA1ECD">
      <w:pPr>
        <w:pStyle w:val="ListParagraph"/>
        <w:numPr>
          <w:ilvl w:val="0"/>
          <w:numId w:val="2"/>
        </w:numPr>
        <w:ind w:left="357" w:hanging="357"/>
        <w:contextualSpacing w:val="0"/>
        <w:rPr>
          <w:lang w:val="en-GB"/>
        </w:rPr>
      </w:pPr>
      <w:r w:rsidRPr="60ABE7B9">
        <w:rPr>
          <w:lang w:val="en-GB"/>
        </w:rPr>
        <w:t xml:space="preserve">Some items in the SSI investigation tool </w:t>
      </w:r>
      <w:r w:rsidR="003D6F55">
        <w:rPr>
          <w:lang w:val="en-GB"/>
        </w:rPr>
        <w:t>do</w:t>
      </w:r>
      <w:r w:rsidRPr="60ABE7B9">
        <w:rPr>
          <w:lang w:val="en-GB"/>
        </w:rPr>
        <w:t xml:space="preserve"> not </w:t>
      </w:r>
      <w:r w:rsidR="63A50D5C" w:rsidRPr="60ABE7B9">
        <w:rPr>
          <w:lang w:val="en-GB"/>
        </w:rPr>
        <w:t xml:space="preserve">specifically </w:t>
      </w:r>
      <w:r w:rsidRPr="000643A4">
        <w:rPr>
          <w:lang w:val="en-GB"/>
        </w:rPr>
        <w:t>relate</w:t>
      </w:r>
      <w:r w:rsidRPr="60ABE7B9">
        <w:rPr>
          <w:lang w:val="en-GB"/>
        </w:rPr>
        <w:t xml:space="preserve"> to SSIs but are part of quality improvement and getting a patient</w:t>
      </w:r>
      <w:r w:rsidR="0A6FF528" w:rsidRPr="60ABE7B9">
        <w:rPr>
          <w:lang w:val="en-GB"/>
        </w:rPr>
        <w:t>’s</w:t>
      </w:r>
      <w:r w:rsidRPr="60ABE7B9">
        <w:rPr>
          <w:lang w:val="en-GB"/>
        </w:rPr>
        <w:t xml:space="preserve"> pathway right. </w:t>
      </w:r>
    </w:p>
    <w:p w14:paraId="4A3CFF7C" w14:textId="58E03B7D" w:rsidR="004133D8" w:rsidRDefault="0014115C" w:rsidP="00FA1ECD">
      <w:pPr>
        <w:pStyle w:val="ListParagraph"/>
        <w:numPr>
          <w:ilvl w:val="0"/>
          <w:numId w:val="2"/>
        </w:numPr>
        <w:ind w:left="357" w:hanging="357"/>
        <w:contextualSpacing w:val="0"/>
        <w:rPr>
          <w:lang w:val="en-GB"/>
        </w:rPr>
      </w:pPr>
      <w:r w:rsidRPr="3227D21A">
        <w:rPr>
          <w:lang w:val="en-GB"/>
        </w:rPr>
        <w:t xml:space="preserve">Any events identified in </w:t>
      </w:r>
      <w:r w:rsidR="00524B76">
        <w:rPr>
          <w:lang w:val="en-GB"/>
        </w:rPr>
        <w:t>a</w:t>
      </w:r>
      <w:r w:rsidRPr="000643A4">
        <w:rPr>
          <w:lang w:val="en-GB"/>
        </w:rPr>
        <w:t xml:space="preserve"> patient</w:t>
      </w:r>
      <w:r w:rsidR="003D6F55">
        <w:rPr>
          <w:lang w:val="en-GB"/>
        </w:rPr>
        <w:t>’s</w:t>
      </w:r>
      <w:r w:rsidRPr="3227D21A">
        <w:rPr>
          <w:lang w:val="en-GB"/>
        </w:rPr>
        <w:t xml:space="preserve"> pathway that may contribute to </w:t>
      </w:r>
      <w:r w:rsidR="000326A6" w:rsidRPr="000643A4">
        <w:rPr>
          <w:lang w:val="en-GB"/>
        </w:rPr>
        <w:t>a</w:t>
      </w:r>
      <w:r w:rsidR="000643A4">
        <w:rPr>
          <w:lang w:val="en-GB"/>
        </w:rPr>
        <w:t>n</w:t>
      </w:r>
      <w:r w:rsidRPr="3227D21A">
        <w:rPr>
          <w:lang w:val="en-GB"/>
        </w:rPr>
        <w:t xml:space="preserve"> SSI </w:t>
      </w:r>
      <w:r w:rsidR="00CD0F0E" w:rsidRPr="3227D21A">
        <w:rPr>
          <w:lang w:val="en-GB"/>
        </w:rPr>
        <w:t>provide</w:t>
      </w:r>
      <w:r w:rsidRPr="3227D21A">
        <w:rPr>
          <w:lang w:val="en-GB"/>
        </w:rPr>
        <w:t xml:space="preserve"> an opportunity for</w:t>
      </w:r>
      <w:r w:rsidR="00CD0F0E" w:rsidRPr="3227D21A">
        <w:rPr>
          <w:lang w:val="en-GB"/>
        </w:rPr>
        <w:t xml:space="preserve"> discussion</w:t>
      </w:r>
      <w:r w:rsidR="000326A6" w:rsidRPr="3227D21A">
        <w:rPr>
          <w:lang w:val="en-GB"/>
        </w:rPr>
        <w:t>, learning</w:t>
      </w:r>
      <w:r w:rsidR="00CD0F0E" w:rsidRPr="3227D21A">
        <w:rPr>
          <w:lang w:val="en-GB"/>
        </w:rPr>
        <w:t xml:space="preserve"> and</w:t>
      </w:r>
      <w:r w:rsidR="000326A6" w:rsidRPr="3227D21A">
        <w:rPr>
          <w:lang w:val="en-GB"/>
        </w:rPr>
        <w:t xml:space="preserve"> quality improvement</w:t>
      </w:r>
      <w:r w:rsidRPr="3227D21A">
        <w:rPr>
          <w:lang w:val="en-GB"/>
        </w:rPr>
        <w:t>.</w:t>
      </w:r>
    </w:p>
    <w:p w14:paraId="20F1BAB1" w14:textId="3D08AF22" w:rsidR="0014115C" w:rsidRPr="0074056D" w:rsidRDefault="0014115C" w:rsidP="00FA1ECD">
      <w:pPr>
        <w:pStyle w:val="Heading2"/>
        <w:rPr>
          <w:lang w:val="en-GB"/>
        </w:rPr>
      </w:pPr>
      <w:r w:rsidRPr="0074056D">
        <w:rPr>
          <w:lang w:val="en-GB"/>
        </w:rPr>
        <w:t xml:space="preserve">Specific data fields </w:t>
      </w:r>
    </w:p>
    <w:p w14:paraId="565011CB" w14:textId="77777777" w:rsidR="000643A4" w:rsidRPr="000643A4" w:rsidRDefault="00B1589F" w:rsidP="008F51BF">
      <w:pPr>
        <w:pStyle w:val="Heading3"/>
      </w:pPr>
      <w:r w:rsidRPr="000643A4">
        <w:t>Body mass index</w:t>
      </w:r>
    </w:p>
    <w:p w14:paraId="07B05F3A" w14:textId="62919F10" w:rsidR="0082049E" w:rsidRDefault="00B1589F" w:rsidP="4B3CD92E">
      <w:pPr>
        <w:rPr>
          <w:lang w:val="en-GB"/>
        </w:rPr>
      </w:pPr>
      <w:r w:rsidRPr="4B3CD92E">
        <w:rPr>
          <w:lang w:val="en-GB"/>
        </w:rPr>
        <w:t>Body mass index (BMI</w:t>
      </w:r>
      <w:r w:rsidR="0082049E" w:rsidRPr="4B3CD92E">
        <w:rPr>
          <w:lang w:val="en-GB"/>
        </w:rPr>
        <w:t>)</w:t>
      </w:r>
      <w:r w:rsidRPr="4B3CD92E">
        <w:rPr>
          <w:lang w:val="en-GB"/>
        </w:rPr>
        <w:t xml:space="preserve"> </w:t>
      </w:r>
      <w:r w:rsidR="00652520" w:rsidRPr="4B3CD92E">
        <w:rPr>
          <w:lang w:val="en-GB"/>
        </w:rPr>
        <w:t xml:space="preserve">may trigger referral </w:t>
      </w:r>
      <w:r w:rsidRPr="4B3CD92E">
        <w:rPr>
          <w:lang w:val="en-GB"/>
        </w:rPr>
        <w:t>in some pathways</w:t>
      </w:r>
      <w:r w:rsidR="00652520" w:rsidRPr="4B3CD92E">
        <w:rPr>
          <w:lang w:val="en-GB"/>
        </w:rPr>
        <w:t>. F</w:t>
      </w:r>
      <w:r w:rsidRPr="4B3CD92E">
        <w:rPr>
          <w:lang w:val="en-GB"/>
        </w:rPr>
        <w:t>or</w:t>
      </w:r>
      <w:r w:rsidR="00531EF7" w:rsidRPr="4B3CD92E">
        <w:rPr>
          <w:lang w:val="en-GB"/>
        </w:rPr>
        <w:t xml:space="preserve"> </w:t>
      </w:r>
      <w:r w:rsidR="003D6F55" w:rsidRPr="4B3CD92E">
        <w:rPr>
          <w:lang w:val="en-GB"/>
        </w:rPr>
        <w:t>patients</w:t>
      </w:r>
      <w:r w:rsidR="00652520" w:rsidRPr="4B3CD92E">
        <w:rPr>
          <w:lang w:val="en-GB"/>
        </w:rPr>
        <w:t xml:space="preserve"> with a </w:t>
      </w:r>
      <w:r w:rsidRPr="4B3CD92E">
        <w:rPr>
          <w:lang w:val="en-GB"/>
        </w:rPr>
        <w:t>high BMI</w:t>
      </w:r>
      <w:r w:rsidR="00531EF7" w:rsidRPr="4B3CD92E">
        <w:rPr>
          <w:lang w:val="en-GB"/>
        </w:rPr>
        <w:t>,</w:t>
      </w:r>
      <w:r w:rsidRPr="4B3CD92E">
        <w:rPr>
          <w:lang w:val="en-GB"/>
        </w:rPr>
        <w:t xml:space="preserve"> interventions</w:t>
      </w:r>
      <w:r w:rsidR="003D6F55" w:rsidRPr="4B3CD92E">
        <w:rPr>
          <w:lang w:val="en-GB"/>
        </w:rPr>
        <w:t xml:space="preserve"> may be in place</w:t>
      </w:r>
      <w:r w:rsidR="00652520" w:rsidRPr="4B3CD92E">
        <w:rPr>
          <w:lang w:val="en-GB"/>
        </w:rPr>
        <w:t xml:space="preserve">, </w:t>
      </w:r>
      <w:r w:rsidR="00531EF7" w:rsidRPr="4B3CD92E">
        <w:rPr>
          <w:lang w:val="en-GB"/>
        </w:rPr>
        <w:t>such as</w:t>
      </w:r>
      <w:r w:rsidR="0014115C" w:rsidRPr="4B3CD92E">
        <w:rPr>
          <w:lang w:val="en-GB"/>
        </w:rPr>
        <w:t xml:space="preserve"> </w:t>
      </w:r>
      <w:r w:rsidRPr="4B3CD92E">
        <w:rPr>
          <w:lang w:val="en-GB"/>
        </w:rPr>
        <w:t>dietitian and physio</w:t>
      </w:r>
      <w:r w:rsidR="0082049E" w:rsidRPr="4B3CD92E">
        <w:rPr>
          <w:lang w:val="en-GB"/>
        </w:rPr>
        <w:t>therapist</w:t>
      </w:r>
      <w:r w:rsidRPr="4B3CD92E">
        <w:rPr>
          <w:lang w:val="en-GB"/>
        </w:rPr>
        <w:t xml:space="preserve"> input </w:t>
      </w:r>
      <w:r w:rsidR="00652520" w:rsidRPr="4B3CD92E">
        <w:rPr>
          <w:lang w:val="en-GB"/>
        </w:rPr>
        <w:t xml:space="preserve">to </w:t>
      </w:r>
      <w:r w:rsidRPr="4B3CD92E">
        <w:rPr>
          <w:lang w:val="en-GB"/>
        </w:rPr>
        <w:t>reduce BMI.</w:t>
      </w:r>
      <w:r w:rsidR="00A64C14" w:rsidRPr="4B3CD92E">
        <w:rPr>
          <w:lang w:val="en-GB"/>
        </w:rPr>
        <w:t xml:space="preserve"> </w:t>
      </w:r>
      <w:r w:rsidR="00652520" w:rsidRPr="4B3CD92E">
        <w:rPr>
          <w:lang w:val="en-GB"/>
        </w:rPr>
        <w:t xml:space="preserve">Checking </w:t>
      </w:r>
      <w:r w:rsidR="00FA1ECD" w:rsidRPr="4B3CD92E">
        <w:rPr>
          <w:lang w:val="en-GB"/>
        </w:rPr>
        <w:t>the referral has occurred</w:t>
      </w:r>
      <w:r w:rsidR="00652520" w:rsidRPr="4B3CD92E">
        <w:rPr>
          <w:lang w:val="en-GB"/>
        </w:rPr>
        <w:t xml:space="preserve"> is important for those with a BMI pathway. </w:t>
      </w:r>
      <w:r w:rsidR="00A64C14" w:rsidRPr="4B3CD92E">
        <w:rPr>
          <w:lang w:val="en-GB"/>
        </w:rPr>
        <w:t xml:space="preserve">Others </w:t>
      </w:r>
      <w:r w:rsidR="001C1ACA" w:rsidRPr="4B3CD92E">
        <w:rPr>
          <w:lang w:val="en-GB"/>
        </w:rPr>
        <w:t xml:space="preserve">without such a pathway </w:t>
      </w:r>
      <w:r w:rsidR="00A64C14" w:rsidRPr="4B3CD92E">
        <w:rPr>
          <w:lang w:val="en-GB"/>
        </w:rPr>
        <w:t xml:space="preserve">may </w:t>
      </w:r>
      <w:r w:rsidR="001C1ACA" w:rsidRPr="4B3CD92E">
        <w:rPr>
          <w:lang w:val="en-GB"/>
        </w:rPr>
        <w:t xml:space="preserve">observe </w:t>
      </w:r>
      <w:r w:rsidR="00A64C14" w:rsidRPr="4B3CD92E">
        <w:rPr>
          <w:lang w:val="en-GB"/>
        </w:rPr>
        <w:t xml:space="preserve">a series of </w:t>
      </w:r>
      <w:r w:rsidR="001C1ACA" w:rsidRPr="4B3CD92E">
        <w:rPr>
          <w:lang w:val="en-GB"/>
        </w:rPr>
        <w:t xml:space="preserve">BMI-related </w:t>
      </w:r>
      <w:r w:rsidR="00A64C14" w:rsidRPr="4B3CD92E">
        <w:rPr>
          <w:lang w:val="en-GB"/>
        </w:rPr>
        <w:t>SSI events</w:t>
      </w:r>
      <w:r w:rsidR="001C1ACA" w:rsidRPr="4B3CD92E">
        <w:rPr>
          <w:lang w:val="en-GB"/>
        </w:rPr>
        <w:t xml:space="preserve"> and this may</w:t>
      </w:r>
      <w:r w:rsidR="0014115C" w:rsidRPr="4B3CD92E">
        <w:rPr>
          <w:lang w:val="en-GB"/>
        </w:rPr>
        <w:t xml:space="preserve"> </w:t>
      </w:r>
      <w:r w:rsidR="00A64C14" w:rsidRPr="4B3CD92E">
        <w:rPr>
          <w:lang w:val="en-GB"/>
        </w:rPr>
        <w:t xml:space="preserve">trigger </w:t>
      </w:r>
      <w:r w:rsidR="00A64C14" w:rsidRPr="4B3CD92E">
        <w:rPr>
          <w:lang w:val="en-GB"/>
        </w:rPr>
        <w:lastRenderedPageBreak/>
        <w:t>consider</w:t>
      </w:r>
      <w:r w:rsidR="001C1ACA" w:rsidRPr="4B3CD92E">
        <w:rPr>
          <w:lang w:val="en-GB"/>
        </w:rPr>
        <w:t xml:space="preserve">ation on </w:t>
      </w:r>
      <w:r w:rsidR="00A64C14" w:rsidRPr="4B3CD92E">
        <w:rPr>
          <w:lang w:val="en-GB"/>
        </w:rPr>
        <w:t>whether a sp</w:t>
      </w:r>
      <w:r w:rsidR="001C1ACA" w:rsidRPr="4B3CD92E">
        <w:rPr>
          <w:lang w:val="en-GB"/>
        </w:rPr>
        <w:t>e</w:t>
      </w:r>
      <w:r w:rsidR="00A64C14" w:rsidRPr="4B3CD92E">
        <w:rPr>
          <w:lang w:val="en-GB"/>
        </w:rPr>
        <w:t xml:space="preserve">cific pathway for high BMI patients </w:t>
      </w:r>
      <w:r w:rsidR="001C1ACA" w:rsidRPr="4B3CD92E">
        <w:rPr>
          <w:lang w:val="en-GB"/>
        </w:rPr>
        <w:t>is needed.</w:t>
      </w:r>
      <w:r w:rsidR="00491BF9">
        <w:t>Page 2</w:t>
      </w:r>
      <w:r w:rsidR="007D7853">
        <w:t xml:space="preserve"> of the SSI investigation tool</w:t>
      </w:r>
    </w:p>
    <w:p w14:paraId="5902926E" w14:textId="27BD1A7D" w:rsidR="00354150" w:rsidRPr="00FA1ECD" w:rsidRDefault="0082049E" w:rsidP="00FA1ECD">
      <w:r>
        <w:rPr>
          <w:lang w:val="en-GB"/>
        </w:rPr>
        <w:t xml:space="preserve">Page 2 of the </w:t>
      </w:r>
      <w:hyperlink r:id="rId14" w:history="1">
        <w:r w:rsidR="007D7853" w:rsidRPr="007D7853">
          <w:rPr>
            <w:rStyle w:val="Hyperlink"/>
            <w:lang w:val="en-GB"/>
          </w:rPr>
          <w:t>SSI investigation tool</w:t>
        </w:r>
      </w:hyperlink>
      <w:r w:rsidR="007D7853">
        <w:rPr>
          <w:lang w:val="en-GB"/>
        </w:rPr>
        <w:t xml:space="preserve"> </w:t>
      </w:r>
      <w:r w:rsidR="53801B95" w:rsidRPr="60ABE7B9">
        <w:rPr>
          <w:lang w:val="en-GB"/>
        </w:rPr>
        <w:t xml:space="preserve">lists several items that are non-modifiable but are important, and </w:t>
      </w:r>
      <w:r w:rsidR="53801B95" w:rsidRPr="00FA1ECD">
        <w:t xml:space="preserve">place the patient at a higher SSI risk, </w:t>
      </w:r>
      <w:proofErr w:type="spellStart"/>
      <w:r w:rsidR="3B4C1608" w:rsidRPr="008F51BF">
        <w:t>eg</w:t>
      </w:r>
      <w:proofErr w:type="spellEnd"/>
      <w:r w:rsidRPr="008F51BF">
        <w:t>,</w:t>
      </w:r>
      <w:r w:rsidR="53801B95" w:rsidRPr="00FA1ECD">
        <w:t xml:space="preserve"> revision, age </w:t>
      </w:r>
      <w:r w:rsidR="0A6FF528" w:rsidRPr="00FA1ECD">
        <w:t xml:space="preserve">and </w:t>
      </w:r>
      <w:r w:rsidR="53801B95" w:rsidRPr="00FA1ECD">
        <w:t>ASA score.</w:t>
      </w:r>
    </w:p>
    <w:p w14:paraId="5A42E570" w14:textId="3CE59EC4" w:rsidR="00C7200B" w:rsidRDefault="00C7200B" w:rsidP="008F51BF">
      <w:pPr>
        <w:pStyle w:val="Heading3"/>
      </w:pPr>
      <w:bookmarkStart w:id="0" w:name="_Hlk94516921"/>
      <w:r>
        <w:t>Deep vein thrombosis</w:t>
      </w:r>
      <w:r w:rsidR="00A64C14" w:rsidRPr="00FA1ECD">
        <w:t xml:space="preserve"> </w:t>
      </w:r>
      <w:bookmarkEnd w:id="0"/>
      <w:r w:rsidR="00A64C14" w:rsidRPr="00FA1ECD">
        <w:t>prophylaxis</w:t>
      </w:r>
    </w:p>
    <w:p w14:paraId="713C088D" w14:textId="72DE9B70" w:rsidR="001A330B" w:rsidRPr="00354150" w:rsidRDefault="00C7200B" w:rsidP="00FA1ECD">
      <w:pPr>
        <w:rPr>
          <w:lang w:val="en-GB"/>
        </w:rPr>
      </w:pPr>
      <w:r w:rsidRPr="00C7200B">
        <w:rPr>
          <w:lang w:val="en-GB"/>
        </w:rPr>
        <w:t>Deep vein thrombosis</w:t>
      </w:r>
      <w:r w:rsidR="00A64C14" w:rsidRPr="6E3EA24F">
        <w:rPr>
          <w:lang w:val="en-GB"/>
        </w:rPr>
        <w:t xml:space="preserve"> is loosely associated with SSI, because if </w:t>
      </w:r>
      <w:r w:rsidR="00531EF7" w:rsidRPr="6E3EA24F">
        <w:rPr>
          <w:lang w:val="en-GB"/>
        </w:rPr>
        <w:t>prophylaxis is</w:t>
      </w:r>
      <w:r w:rsidR="0014115C" w:rsidRPr="6E3EA24F">
        <w:rPr>
          <w:lang w:val="en-GB"/>
        </w:rPr>
        <w:t xml:space="preserve"> </w:t>
      </w:r>
      <w:r w:rsidR="0014115C" w:rsidRPr="005B0AAA">
        <w:rPr>
          <w:lang w:val="en-GB"/>
        </w:rPr>
        <w:t>over</w:t>
      </w:r>
      <w:r>
        <w:rPr>
          <w:lang w:val="en-GB"/>
        </w:rPr>
        <w:t>-</w:t>
      </w:r>
      <w:r w:rsidR="0014115C" w:rsidRPr="005B0AAA">
        <w:rPr>
          <w:lang w:val="en-GB"/>
        </w:rPr>
        <w:t>done</w:t>
      </w:r>
      <w:r w:rsidR="00A64C14" w:rsidRPr="005B0AAA">
        <w:rPr>
          <w:lang w:val="en-GB"/>
        </w:rPr>
        <w:t xml:space="preserve"> </w:t>
      </w:r>
      <w:r>
        <w:rPr>
          <w:lang w:val="en-GB"/>
        </w:rPr>
        <w:t>there is</w:t>
      </w:r>
      <w:r w:rsidR="00A64C14" w:rsidRPr="6E3EA24F">
        <w:rPr>
          <w:lang w:val="en-GB"/>
        </w:rPr>
        <w:t xml:space="preserve"> bleeding</w:t>
      </w:r>
      <w:r>
        <w:rPr>
          <w:lang w:val="en-GB"/>
        </w:rPr>
        <w:t>,</w:t>
      </w:r>
      <w:r w:rsidR="00A64C14" w:rsidRPr="6E3EA24F">
        <w:rPr>
          <w:lang w:val="en-GB"/>
        </w:rPr>
        <w:t xml:space="preserve"> </w:t>
      </w:r>
      <w:r w:rsidR="00531EF7" w:rsidRPr="6E3EA24F">
        <w:rPr>
          <w:lang w:val="en-GB"/>
        </w:rPr>
        <w:t>which can lead to a</w:t>
      </w:r>
      <w:r w:rsidR="00A64C14" w:rsidRPr="6E3EA24F">
        <w:rPr>
          <w:lang w:val="en-GB"/>
        </w:rPr>
        <w:t xml:space="preserve"> h</w:t>
      </w:r>
      <w:r w:rsidR="0014115C" w:rsidRPr="6E3EA24F">
        <w:rPr>
          <w:lang w:val="en-GB"/>
        </w:rPr>
        <w:t>a</w:t>
      </w:r>
      <w:r w:rsidR="00A64C14" w:rsidRPr="6E3EA24F">
        <w:rPr>
          <w:lang w:val="en-GB"/>
        </w:rPr>
        <w:t xml:space="preserve">ematoma </w:t>
      </w:r>
      <w:r w:rsidR="001A330B" w:rsidRPr="6E3EA24F">
        <w:rPr>
          <w:lang w:val="en-GB"/>
        </w:rPr>
        <w:t xml:space="preserve">and </w:t>
      </w:r>
      <w:r w:rsidR="0014115C" w:rsidRPr="6E3EA24F">
        <w:rPr>
          <w:lang w:val="en-GB"/>
        </w:rPr>
        <w:t>increase the risk of</w:t>
      </w:r>
      <w:r w:rsidR="001A330B" w:rsidRPr="6E3EA24F">
        <w:rPr>
          <w:lang w:val="en-GB"/>
        </w:rPr>
        <w:t xml:space="preserve"> SSI</w:t>
      </w:r>
      <w:r w:rsidR="00603F41" w:rsidRPr="6E3EA24F">
        <w:rPr>
          <w:lang w:val="en-GB"/>
        </w:rPr>
        <w:t>.</w:t>
      </w:r>
    </w:p>
    <w:p w14:paraId="481D43D9" w14:textId="77777777" w:rsidR="00C7200B" w:rsidRDefault="0014115C" w:rsidP="008F51BF">
      <w:pPr>
        <w:pStyle w:val="Heading3"/>
      </w:pPr>
      <w:r w:rsidRPr="00FA1ECD">
        <w:t>HbA1c</w:t>
      </w:r>
    </w:p>
    <w:p w14:paraId="40147B25" w14:textId="4B35318D" w:rsidR="001A330B" w:rsidRPr="00B757C3" w:rsidRDefault="001A330B" w:rsidP="00FA1ECD">
      <w:pPr>
        <w:rPr>
          <w:lang w:val="en-GB"/>
        </w:rPr>
      </w:pPr>
      <w:r w:rsidRPr="00B757C3">
        <w:rPr>
          <w:lang w:val="en-GB"/>
        </w:rPr>
        <w:t xml:space="preserve">A DHB may not measure </w:t>
      </w:r>
      <w:r w:rsidR="0014115C" w:rsidRPr="00B757C3">
        <w:rPr>
          <w:lang w:val="en-GB"/>
        </w:rPr>
        <w:t xml:space="preserve">HbA1c </w:t>
      </w:r>
      <w:r w:rsidRPr="00B757C3">
        <w:rPr>
          <w:lang w:val="en-GB"/>
        </w:rPr>
        <w:t xml:space="preserve">and </w:t>
      </w:r>
      <w:r w:rsidR="001C1ACA" w:rsidRPr="00B757C3">
        <w:rPr>
          <w:lang w:val="en-GB"/>
        </w:rPr>
        <w:t xml:space="preserve">if </w:t>
      </w:r>
      <w:r w:rsidR="007126FE" w:rsidRPr="00B757C3">
        <w:rPr>
          <w:lang w:val="en-GB"/>
        </w:rPr>
        <w:t>so,</w:t>
      </w:r>
      <w:r w:rsidR="001C1ACA" w:rsidRPr="00B757C3">
        <w:rPr>
          <w:lang w:val="en-GB"/>
        </w:rPr>
        <w:t xml:space="preserve"> </w:t>
      </w:r>
      <w:r w:rsidRPr="00B757C3">
        <w:rPr>
          <w:lang w:val="en-GB"/>
        </w:rPr>
        <w:t xml:space="preserve">there is no </w:t>
      </w:r>
      <w:r w:rsidR="001C1ACA" w:rsidRPr="00B757C3">
        <w:rPr>
          <w:lang w:val="en-GB"/>
        </w:rPr>
        <w:t xml:space="preserve">essential </w:t>
      </w:r>
      <w:r w:rsidRPr="00B757C3">
        <w:rPr>
          <w:lang w:val="en-GB"/>
        </w:rPr>
        <w:t>need to seek this data</w:t>
      </w:r>
      <w:r w:rsidR="00C7200B">
        <w:rPr>
          <w:lang w:val="en-GB"/>
        </w:rPr>
        <w:t>;</w:t>
      </w:r>
      <w:r w:rsidRPr="00B757C3">
        <w:rPr>
          <w:lang w:val="en-GB"/>
        </w:rPr>
        <w:t xml:space="preserve"> but if </w:t>
      </w:r>
      <w:r w:rsidR="001C1ACA" w:rsidRPr="00B757C3">
        <w:rPr>
          <w:lang w:val="en-GB"/>
        </w:rPr>
        <w:t>measuring HbA1c</w:t>
      </w:r>
      <w:r w:rsidRPr="00B757C3">
        <w:rPr>
          <w:lang w:val="en-GB"/>
        </w:rPr>
        <w:t xml:space="preserve"> was part of the pre-</w:t>
      </w:r>
      <w:r w:rsidRPr="005B0AAA">
        <w:rPr>
          <w:lang w:val="en-GB"/>
        </w:rPr>
        <w:t>op</w:t>
      </w:r>
      <w:r w:rsidR="00C7200B">
        <w:rPr>
          <w:lang w:val="en-GB"/>
        </w:rPr>
        <w:t>erative</w:t>
      </w:r>
      <w:r w:rsidRPr="00B757C3">
        <w:rPr>
          <w:lang w:val="en-GB"/>
        </w:rPr>
        <w:t xml:space="preserve"> pathway and it </w:t>
      </w:r>
      <w:r w:rsidR="00C7200B">
        <w:rPr>
          <w:lang w:val="en-GB"/>
        </w:rPr>
        <w:t>was not</w:t>
      </w:r>
      <w:r w:rsidRPr="00B757C3">
        <w:rPr>
          <w:lang w:val="en-GB"/>
        </w:rPr>
        <w:t xml:space="preserve"> </w:t>
      </w:r>
      <w:r w:rsidR="001C1ACA" w:rsidRPr="00B757C3">
        <w:rPr>
          <w:lang w:val="en-GB"/>
        </w:rPr>
        <w:t>performed</w:t>
      </w:r>
      <w:r w:rsidR="00580437">
        <w:rPr>
          <w:lang w:val="en-GB"/>
        </w:rPr>
        <w:t>,</w:t>
      </w:r>
      <w:r w:rsidR="001C1ACA" w:rsidRPr="00B757C3">
        <w:rPr>
          <w:lang w:val="en-GB"/>
        </w:rPr>
        <w:t xml:space="preserve"> </w:t>
      </w:r>
      <w:r w:rsidRPr="00B757C3">
        <w:rPr>
          <w:lang w:val="en-GB"/>
        </w:rPr>
        <w:t xml:space="preserve">that would be something to </w:t>
      </w:r>
      <w:r w:rsidR="001C1ACA" w:rsidRPr="00B757C3">
        <w:rPr>
          <w:lang w:val="en-GB"/>
        </w:rPr>
        <w:t>record.</w:t>
      </w:r>
    </w:p>
    <w:p w14:paraId="6722012E" w14:textId="52BAD313" w:rsidR="00C7200B" w:rsidRDefault="00354150" w:rsidP="008F51BF">
      <w:pPr>
        <w:pStyle w:val="Heading3"/>
      </w:pPr>
      <w:r w:rsidRPr="00FA1ECD">
        <w:t>A</w:t>
      </w:r>
      <w:r w:rsidR="001C1ACA" w:rsidRPr="00FA1ECD">
        <w:t>nti-</w:t>
      </w:r>
      <w:r w:rsidR="001C1ACA" w:rsidRPr="005B0AAA">
        <w:t>staph</w:t>
      </w:r>
      <w:r w:rsidR="00C7200B">
        <w:t>ylococcal</w:t>
      </w:r>
      <w:r w:rsidR="001C1ACA" w:rsidRPr="00FA1ECD">
        <w:t xml:space="preserve"> bundle</w:t>
      </w:r>
    </w:p>
    <w:p w14:paraId="5BF14F92" w14:textId="4601EE86" w:rsidR="00A11222" w:rsidRPr="00B757C3" w:rsidRDefault="001A330B" w:rsidP="00FA1ECD">
      <w:pPr>
        <w:rPr>
          <w:lang w:val="en-GB"/>
        </w:rPr>
      </w:pPr>
      <w:r w:rsidRPr="00B757C3">
        <w:rPr>
          <w:lang w:val="en-GB"/>
        </w:rPr>
        <w:t>If an anti-</w:t>
      </w:r>
      <w:r w:rsidRPr="005B0AAA">
        <w:rPr>
          <w:lang w:val="en-GB"/>
        </w:rPr>
        <w:t>staph</w:t>
      </w:r>
      <w:r w:rsidR="00C7200B">
        <w:rPr>
          <w:lang w:val="en-GB"/>
        </w:rPr>
        <w:t>ylococcal</w:t>
      </w:r>
      <w:r w:rsidRPr="00B757C3">
        <w:rPr>
          <w:lang w:val="en-GB"/>
        </w:rPr>
        <w:t xml:space="preserve"> bu</w:t>
      </w:r>
      <w:r w:rsidR="00354150">
        <w:rPr>
          <w:lang w:val="en-GB"/>
        </w:rPr>
        <w:t>n</w:t>
      </w:r>
      <w:r w:rsidRPr="00B757C3">
        <w:rPr>
          <w:lang w:val="en-GB"/>
        </w:rPr>
        <w:t xml:space="preserve">dle has been implemented there is the opportunity to </w:t>
      </w:r>
      <w:r w:rsidR="001C1ACA" w:rsidRPr="00B757C3">
        <w:rPr>
          <w:lang w:val="en-GB"/>
        </w:rPr>
        <w:t xml:space="preserve">record </w:t>
      </w:r>
      <w:r w:rsidR="00A11222" w:rsidRPr="00B757C3">
        <w:rPr>
          <w:lang w:val="en-GB"/>
        </w:rPr>
        <w:t xml:space="preserve">if there was </w:t>
      </w:r>
      <w:r w:rsidR="00CD0F0E" w:rsidRPr="00B757C3">
        <w:rPr>
          <w:lang w:val="en-GB"/>
        </w:rPr>
        <w:t>full,</w:t>
      </w:r>
      <w:r w:rsidR="00A11222" w:rsidRPr="00B757C3">
        <w:rPr>
          <w:lang w:val="en-GB"/>
        </w:rPr>
        <w:t xml:space="preserve"> partial</w:t>
      </w:r>
      <w:r w:rsidR="00A64C14" w:rsidRPr="00B757C3">
        <w:rPr>
          <w:lang w:val="en-GB"/>
        </w:rPr>
        <w:t xml:space="preserve"> </w:t>
      </w:r>
      <w:r w:rsidR="00A11222" w:rsidRPr="00B757C3">
        <w:rPr>
          <w:lang w:val="en-GB"/>
        </w:rPr>
        <w:t>or no</w:t>
      </w:r>
      <w:r w:rsidR="00603F41">
        <w:rPr>
          <w:lang w:val="en-GB"/>
        </w:rPr>
        <w:t>n-</w:t>
      </w:r>
      <w:r w:rsidR="00A11222" w:rsidRPr="00B757C3">
        <w:rPr>
          <w:lang w:val="en-GB"/>
        </w:rPr>
        <w:t>compliance. If there was no</w:t>
      </w:r>
      <w:r w:rsidR="0043248B">
        <w:rPr>
          <w:lang w:val="en-GB"/>
        </w:rPr>
        <w:t>n-</w:t>
      </w:r>
      <w:r w:rsidR="00A11222" w:rsidRPr="00B757C3">
        <w:rPr>
          <w:lang w:val="en-GB"/>
        </w:rPr>
        <w:t>compliance</w:t>
      </w:r>
      <w:r w:rsidR="00354150">
        <w:rPr>
          <w:lang w:val="en-GB"/>
        </w:rPr>
        <w:t>,</w:t>
      </w:r>
      <w:r w:rsidR="00A11222" w:rsidRPr="00B757C3">
        <w:rPr>
          <w:lang w:val="en-GB"/>
        </w:rPr>
        <w:t xml:space="preserve"> </w:t>
      </w:r>
      <w:r w:rsidR="0043248B">
        <w:rPr>
          <w:lang w:val="en-GB"/>
        </w:rPr>
        <w:t>why? W</w:t>
      </w:r>
      <w:r w:rsidR="00A11222" w:rsidRPr="00B757C3">
        <w:rPr>
          <w:lang w:val="en-GB"/>
        </w:rPr>
        <w:t xml:space="preserve">as this due to product not being available or not being </w:t>
      </w:r>
      <w:r w:rsidR="001C1ACA" w:rsidRPr="00B757C3">
        <w:rPr>
          <w:lang w:val="en-GB"/>
        </w:rPr>
        <w:t xml:space="preserve">provided </w:t>
      </w:r>
      <w:r w:rsidR="00A11222" w:rsidRPr="00B757C3">
        <w:rPr>
          <w:lang w:val="en-GB"/>
        </w:rPr>
        <w:t>at a pre</w:t>
      </w:r>
      <w:r w:rsidR="001C1ACA" w:rsidRPr="00B757C3">
        <w:rPr>
          <w:lang w:val="en-GB"/>
        </w:rPr>
        <w:t>-</w:t>
      </w:r>
      <w:r w:rsidR="00A11222" w:rsidRPr="00B757C3">
        <w:rPr>
          <w:lang w:val="en-GB"/>
        </w:rPr>
        <w:t>admission clinic</w:t>
      </w:r>
      <w:r w:rsidR="00A62D55" w:rsidRPr="00B757C3">
        <w:rPr>
          <w:lang w:val="en-GB"/>
        </w:rPr>
        <w:t>? Where gaps are identified they can be corrected.</w:t>
      </w:r>
      <w:r w:rsidR="00A11222" w:rsidRPr="00B757C3">
        <w:rPr>
          <w:lang w:val="en-GB"/>
        </w:rPr>
        <w:t xml:space="preserve"> If there is no anti-</w:t>
      </w:r>
      <w:r w:rsidR="00A11222" w:rsidRPr="005B0AAA">
        <w:rPr>
          <w:lang w:val="en-GB"/>
        </w:rPr>
        <w:t>staph</w:t>
      </w:r>
      <w:r w:rsidR="00C7200B">
        <w:rPr>
          <w:lang w:val="en-GB"/>
        </w:rPr>
        <w:t>ylococcal</w:t>
      </w:r>
      <w:r w:rsidR="00A11222" w:rsidRPr="00B757C3">
        <w:rPr>
          <w:lang w:val="en-GB"/>
        </w:rPr>
        <w:t xml:space="preserve"> bundle the response is </w:t>
      </w:r>
      <w:r w:rsidR="00C7200B">
        <w:rPr>
          <w:lang w:val="en-GB"/>
        </w:rPr>
        <w:t>‘</w:t>
      </w:r>
      <w:r w:rsidR="00A11222" w:rsidRPr="00B757C3">
        <w:rPr>
          <w:lang w:val="en-GB"/>
        </w:rPr>
        <w:t xml:space="preserve">not </w:t>
      </w:r>
      <w:r w:rsidR="00A11222" w:rsidRPr="005B0AAA">
        <w:rPr>
          <w:lang w:val="en-GB"/>
        </w:rPr>
        <w:t>applicable</w:t>
      </w:r>
      <w:r w:rsidR="00C7200B">
        <w:rPr>
          <w:lang w:val="en-GB"/>
        </w:rPr>
        <w:t>’</w:t>
      </w:r>
      <w:r w:rsidR="00A11222" w:rsidRPr="005B0AAA">
        <w:rPr>
          <w:lang w:val="en-GB"/>
        </w:rPr>
        <w:t>,</w:t>
      </w:r>
      <w:r w:rsidR="00A11222" w:rsidRPr="00B757C3">
        <w:rPr>
          <w:lang w:val="en-GB"/>
        </w:rPr>
        <w:t xml:space="preserve"> which may prompt </w:t>
      </w:r>
      <w:r w:rsidR="00A62D55" w:rsidRPr="00B757C3">
        <w:rPr>
          <w:lang w:val="en-GB"/>
        </w:rPr>
        <w:t xml:space="preserve">discussion on the merits of a </w:t>
      </w:r>
      <w:r w:rsidR="00A11222" w:rsidRPr="00B757C3">
        <w:rPr>
          <w:lang w:val="en-GB"/>
        </w:rPr>
        <w:t>bundle</w:t>
      </w:r>
      <w:r w:rsidR="00A62D55" w:rsidRPr="00B757C3">
        <w:rPr>
          <w:lang w:val="en-GB"/>
        </w:rPr>
        <w:t>.</w:t>
      </w:r>
    </w:p>
    <w:p w14:paraId="6173109A" w14:textId="77777777" w:rsidR="00C7200B" w:rsidRDefault="00354150" w:rsidP="008F51BF">
      <w:pPr>
        <w:pStyle w:val="Heading3"/>
      </w:pPr>
      <w:r w:rsidRPr="00FA1ECD">
        <w:t>Hair removal</w:t>
      </w:r>
    </w:p>
    <w:p w14:paraId="73E65562" w14:textId="7296692C" w:rsidR="009E216C" w:rsidRPr="00B757C3" w:rsidRDefault="009E216C" w:rsidP="00FA1ECD">
      <w:pPr>
        <w:rPr>
          <w:lang w:val="en-GB"/>
        </w:rPr>
      </w:pPr>
      <w:r w:rsidRPr="005B0AAA">
        <w:rPr>
          <w:lang w:val="en-GB"/>
        </w:rPr>
        <w:t>It</w:t>
      </w:r>
      <w:r w:rsidR="00C7200B">
        <w:rPr>
          <w:lang w:val="en-GB"/>
        </w:rPr>
        <w:t xml:space="preserve"> is</w:t>
      </w:r>
      <w:r w:rsidRPr="6E3EA24F">
        <w:rPr>
          <w:lang w:val="en-GB"/>
        </w:rPr>
        <w:t xml:space="preserve"> uncommon </w:t>
      </w:r>
      <w:r w:rsidR="00C7200B">
        <w:rPr>
          <w:lang w:val="en-GB"/>
        </w:rPr>
        <w:t xml:space="preserve">for patients </w:t>
      </w:r>
      <w:r w:rsidRPr="6E3EA24F">
        <w:rPr>
          <w:lang w:val="en-GB"/>
        </w:rPr>
        <w:t xml:space="preserve">to </w:t>
      </w:r>
      <w:r w:rsidR="00C7200B">
        <w:rPr>
          <w:lang w:val="en-GB"/>
        </w:rPr>
        <w:t>shave/</w:t>
      </w:r>
      <w:r w:rsidRPr="6E3EA24F">
        <w:rPr>
          <w:lang w:val="en-GB"/>
        </w:rPr>
        <w:t xml:space="preserve">remove hair </w:t>
      </w:r>
      <w:r w:rsidR="00C7200B">
        <w:rPr>
          <w:lang w:val="en-GB"/>
        </w:rPr>
        <w:t>from the surgical site in advance,</w:t>
      </w:r>
      <w:r w:rsidRPr="005B0AAA">
        <w:rPr>
          <w:lang w:val="en-GB"/>
        </w:rPr>
        <w:t xml:space="preserve"> </w:t>
      </w:r>
      <w:r w:rsidRPr="6E3EA24F">
        <w:rPr>
          <w:lang w:val="en-GB"/>
        </w:rPr>
        <w:t>but some patients, trying to be helpful, may</w:t>
      </w:r>
      <w:r w:rsidR="00354150" w:rsidRPr="6E3EA24F">
        <w:rPr>
          <w:lang w:val="en-GB"/>
        </w:rPr>
        <w:t xml:space="preserve"> </w:t>
      </w:r>
      <w:r w:rsidR="00C7200B">
        <w:rPr>
          <w:lang w:val="en-GB"/>
        </w:rPr>
        <w:t>do this</w:t>
      </w:r>
      <w:r w:rsidRPr="005B0AAA">
        <w:rPr>
          <w:lang w:val="en-GB"/>
        </w:rPr>
        <w:t xml:space="preserve">. </w:t>
      </w:r>
      <w:r w:rsidR="00C7200B">
        <w:rPr>
          <w:lang w:val="en-GB"/>
        </w:rPr>
        <w:t>Hair removal</w:t>
      </w:r>
      <w:r w:rsidR="00A62D55" w:rsidRPr="6E3EA24F">
        <w:rPr>
          <w:lang w:val="en-GB"/>
        </w:rPr>
        <w:t xml:space="preserve"> increas</w:t>
      </w:r>
      <w:r w:rsidR="00604659" w:rsidRPr="6E3EA24F">
        <w:rPr>
          <w:lang w:val="en-GB"/>
        </w:rPr>
        <w:t>es</w:t>
      </w:r>
      <w:r w:rsidR="00A62D55" w:rsidRPr="6E3EA24F">
        <w:rPr>
          <w:lang w:val="en-GB"/>
        </w:rPr>
        <w:t xml:space="preserve"> the risk </w:t>
      </w:r>
      <w:r w:rsidR="00C7200B">
        <w:rPr>
          <w:lang w:val="en-GB"/>
        </w:rPr>
        <w:t>of</w:t>
      </w:r>
      <w:r w:rsidR="00A62D55" w:rsidRPr="6E3EA24F">
        <w:rPr>
          <w:lang w:val="en-GB"/>
        </w:rPr>
        <w:t xml:space="preserve"> SSI.</w:t>
      </w:r>
      <w:r w:rsidR="00354150" w:rsidRPr="6E3EA24F">
        <w:rPr>
          <w:lang w:val="en-GB"/>
        </w:rPr>
        <w:t xml:space="preserve"> </w:t>
      </w:r>
      <w:r w:rsidRPr="6E3EA24F">
        <w:rPr>
          <w:lang w:val="en-GB"/>
        </w:rPr>
        <w:t>Some pre</w:t>
      </w:r>
      <w:r w:rsidR="00A62D55" w:rsidRPr="6E3EA24F">
        <w:rPr>
          <w:lang w:val="en-GB"/>
        </w:rPr>
        <w:t>-</w:t>
      </w:r>
      <w:r w:rsidRPr="6E3EA24F">
        <w:rPr>
          <w:lang w:val="en-GB"/>
        </w:rPr>
        <w:t>admission packs</w:t>
      </w:r>
      <w:r w:rsidR="000B2372">
        <w:rPr>
          <w:lang w:val="en-GB"/>
        </w:rPr>
        <w:t xml:space="preserve"> and </w:t>
      </w:r>
      <w:r w:rsidRPr="6E3EA24F">
        <w:rPr>
          <w:lang w:val="en-GB"/>
        </w:rPr>
        <w:t>info</w:t>
      </w:r>
      <w:r w:rsidR="00A62D55" w:rsidRPr="6E3EA24F">
        <w:rPr>
          <w:lang w:val="en-GB"/>
        </w:rPr>
        <w:t>rmation</w:t>
      </w:r>
      <w:r w:rsidRPr="6E3EA24F">
        <w:rPr>
          <w:lang w:val="en-GB"/>
        </w:rPr>
        <w:t xml:space="preserve"> </w:t>
      </w:r>
      <w:r w:rsidR="00354150" w:rsidRPr="6E3EA24F">
        <w:rPr>
          <w:lang w:val="en-GB"/>
        </w:rPr>
        <w:t>provided</w:t>
      </w:r>
      <w:r w:rsidRPr="6E3EA24F">
        <w:rPr>
          <w:lang w:val="en-GB"/>
        </w:rPr>
        <w:t xml:space="preserve"> to patients </w:t>
      </w:r>
      <w:r w:rsidR="000B2372">
        <w:rPr>
          <w:lang w:val="en-GB"/>
        </w:rPr>
        <w:t xml:space="preserve">before a procedure </w:t>
      </w:r>
      <w:r w:rsidRPr="6E3EA24F">
        <w:rPr>
          <w:lang w:val="en-GB"/>
        </w:rPr>
        <w:t xml:space="preserve">specifically </w:t>
      </w:r>
      <w:r w:rsidRPr="005B0AAA">
        <w:rPr>
          <w:lang w:val="en-GB"/>
        </w:rPr>
        <w:t>mention</w:t>
      </w:r>
      <w:r w:rsidRPr="6E3EA24F">
        <w:rPr>
          <w:lang w:val="en-GB"/>
        </w:rPr>
        <w:t xml:space="preserve"> not </w:t>
      </w:r>
      <w:r w:rsidR="000B2372">
        <w:rPr>
          <w:lang w:val="en-GB"/>
        </w:rPr>
        <w:t>shaving</w:t>
      </w:r>
      <w:r w:rsidRPr="6E3EA24F">
        <w:rPr>
          <w:lang w:val="en-GB"/>
        </w:rPr>
        <w:t xml:space="preserve"> the site. </w:t>
      </w:r>
      <w:r w:rsidR="00A62D55" w:rsidRPr="6E3EA24F">
        <w:rPr>
          <w:lang w:val="en-GB"/>
        </w:rPr>
        <w:t xml:space="preserve">If </w:t>
      </w:r>
      <w:r w:rsidR="000B2372">
        <w:rPr>
          <w:lang w:val="en-GB"/>
        </w:rPr>
        <w:t xml:space="preserve">a patient </w:t>
      </w:r>
      <w:r w:rsidRPr="6E3EA24F">
        <w:rPr>
          <w:lang w:val="en-GB"/>
        </w:rPr>
        <w:t xml:space="preserve">does </w:t>
      </w:r>
      <w:r w:rsidR="000B2372">
        <w:rPr>
          <w:lang w:val="en-GB"/>
        </w:rPr>
        <w:t>s</w:t>
      </w:r>
      <w:r w:rsidR="00A62D55" w:rsidRPr="005B0AAA">
        <w:rPr>
          <w:lang w:val="en-GB"/>
        </w:rPr>
        <w:t>hav</w:t>
      </w:r>
      <w:r w:rsidR="000B2372">
        <w:rPr>
          <w:lang w:val="en-GB"/>
        </w:rPr>
        <w:t>e a surgical site in advance, this is</w:t>
      </w:r>
      <w:r w:rsidRPr="6E3EA24F">
        <w:rPr>
          <w:lang w:val="en-GB"/>
        </w:rPr>
        <w:t xml:space="preserve"> an opportunity </w:t>
      </w:r>
      <w:r w:rsidR="00A62D55" w:rsidRPr="6E3EA24F">
        <w:rPr>
          <w:lang w:val="en-GB"/>
        </w:rPr>
        <w:t xml:space="preserve">to </w:t>
      </w:r>
      <w:r w:rsidRPr="6E3EA24F">
        <w:rPr>
          <w:lang w:val="en-GB"/>
        </w:rPr>
        <w:t xml:space="preserve">review the pre-operative advice </w:t>
      </w:r>
      <w:r w:rsidR="000B2372">
        <w:rPr>
          <w:lang w:val="en-GB"/>
        </w:rPr>
        <w:t xml:space="preserve">being </w:t>
      </w:r>
      <w:r w:rsidR="00A62D55" w:rsidRPr="6E3EA24F">
        <w:rPr>
          <w:lang w:val="en-GB"/>
        </w:rPr>
        <w:t xml:space="preserve">given </w:t>
      </w:r>
      <w:r w:rsidRPr="6E3EA24F">
        <w:rPr>
          <w:lang w:val="en-GB"/>
        </w:rPr>
        <w:t xml:space="preserve">to patients and </w:t>
      </w:r>
      <w:r w:rsidR="00580437">
        <w:rPr>
          <w:lang w:val="en-GB"/>
        </w:rPr>
        <w:t>emphasise</w:t>
      </w:r>
      <w:r w:rsidR="00A62D55" w:rsidRPr="6E3EA24F">
        <w:rPr>
          <w:lang w:val="en-GB"/>
        </w:rPr>
        <w:t xml:space="preserve"> </w:t>
      </w:r>
      <w:r w:rsidRPr="6E3EA24F">
        <w:rPr>
          <w:lang w:val="en-GB"/>
        </w:rPr>
        <w:t>that shaving will increase the risk of SSI</w:t>
      </w:r>
      <w:r w:rsidR="00A62D55" w:rsidRPr="6E3EA24F">
        <w:rPr>
          <w:lang w:val="en-GB"/>
        </w:rPr>
        <w:t>.</w:t>
      </w:r>
    </w:p>
    <w:p w14:paraId="36FA26BD" w14:textId="5C2F2C86" w:rsidR="00C7200B" w:rsidRPr="000B2372" w:rsidRDefault="006B230B" w:rsidP="008F51BF">
      <w:pPr>
        <w:pStyle w:val="Heading3"/>
        <w:rPr>
          <w:i w:val="0"/>
          <w:iCs w:val="0"/>
        </w:rPr>
      </w:pPr>
      <w:r w:rsidRPr="00FA1ECD">
        <w:t>A</w:t>
      </w:r>
      <w:r w:rsidR="00993C41" w:rsidRPr="00FA1ECD">
        <w:t>dditional vancomy</w:t>
      </w:r>
      <w:r w:rsidR="00EA7A76" w:rsidRPr="00FA1ECD">
        <w:t xml:space="preserve">cin for </w:t>
      </w:r>
      <w:r w:rsidR="000B2372">
        <w:t>m</w:t>
      </w:r>
      <w:r w:rsidR="000B2372" w:rsidRPr="000B2372">
        <w:t xml:space="preserve">ethicillin-resistant </w:t>
      </w:r>
      <w:r w:rsidR="000B2372" w:rsidRPr="000B2372">
        <w:rPr>
          <w:i w:val="0"/>
          <w:iCs w:val="0"/>
        </w:rPr>
        <w:t>Staphylococcus aureus</w:t>
      </w:r>
    </w:p>
    <w:p w14:paraId="108C7A3D" w14:textId="2C369766" w:rsidR="005A4101" w:rsidRPr="007126FE" w:rsidRDefault="006B230B" w:rsidP="00FA1ECD">
      <w:pPr>
        <w:rPr>
          <w:lang w:val="en-GB"/>
        </w:rPr>
      </w:pPr>
      <w:r w:rsidRPr="4B3CD92E">
        <w:rPr>
          <w:lang w:val="en-GB"/>
        </w:rPr>
        <w:t>I</w:t>
      </w:r>
      <w:r w:rsidR="00EA7A76" w:rsidRPr="4B3CD92E">
        <w:rPr>
          <w:lang w:val="en-GB"/>
        </w:rPr>
        <w:t xml:space="preserve">f </w:t>
      </w:r>
      <w:r w:rsidR="000B2372" w:rsidRPr="4B3CD92E">
        <w:rPr>
          <w:lang w:val="en-GB"/>
        </w:rPr>
        <w:t>a</w:t>
      </w:r>
      <w:r w:rsidR="00EA7A76" w:rsidRPr="4B3CD92E">
        <w:rPr>
          <w:lang w:val="en-GB"/>
        </w:rPr>
        <w:t xml:space="preserve"> patient is known to </w:t>
      </w:r>
      <w:r w:rsidRPr="4B3CD92E">
        <w:rPr>
          <w:lang w:val="en-GB"/>
        </w:rPr>
        <w:t xml:space="preserve">have </w:t>
      </w:r>
      <w:r w:rsidR="000B2372" w:rsidRPr="4B3CD92E">
        <w:rPr>
          <w:lang w:val="en-GB"/>
        </w:rPr>
        <w:t xml:space="preserve">methicillin-resistant </w:t>
      </w:r>
      <w:r w:rsidR="000B2372" w:rsidRPr="4B3CD92E">
        <w:rPr>
          <w:i/>
          <w:iCs/>
          <w:lang w:val="en-GB"/>
        </w:rPr>
        <w:t>Staphylococcus aureus</w:t>
      </w:r>
      <w:r w:rsidR="000B2372" w:rsidRPr="4B3CD92E">
        <w:rPr>
          <w:lang w:val="en-GB"/>
        </w:rPr>
        <w:t xml:space="preserve"> (MRSA)</w:t>
      </w:r>
      <w:r w:rsidR="00EA7A76" w:rsidRPr="4B3CD92E">
        <w:rPr>
          <w:lang w:val="en-GB"/>
        </w:rPr>
        <w:t xml:space="preserve">, </w:t>
      </w:r>
      <w:r w:rsidR="00E97833" w:rsidRPr="4B3CD92E">
        <w:rPr>
          <w:lang w:val="en-GB"/>
        </w:rPr>
        <w:t xml:space="preserve">it is important that </w:t>
      </w:r>
      <w:r w:rsidR="004F0737" w:rsidRPr="4B3CD92E">
        <w:rPr>
          <w:lang w:val="en-GB"/>
        </w:rPr>
        <w:t xml:space="preserve">vancomycin </w:t>
      </w:r>
      <w:r w:rsidR="00E97833" w:rsidRPr="4B3CD92E">
        <w:rPr>
          <w:lang w:val="en-GB"/>
        </w:rPr>
        <w:t>is</w:t>
      </w:r>
      <w:r w:rsidR="004F0737" w:rsidRPr="4B3CD92E">
        <w:rPr>
          <w:lang w:val="en-GB"/>
        </w:rPr>
        <w:t xml:space="preserve"> given </w:t>
      </w:r>
      <w:r w:rsidR="004F0737" w:rsidRPr="4B3CD92E">
        <w:rPr>
          <w:b/>
          <w:bCs/>
          <w:lang w:val="en-GB"/>
        </w:rPr>
        <w:t xml:space="preserve">in addition </w:t>
      </w:r>
      <w:r w:rsidR="004E5F02" w:rsidRPr="4B3CD92E">
        <w:rPr>
          <w:b/>
          <w:bCs/>
          <w:lang w:val="en-GB"/>
        </w:rPr>
        <w:t>to</w:t>
      </w:r>
      <w:r w:rsidR="004E5F02" w:rsidRPr="4B3CD92E">
        <w:rPr>
          <w:lang w:val="en-GB"/>
        </w:rPr>
        <w:t xml:space="preserve"> cefazolin. </w:t>
      </w:r>
      <w:r w:rsidR="00E97833" w:rsidRPr="4B3CD92E">
        <w:rPr>
          <w:lang w:val="en-GB"/>
        </w:rPr>
        <w:t>Vancomycin (a Gram-positive only drug) is not a substitute for c</w:t>
      </w:r>
      <w:r w:rsidR="004E5F02" w:rsidRPr="4B3CD92E">
        <w:rPr>
          <w:lang w:val="en-GB"/>
        </w:rPr>
        <w:t xml:space="preserve">efazolin </w:t>
      </w:r>
      <w:r w:rsidR="00EA7A76" w:rsidRPr="4B3CD92E">
        <w:rPr>
          <w:lang w:val="en-GB"/>
        </w:rPr>
        <w:t xml:space="preserve">(which has </w:t>
      </w:r>
      <w:r w:rsidRPr="4B3CD92E">
        <w:rPr>
          <w:lang w:val="en-GB"/>
        </w:rPr>
        <w:t>G</w:t>
      </w:r>
      <w:r w:rsidR="00EA7A76" w:rsidRPr="4B3CD92E">
        <w:rPr>
          <w:lang w:val="en-GB"/>
        </w:rPr>
        <w:t>ram</w:t>
      </w:r>
      <w:r w:rsidRPr="4B3CD92E">
        <w:rPr>
          <w:lang w:val="en-GB"/>
        </w:rPr>
        <w:t>-</w:t>
      </w:r>
      <w:r w:rsidR="00EA7A76" w:rsidRPr="4B3CD92E">
        <w:rPr>
          <w:lang w:val="en-GB"/>
        </w:rPr>
        <w:t>negative cover</w:t>
      </w:r>
      <w:r w:rsidR="0043248B" w:rsidRPr="4B3CD92E">
        <w:rPr>
          <w:lang w:val="en-GB"/>
        </w:rPr>
        <w:t xml:space="preserve">, </w:t>
      </w:r>
      <w:proofErr w:type="spellStart"/>
      <w:r w:rsidR="00CD0F0E" w:rsidRPr="4B3CD92E">
        <w:rPr>
          <w:lang w:val="en-GB"/>
        </w:rPr>
        <w:t>eg</w:t>
      </w:r>
      <w:proofErr w:type="spellEnd"/>
      <w:r w:rsidR="000B2372" w:rsidRPr="4B3CD92E">
        <w:rPr>
          <w:lang w:val="en-GB"/>
        </w:rPr>
        <w:t>,</w:t>
      </w:r>
      <w:r w:rsidR="00EA7A76" w:rsidRPr="4B3CD92E">
        <w:rPr>
          <w:lang w:val="en-GB"/>
        </w:rPr>
        <w:t xml:space="preserve"> </w:t>
      </w:r>
      <w:r w:rsidRPr="4B3CD92E">
        <w:rPr>
          <w:i/>
          <w:iCs/>
          <w:lang w:val="en-GB"/>
        </w:rPr>
        <w:t>E</w:t>
      </w:r>
      <w:r w:rsidR="006865F2" w:rsidRPr="4B3CD92E">
        <w:rPr>
          <w:i/>
          <w:iCs/>
          <w:lang w:val="en-GB"/>
        </w:rPr>
        <w:t>.</w:t>
      </w:r>
      <w:r w:rsidR="00EA7A76" w:rsidRPr="4B3CD92E">
        <w:rPr>
          <w:i/>
          <w:iCs/>
          <w:lang w:val="en-GB"/>
        </w:rPr>
        <w:t xml:space="preserve"> coli</w:t>
      </w:r>
      <w:r w:rsidR="00EA7A76" w:rsidRPr="4B3CD92E">
        <w:rPr>
          <w:lang w:val="en-GB"/>
        </w:rPr>
        <w:t xml:space="preserve"> and </w:t>
      </w:r>
      <w:r w:rsidRPr="4B3CD92E">
        <w:rPr>
          <w:lang w:val="en-GB"/>
        </w:rPr>
        <w:t xml:space="preserve">Klebsiella </w:t>
      </w:r>
      <w:proofErr w:type="spellStart"/>
      <w:r w:rsidRPr="4B3CD92E">
        <w:rPr>
          <w:lang w:val="en-GB"/>
        </w:rPr>
        <w:t>spp</w:t>
      </w:r>
      <w:proofErr w:type="spellEnd"/>
      <w:r w:rsidR="009D0BB4" w:rsidRPr="4B3CD92E">
        <w:rPr>
          <w:lang w:val="en-GB"/>
        </w:rPr>
        <w:t>)</w:t>
      </w:r>
      <w:r w:rsidRPr="4B3CD92E">
        <w:rPr>
          <w:lang w:val="en-GB"/>
        </w:rPr>
        <w:t>.</w:t>
      </w:r>
    </w:p>
    <w:p w14:paraId="51FED261" w14:textId="455AE05F" w:rsidR="005C597A" w:rsidRDefault="004F7B76" w:rsidP="008F51BF">
      <w:pPr>
        <w:pStyle w:val="Heading3"/>
      </w:pPr>
      <w:r>
        <w:t>Intraoperative</w:t>
      </w:r>
      <w:r w:rsidRPr="00FA1ECD">
        <w:t xml:space="preserve"> </w:t>
      </w:r>
      <w:r w:rsidR="00DA5F3F" w:rsidRPr="00FA1ECD">
        <w:t>preventative measures</w:t>
      </w:r>
    </w:p>
    <w:p w14:paraId="694EA98C" w14:textId="23B71BB2" w:rsidR="009D0BB4" w:rsidRPr="00B757C3" w:rsidRDefault="002F78DD" w:rsidP="00FA1ECD">
      <w:pPr>
        <w:rPr>
          <w:lang w:val="en-GB"/>
        </w:rPr>
      </w:pPr>
      <w:r w:rsidRPr="00B757C3">
        <w:rPr>
          <w:lang w:val="en-GB"/>
        </w:rPr>
        <w:t xml:space="preserve">For items such as antibiotic cement, laminar air flow or triclosan sutures, there </w:t>
      </w:r>
      <w:r w:rsidR="007126FE" w:rsidRPr="00B757C3">
        <w:rPr>
          <w:lang w:val="en-GB"/>
        </w:rPr>
        <w:t>may be</w:t>
      </w:r>
      <w:r w:rsidRPr="00B757C3">
        <w:rPr>
          <w:lang w:val="en-GB"/>
        </w:rPr>
        <w:t xml:space="preserve"> a </w:t>
      </w:r>
      <w:r w:rsidR="006B230B" w:rsidRPr="00B757C3">
        <w:rPr>
          <w:lang w:val="en-GB"/>
        </w:rPr>
        <w:t xml:space="preserve">local </w:t>
      </w:r>
      <w:r w:rsidRPr="00B757C3">
        <w:rPr>
          <w:lang w:val="en-GB"/>
        </w:rPr>
        <w:t>policy for their use</w:t>
      </w:r>
      <w:r w:rsidR="00830286">
        <w:rPr>
          <w:lang w:val="en-GB"/>
        </w:rPr>
        <w:t>. If</w:t>
      </w:r>
      <w:r w:rsidRPr="005B0AAA">
        <w:rPr>
          <w:lang w:val="en-GB"/>
        </w:rPr>
        <w:t xml:space="preserve"> </w:t>
      </w:r>
      <w:r w:rsidR="00830286">
        <w:rPr>
          <w:lang w:val="en-GB"/>
        </w:rPr>
        <w:t xml:space="preserve">no policy exists, this </w:t>
      </w:r>
      <w:r w:rsidR="007F65AD">
        <w:rPr>
          <w:lang w:val="en-GB"/>
        </w:rPr>
        <w:t>may be an</w:t>
      </w:r>
      <w:r w:rsidR="00830286">
        <w:rPr>
          <w:lang w:val="en-GB"/>
        </w:rPr>
        <w:t xml:space="preserve"> opportunity for</w:t>
      </w:r>
      <w:r w:rsidRPr="00B757C3">
        <w:rPr>
          <w:lang w:val="en-GB"/>
        </w:rPr>
        <w:t xml:space="preserve"> quality improvement</w:t>
      </w:r>
      <w:r w:rsidR="006B230B" w:rsidRPr="00B757C3">
        <w:rPr>
          <w:lang w:val="en-GB"/>
        </w:rPr>
        <w:t>.</w:t>
      </w:r>
    </w:p>
    <w:p w14:paraId="40852DF2" w14:textId="77777777" w:rsidR="00830286" w:rsidRDefault="006B230B" w:rsidP="008F51BF">
      <w:pPr>
        <w:pStyle w:val="Heading3"/>
      </w:pPr>
      <w:r w:rsidRPr="00FA1ECD">
        <w:t>T</w:t>
      </w:r>
      <w:r w:rsidR="002F78DD" w:rsidRPr="00FA1ECD">
        <w:t>ourniquet</w:t>
      </w:r>
      <w:r w:rsidRPr="00FA1ECD">
        <w:t>s</w:t>
      </w:r>
    </w:p>
    <w:p w14:paraId="62F507EF" w14:textId="3C506E3C" w:rsidR="002F78DD" w:rsidRPr="00B757C3" w:rsidRDefault="00692150" w:rsidP="00FA1ECD">
      <w:pPr>
        <w:rPr>
          <w:lang w:val="en-GB"/>
        </w:rPr>
      </w:pPr>
      <w:r w:rsidRPr="00B757C3">
        <w:rPr>
          <w:lang w:val="en-GB"/>
        </w:rPr>
        <w:t xml:space="preserve">The tourniquet </w:t>
      </w:r>
      <w:r w:rsidR="007126FE" w:rsidRPr="00B757C3">
        <w:rPr>
          <w:lang w:val="en-GB"/>
        </w:rPr>
        <w:t>must</w:t>
      </w:r>
      <w:r w:rsidRPr="00B757C3">
        <w:rPr>
          <w:lang w:val="en-GB"/>
        </w:rPr>
        <w:t xml:space="preserve"> be left </w:t>
      </w:r>
      <w:r w:rsidR="006B230B" w:rsidRPr="00B757C3">
        <w:rPr>
          <w:lang w:val="en-GB"/>
        </w:rPr>
        <w:t xml:space="preserve">uninflated </w:t>
      </w:r>
      <w:r w:rsidRPr="00B757C3">
        <w:rPr>
          <w:lang w:val="en-GB"/>
        </w:rPr>
        <w:t xml:space="preserve">for a sufficient </w:t>
      </w:r>
      <w:r w:rsidR="00580437">
        <w:rPr>
          <w:lang w:val="en-GB"/>
        </w:rPr>
        <w:t xml:space="preserve">time </w:t>
      </w:r>
      <w:r w:rsidRPr="00B757C3">
        <w:rPr>
          <w:lang w:val="en-GB"/>
        </w:rPr>
        <w:t xml:space="preserve">period for the </w:t>
      </w:r>
      <w:r w:rsidR="006B230B" w:rsidRPr="00B757C3">
        <w:rPr>
          <w:lang w:val="en-GB"/>
        </w:rPr>
        <w:t>antibiot</w:t>
      </w:r>
      <w:r w:rsidR="00354150">
        <w:rPr>
          <w:lang w:val="en-GB"/>
        </w:rPr>
        <w:t>i</w:t>
      </w:r>
      <w:r w:rsidR="006B230B" w:rsidRPr="00B757C3">
        <w:rPr>
          <w:lang w:val="en-GB"/>
        </w:rPr>
        <w:t>c to reach the tissue. I</w:t>
      </w:r>
      <w:r w:rsidRPr="00B757C3">
        <w:rPr>
          <w:lang w:val="en-GB"/>
        </w:rPr>
        <w:t xml:space="preserve">f the tourniquet is </w:t>
      </w:r>
      <w:r w:rsidR="006B230B" w:rsidRPr="00B757C3">
        <w:rPr>
          <w:lang w:val="en-GB"/>
        </w:rPr>
        <w:t xml:space="preserve">inflated </w:t>
      </w:r>
      <w:r w:rsidR="007126FE" w:rsidRPr="00B757C3">
        <w:rPr>
          <w:lang w:val="en-GB"/>
        </w:rPr>
        <w:t>when the</w:t>
      </w:r>
      <w:r w:rsidRPr="00B757C3">
        <w:rPr>
          <w:lang w:val="en-GB"/>
        </w:rPr>
        <w:t xml:space="preserve"> antibiotic is given </w:t>
      </w:r>
      <w:r w:rsidR="00580437">
        <w:rPr>
          <w:lang w:val="en-GB"/>
        </w:rPr>
        <w:t>it is</w:t>
      </w:r>
      <w:r w:rsidRPr="00B757C3">
        <w:rPr>
          <w:lang w:val="en-GB"/>
        </w:rPr>
        <w:t xml:space="preserve"> the same as not giving prophylaxis</w:t>
      </w:r>
      <w:r w:rsidR="006B230B" w:rsidRPr="00B757C3">
        <w:rPr>
          <w:lang w:val="en-GB"/>
        </w:rPr>
        <w:t>.</w:t>
      </w:r>
    </w:p>
    <w:p w14:paraId="5FD18451" w14:textId="77777777" w:rsidR="00126085" w:rsidRDefault="006B230B" w:rsidP="008F51BF">
      <w:pPr>
        <w:pStyle w:val="Heading3"/>
      </w:pPr>
      <w:r w:rsidRPr="00FA1ECD">
        <w:t>H</w:t>
      </w:r>
      <w:r w:rsidR="00692150" w:rsidRPr="00FA1ECD">
        <w:t>ypothermia</w:t>
      </w:r>
    </w:p>
    <w:p w14:paraId="2CF3AEE3" w14:textId="46ECCDAE" w:rsidR="00580437" w:rsidRPr="00A34391" w:rsidRDefault="007740BA" w:rsidP="00A34391">
      <w:pPr>
        <w:rPr>
          <w:lang w:val="en-GB"/>
        </w:rPr>
      </w:pPr>
      <w:r w:rsidRPr="00B757C3">
        <w:rPr>
          <w:lang w:val="en-GB"/>
        </w:rPr>
        <w:t>L</w:t>
      </w:r>
      <w:r w:rsidR="00692150" w:rsidRPr="00B757C3">
        <w:rPr>
          <w:lang w:val="en-GB"/>
        </w:rPr>
        <w:t xml:space="preserve">ocal </w:t>
      </w:r>
      <w:r w:rsidR="00126085" w:rsidRPr="00126085">
        <w:rPr>
          <w:lang w:val="en-GB"/>
        </w:rPr>
        <w:t>Australian and New Zealand College of Anaesthetists</w:t>
      </w:r>
      <w:r w:rsidRPr="00B757C3">
        <w:rPr>
          <w:lang w:val="en-GB"/>
        </w:rPr>
        <w:t xml:space="preserve"> </w:t>
      </w:r>
      <w:r w:rsidR="00692150" w:rsidRPr="00B757C3">
        <w:rPr>
          <w:lang w:val="en-GB"/>
        </w:rPr>
        <w:t xml:space="preserve">guidelines </w:t>
      </w:r>
      <w:r w:rsidR="00BA098F" w:rsidRPr="00B757C3">
        <w:rPr>
          <w:lang w:val="en-GB"/>
        </w:rPr>
        <w:t xml:space="preserve">recommend </w:t>
      </w:r>
      <w:r w:rsidR="00126085">
        <w:rPr>
          <w:lang w:val="en-GB"/>
        </w:rPr>
        <w:t>using</w:t>
      </w:r>
      <w:r w:rsidR="00BA098F" w:rsidRPr="00B757C3">
        <w:rPr>
          <w:lang w:val="en-GB"/>
        </w:rPr>
        <w:t xml:space="preserve"> </w:t>
      </w:r>
      <w:r w:rsidRPr="00B757C3">
        <w:rPr>
          <w:lang w:val="en-GB"/>
        </w:rPr>
        <w:t xml:space="preserve">temperature monitoring </w:t>
      </w:r>
      <w:r w:rsidR="00BA098F" w:rsidRPr="00B757C3">
        <w:rPr>
          <w:lang w:val="en-GB"/>
        </w:rPr>
        <w:t xml:space="preserve">if </w:t>
      </w:r>
      <w:r w:rsidR="00126085">
        <w:rPr>
          <w:lang w:val="en-GB"/>
        </w:rPr>
        <w:t xml:space="preserve">using </w:t>
      </w:r>
      <w:r w:rsidR="00BA098F" w:rsidRPr="00B757C3">
        <w:rPr>
          <w:lang w:val="en-GB"/>
        </w:rPr>
        <w:t xml:space="preserve">heating devices. </w:t>
      </w:r>
    </w:p>
    <w:p w14:paraId="447AC963" w14:textId="63F79A9F" w:rsidR="00126085" w:rsidRDefault="00DA5F3F" w:rsidP="008F51BF">
      <w:pPr>
        <w:pStyle w:val="Heading3"/>
      </w:pPr>
      <w:r w:rsidRPr="00FA1ECD">
        <w:lastRenderedPageBreak/>
        <w:t>Surgical dressings</w:t>
      </w:r>
    </w:p>
    <w:p w14:paraId="62C51B86" w14:textId="4F7F752B" w:rsidR="00D239BC" w:rsidRPr="00B757C3" w:rsidRDefault="00240E6B" w:rsidP="00FA1ECD">
      <w:pPr>
        <w:rPr>
          <w:lang w:val="en-GB"/>
        </w:rPr>
      </w:pPr>
      <w:r w:rsidRPr="00B757C3">
        <w:rPr>
          <w:lang w:val="en-GB"/>
        </w:rPr>
        <w:t xml:space="preserve">Several DHBs have a </w:t>
      </w:r>
      <w:r w:rsidR="007740BA" w:rsidRPr="00B757C3">
        <w:rPr>
          <w:lang w:val="en-GB"/>
        </w:rPr>
        <w:t xml:space="preserve">policy for </w:t>
      </w:r>
      <w:r w:rsidR="00DA5F3F">
        <w:rPr>
          <w:lang w:val="en-GB"/>
        </w:rPr>
        <w:t>managing</w:t>
      </w:r>
      <w:r w:rsidR="007740BA" w:rsidRPr="00B757C3">
        <w:rPr>
          <w:lang w:val="en-GB"/>
        </w:rPr>
        <w:t xml:space="preserve"> the surgical site </w:t>
      </w:r>
      <w:r w:rsidRPr="00B757C3">
        <w:rPr>
          <w:lang w:val="en-GB"/>
        </w:rPr>
        <w:t>dressing</w:t>
      </w:r>
      <w:r w:rsidR="007740BA" w:rsidRPr="00B757C3">
        <w:rPr>
          <w:lang w:val="en-GB"/>
        </w:rPr>
        <w:t>,</w:t>
      </w:r>
      <w:r w:rsidR="00DA5F3F">
        <w:rPr>
          <w:lang w:val="en-GB"/>
        </w:rPr>
        <w:t xml:space="preserve"> </w:t>
      </w:r>
      <w:proofErr w:type="spellStart"/>
      <w:r w:rsidR="007740BA" w:rsidRPr="005B0AAA">
        <w:rPr>
          <w:lang w:val="en-GB"/>
        </w:rPr>
        <w:t>eg</w:t>
      </w:r>
      <w:proofErr w:type="spellEnd"/>
      <w:r w:rsidR="00126085">
        <w:rPr>
          <w:lang w:val="en-GB"/>
        </w:rPr>
        <w:t>,</w:t>
      </w:r>
      <w:r w:rsidRPr="00B757C3">
        <w:rPr>
          <w:lang w:val="en-GB"/>
        </w:rPr>
        <w:t xml:space="preserve"> specific instructions on when to take </w:t>
      </w:r>
      <w:r w:rsidR="00580437">
        <w:rPr>
          <w:lang w:val="en-GB"/>
        </w:rPr>
        <w:t>one</w:t>
      </w:r>
      <w:r w:rsidRPr="00B757C3">
        <w:rPr>
          <w:lang w:val="en-GB"/>
        </w:rPr>
        <w:t xml:space="preserve"> off</w:t>
      </w:r>
      <w:r w:rsidR="00D57C87" w:rsidRPr="00B757C3">
        <w:rPr>
          <w:lang w:val="en-GB"/>
        </w:rPr>
        <w:t xml:space="preserve">. If </w:t>
      </w:r>
      <w:r w:rsidR="00580437">
        <w:rPr>
          <w:lang w:val="en-GB"/>
        </w:rPr>
        <w:t>staff</w:t>
      </w:r>
      <w:r w:rsidR="00D57C87" w:rsidRPr="00B757C3">
        <w:rPr>
          <w:lang w:val="en-GB"/>
        </w:rPr>
        <w:t xml:space="preserve"> are not </w:t>
      </w:r>
      <w:r w:rsidR="00580437">
        <w:rPr>
          <w:lang w:val="en-GB"/>
        </w:rPr>
        <w:t>following the policy</w:t>
      </w:r>
      <w:r w:rsidR="00126085">
        <w:rPr>
          <w:lang w:val="en-GB"/>
        </w:rPr>
        <w:t>,</w:t>
      </w:r>
      <w:r w:rsidR="00D57C87" w:rsidRPr="00B757C3">
        <w:rPr>
          <w:lang w:val="en-GB"/>
        </w:rPr>
        <w:t xml:space="preserve"> </w:t>
      </w:r>
      <w:r w:rsidR="007740BA" w:rsidRPr="00B757C3">
        <w:rPr>
          <w:lang w:val="en-GB"/>
        </w:rPr>
        <w:t xml:space="preserve">it </w:t>
      </w:r>
      <w:r w:rsidR="00126085">
        <w:rPr>
          <w:lang w:val="en-GB"/>
        </w:rPr>
        <w:t>is</w:t>
      </w:r>
      <w:r w:rsidR="007740BA" w:rsidRPr="00B757C3">
        <w:rPr>
          <w:lang w:val="en-GB"/>
        </w:rPr>
        <w:t xml:space="preserve"> important to know why.</w:t>
      </w:r>
    </w:p>
    <w:p w14:paraId="781009E5" w14:textId="67BED048" w:rsidR="00126085" w:rsidRDefault="00126085" w:rsidP="008F51BF">
      <w:pPr>
        <w:pStyle w:val="Heading3"/>
      </w:pPr>
      <w:r>
        <w:t>General practitioner</w:t>
      </w:r>
      <w:r w:rsidR="00DA5F3F" w:rsidRPr="00FA1ECD">
        <w:t xml:space="preserve"> management of SSI</w:t>
      </w:r>
    </w:p>
    <w:p w14:paraId="6C1691D1" w14:textId="339AA92F" w:rsidR="00C5218F" w:rsidRPr="00B757C3" w:rsidRDefault="00DB65AC" w:rsidP="00FA1ECD">
      <w:pPr>
        <w:rPr>
          <w:lang w:val="en-GB"/>
        </w:rPr>
      </w:pPr>
      <w:r>
        <w:rPr>
          <w:lang w:val="en-GB"/>
        </w:rPr>
        <w:t>If a general practitioner (GP) has initially treated</w:t>
      </w:r>
      <w:r w:rsidR="00B277C8" w:rsidRPr="005B0AAA">
        <w:rPr>
          <w:lang w:val="en-GB"/>
        </w:rPr>
        <w:t xml:space="preserve"> </w:t>
      </w:r>
      <w:r w:rsidR="00B277C8" w:rsidRPr="00B757C3">
        <w:rPr>
          <w:lang w:val="en-GB"/>
        </w:rPr>
        <w:t xml:space="preserve">a wound before </w:t>
      </w:r>
      <w:r>
        <w:rPr>
          <w:lang w:val="en-GB"/>
        </w:rPr>
        <w:t>a patient is</w:t>
      </w:r>
      <w:r w:rsidR="00B277C8" w:rsidRPr="005B0AAA">
        <w:rPr>
          <w:lang w:val="en-GB"/>
        </w:rPr>
        <w:t xml:space="preserve"> re</w:t>
      </w:r>
      <w:r>
        <w:rPr>
          <w:lang w:val="en-GB"/>
        </w:rPr>
        <w:t>-</w:t>
      </w:r>
      <w:r w:rsidR="00B277C8" w:rsidRPr="005B0AAA">
        <w:rPr>
          <w:lang w:val="en-GB"/>
        </w:rPr>
        <w:t>admi</w:t>
      </w:r>
      <w:r>
        <w:rPr>
          <w:lang w:val="en-GB"/>
        </w:rPr>
        <w:t xml:space="preserve">tted, note this in the </w:t>
      </w:r>
      <w:r w:rsidR="006D40FA">
        <w:rPr>
          <w:lang w:val="en-GB"/>
        </w:rPr>
        <w:t>SSI investigation tool</w:t>
      </w:r>
      <w:r w:rsidR="00CD0F0E" w:rsidRPr="005B0AAA">
        <w:rPr>
          <w:lang w:val="en-GB"/>
        </w:rPr>
        <w:t>.</w:t>
      </w:r>
      <w:r w:rsidR="00CD0F0E">
        <w:rPr>
          <w:lang w:val="en-GB"/>
        </w:rPr>
        <w:t xml:space="preserve"> </w:t>
      </w:r>
      <w:r w:rsidR="00CD0F0E" w:rsidRPr="00B757C3">
        <w:rPr>
          <w:lang w:val="en-GB"/>
        </w:rPr>
        <w:t>Usually,</w:t>
      </w:r>
      <w:r w:rsidR="00B277C8" w:rsidRPr="00B757C3">
        <w:rPr>
          <w:lang w:val="en-GB"/>
        </w:rPr>
        <w:t xml:space="preserve"> </w:t>
      </w:r>
      <w:r w:rsidR="0043248B">
        <w:rPr>
          <w:lang w:val="en-GB"/>
        </w:rPr>
        <w:t xml:space="preserve">SSIs managed in primary care are </w:t>
      </w:r>
      <w:r w:rsidR="00B277C8" w:rsidRPr="00B757C3">
        <w:rPr>
          <w:lang w:val="en-GB"/>
        </w:rPr>
        <w:t>very superficial</w:t>
      </w:r>
      <w:r w:rsidR="0043248B">
        <w:rPr>
          <w:lang w:val="en-GB"/>
        </w:rPr>
        <w:t xml:space="preserve">. If </w:t>
      </w:r>
      <w:r w:rsidR="00CD0F0E">
        <w:rPr>
          <w:lang w:val="en-GB"/>
        </w:rPr>
        <w:t>not</w:t>
      </w:r>
      <w:r>
        <w:rPr>
          <w:lang w:val="en-GB"/>
        </w:rPr>
        <w:t xml:space="preserve"> superficial</w:t>
      </w:r>
      <w:r w:rsidR="00CD0F0E">
        <w:rPr>
          <w:lang w:val="en-GB"/>
        </w:rPr>
        <w:t xml:space="preserve">, </w:t>
      </w:r>
      <w:r w:rsidR="00CD0F0E" w:rsidRPr="00B757C3">
        <w:rPr>
          <w:lang w:val="en-GB"/>
        </w:rPr>
        <w:t>the</w:t>
      </w:r>
      <w:r w:rsidR="00DA5F3F">
        <w:rPr>
          <w:lang w:val="en-GB"/>
        </w:rPr>
        <w:t xml:space="preserve"> patient</w:t>
      </w:r>
      <w:r w:rsidR="0043248B">
        <w:rPr>
          <w:lang w:val="en-GB"/>
        </w:rPr>
        <w:t xml:space="preserve"> should be</w:t>
      </w:r>
      <w:r w:rsidR="00B277C8" w:rsidRPr="00B757C3">
        <w:rPr>
          <w:lang w:val="en-GB"/>
        </w:rPr>
        <w:t xml:space="preserve"> refer</w:t>
      </w:r>
      <w:r w:rsidR="00DA5F3F">
        <w:rPr>
          <w:lang w:val="en-GB"/>
        </w:rPr>
        <w:t>r</w:t>
      </w:r>
      <w:r w:rsidR="00B277C8" w:rsidRPr="00B757C3">
        <w:rPr>
          <w:lang w:val="en-GB"/>
        </w:rPr>
        <w:t xml:space="preserve">ed back to the hospital for management. In some </w:t>
      </w:r>
      <w:r w:rsidR="007126FE" w:rsidRPr="00B757C3">
        <w:rPr>
          <w:lang w:val="en-GB"/>
        </w:rPr>
        <w:t>cases,</w:t>
      </w:r>
      <w:r w:rsidR="00B277C8" w:rsidRPr="00B757C3">
        <w:rPr>
          <w:lang w:val="en-GB"/>
        </w:rPr>
        <w:t xml:space="preserve"> primary care </w:t>
      </w:r>
      <w:r w:rsidR="007126FE" w:rsidRPr="00B757C3">
        <w:rPr>
          <w:lang w:val="en-GB"/>
        </w:rPr>
        <w:t>tries</w:t>
      </w:r>
      <w:r w:rsidR="00B277C8" w:rsidRPr="00B757C3">
        <w:rPr>
          <w:lang w:val="en-GB"/>
        </w:rPr>
        <w:t xml:space="preserve"> to manage deep infection with 1</w:t>
      </w:r>
      <w:r>
        <w:rPr>
          <w:rFonts w:cs="Arial"/>
          <w:lang w:val="en-GB"/>
        </w:rPr>
        <w:t>–</w:t>
      </w:r>
      <w:r w:rsidR="00B277C8" w:rsidRPr="00B757C3">
        <w:rPr>
          <w:lang w:val="en-GB"/>
        </w:rPr>
        <w:t>3 courses of antibiotics where it would be best</w:t>
      </w:r>
      <w:r w:rsidR="00C5218F" w:rsidRPr="00B757C3">
        <w:rPr>
          <w:lang w:val="en-GB"/>
        </w:rPr>
        <w:t xml:space="preserve"> for the patient to be admitted </w:t>
      </w:r>
      <w:r>
        <w:rPr>
          <w:lang w:val="en-GB"/>
        </w:rPr>
        <w:t>to hospital</w:t>
      </w:r>
      <w:r w:rsidR="00C5218F" w:rsidRPr="005B0AAA">
        <w:rPr>
          <w:lang w:val="en-GB"/>
        </w:rPr>
        <w:t xml:space="preserve"> </w:t>
      </w:r>
      <w:r w:rsidR="00C5218F" w:rsidRPr="00B757C3">
        <w:rPr>
          <w:lang w:val="en-GB"/>
        </w:rPr>
        <w:t xml:space="preserve">for appropriate </w:t>
      </w:r>
      <w:r w:rsidR="0043248B">
        <w:rPr>
          <w:lang w:val="en-GB"/>
        </w:rPr>
        <w:t>management,</w:t>
      </w:r>
      <w:r w:rsidR="00C5218F" w:rsidRPr="00B757C3">
        <w:rPr>
          <w:lang w:val="en-GB"/>
        </w:rPr>
        <w:t xml:space="preserve"> </w:t>
      </w:r>
      <w:proofErr w:type="spellStart"/>
      <w:r w:rsidR="00CD0F0E" w:rsidRPr="005B0AAA">
        <w:rPr>
          <w:lang w:val="en-GB"/>
        </w:rPr>
        <w:t>eg</w:t>
      </w:r>
      <w:proofErr w:type="spellEnd"/>
      <w:r>
        <w:rPr>
          <w:lang w:val="en-GB"/>
        </w:rPr>
        <w:t>,</w:t>
      </w:r>
      <w:r w:rsidR="00C5218F" w:rsidRPr="00B757C3">
        <w:rPr>
          <w:lang w:val="en-GB"/>
        </w:rPr>
        <w:t xml:space="preserve"> imaging and</w:t>
      </w:r>
      <w:r w:rsidR="0043248B">
        <w:rPr>
          <w:lang w:val="en-GB"/>
        </w:rPr>
        <w:t xml:space="preserve">/or </w:t>
      </w:r>
      <w:r w:rsidR="00C5218F" w:rsidRPr="00B757C3">
        <w:rPr>
          <w:lang w:val="en-GB"/>
        </w:rPr>
        <w:t xml:space="preserve">washout. This </w:t>
      </w:r>
      <w:r>
        <w:rPr>
          <w:lang w:val="en-GB"/>
        </w:rPr>
        <w:t>may</w:t>
      </w:r>
      <w:r w:rsidR="00C5218F" w:rsidRPr="00B757C3">
        <w:rPr>
          <w:lang w:val="en-GB"/>
        </w:rPr>
        <w:t xml:space="preserve"> mean education for the GP or notes in the discharge letter requesting early referral back if infection occur</w:t>
      </w:r>
      <w:r w:rsidR="0043248B">
        <w:rPr>
          <w:lang w:val="en-GB"/>
        </w:rPr>
        <w:t>s</w:t>
      </w:r>
      <w:r w:rsidR="00FC7012" w:rsidRPr="00B757C3">
        <w:rPr>
          <w:lang w:val="en-GB"/>
        </w:rPr>
        <w:t>.</w:t>
      </w:r>
    </w:p>
    <w:p w14:paraId="7609FD5A" w14:textId="0ADE42F7" w:rsidR="00126085" w:rsidRDefault="00491BF9" w:rsidP="008F51BF">
      <w:pPr>
        <w:pStyle w:val="Heading3"/>
      </w:pPr>
      <w:r w:rsidRPr="00FA1ECD">
        <w:t>Page 6</w:t>
      </w:r>
      <w:r w:rsidR="005526E2">
        <w:t xml:space="preserve"> of the SSI investigation tool</w:t>
      </w:r>
    </w:p>
    <w:p w14:paraId="4983D306" w14:textId="508AE870" w:rsidR="00C5218F" w:rsidRDefault="00DB65AC" w:rsidP="008F51BF">
      <w:pPr>
        <w:rPr>
          <w:lang w:val="en-GB"/>
        </w:rPr>
      </w:pPr>
      <w:r>
        <w:rPr>
          <w:lang w:val="en-GB"/>
        </w:rPr>
        <w:t>Please note any observations in the ‘</w:t>
      </w:r>
      <w:r w:rsidR="23FBA791" w:rsidRPr="60ABE7B9">
        <w:rPr>
          <w:lang w:val="en-GB"/>
        </w:rPr>
        <w:t>Key</w:t>
      </w:r>
      <w:r w:rsidR="01B423A3" w:rsidRPr="60ABE7B9">
        <w:rPr>
          <w:lang w:val="en-GB"/>
        </w:rPr>
        <w:t xml:space="preserve"> </w:t>
      </w:r>
      <w:r w:rsidRPr="005B0AAA">
        <w:rPr>
          <w:lang w:val="en-GB"/>
        </w:rPr>
        <w:t>observations</w:t>
      </w:r>
      <w:r w:rsidR="01B423A3" w:rsidRPr="60ABE7B9">
        <w:rPr>
          <w:lang w:val="en-GB"/>
        </w:rPr>
        <w:t xml:space="preserve"> and </w:t>
      </w:r>
      <w:r w:rsidRPr="005B0AAA">
        <w:rPr>
          <w:lang w:val="en-GB"/>
        </w:rPr>
        <w:t>conclusion</w:t>
      </w:r>
      <w:r>
        <w:rPr>
          <w:lang w:val="en-GB"/>
        </w:rPr>
        <w:t>’</w:t>
      </w:r>
      <w:r w:rsidR="01B423A3" w:rsidRPr="60ABE7B9">
        <w:rPr>
          <w:lang w:val="en-GB"/>
        </w:rPr>
        <w:t xml:space="preserve"> </w:t>
      </w:r>
      <w:r w:rsidR="748A68DA" w:rsidRPr="60ABE7B9">
        <w:rPr>
          <w:lang w:val="en-GB"/>
        </w:rPr>
        <w:t xml:space="preserve">section </w:t>
      </w:r>
      <w:r>
        <w:rPr>
          <w:lang w:val="en-GB"/>
        </w:rPr>
        <w:t xml:space="preserve">of the </w:t>
      </w:r>
      <w:r w:rsidR="005526E2">
        <w:rPr>
          <w:lang w:val="en-GB"/>
        </w:rPr>
        <w:t xml:space="preserve">SSI investigation tool </w:t>
      </w:r>
      <w:r w:rsidR="009532FD" w:rsidRPr="005B0AAA">
        <w:rPr>
          <w:lang w:val="en-GB"/>
        </w:rPr>
        <w:t>for quality improvement</w:t>
      </w:r>
      <w:r w:rsidR="009532FD">
        <w:rPr>
          <w:lang w:val="en-GB"/>
        </w:rPr>
        <w:t xml:space="preserve"> purposes</w:t>
      </w:r>
      <w:r w:rsidR="4ABA24B8" w:rsidRPr="005B0AAA">
        <w:rPr>
          <w:lang w:val="en-GB"/>
        </w:rPr>
        <w:t>.</w:t>
      </w:r>
      <w:r w:rsidR="4ABA24B8" w:rsidRPr="60ABE7B9">
        <w:rPr>
          <w:lang w:val="en-GB"/>
        </w:rPr>
        <w:t xml:space="preserve"> If there is high </w:t>
      </w:r>
      <w:r w:rsidR="748A68DA" w:rsidRPr="60ABE7B9">
        <w:rPr>
          <w:lang w:val="en-GB"/>
        </w:rPr>
        <w:t>compliance</w:t>
      </w:r>
      <w:r w:rsidR="00325C2E">
        <w:rPr>
          <w:lang w:val="en-GB"/>
        </w:rPr>
        <w:t xml:space="preserve"> with </w:t>
      </w:r>
      <w:r w:rsidR="00FB0DE0">
        <w:rPr>
          <w:lang w:val="en-GB"/>
        </w:rPr>
        <w:t>preventative measures</w:t>
      </w:r>
      <w:r w:rsidR="748A68DA" w:rsidRPr="60ABE7B9">
        <w:rPr>
          <w:lang w:val="en-GB"/>
        </w:rPr>
        <w:t>,</w:t>
      </w:r>
      <w:r w:rsidR="4ABA24B8" w:rsidRPr="60ABE7B9">
        <w:rPr>
          <w:lang w:val="en-GB"/>
        </w:rPr>
        <w:t xml:space="preserve"> there may be </w:t>
      </w:r>
      <w:r>
        <w:rPr>
          <w:lang w:val="en-GB"/>
        </w:rPr>
        <w:t>no</w:t>
      </w:r>
      <w:r w:rsidR="4ABA24B8" w:rsidRPr="005B0AAA">
        <w:rPr>
          <w:lang w:val="en-GB"/>
        </w:rPr>
        <w:t>t</w:t>
      </w:r>
      <w:r w:rsidR="59DBD721" w:rsidRPr="005B0AAA">
        <w:rPr>
          <w:lang w:val="en-GB"/>
        </w:rPr>
        <w:t>h</w:t>
      </w:r>
      <w:r w:rsidR="4ABA24B8" w:rsidRPr="005B0AAA">
        <w:rPr>
          <w:lang w:val="en-GB"/>
        </w:rPr>
        <w:t>ing</w:t>
      </w:r>
      <w:r w:rsidR="4ABA24B8" w:rsidRPr="60ABE7B9">
        <w:rPr>
          <w:lang w:val="en-GB"/>
        </w:rPr>
        <w:t xml:space="preserve"> to note</w:t>
      </w:r>
      <w:r w:rsidR="59DBD721" w:rsidRPr="005B0AAA">
        <w:rPr>
          <w:lang w:val="en-GB"/>
        </w:rPr>
        <w:t>.</w:t>
      </w:r>
      <w:r w:rsidR="3F23694A" w:rsidRPr="60ABE7B9">
        <w:rPr>
          <w:lang w:val="en-GB"/>
        </w:rPr>
        <w:t xml:space="preserve"> </w:t>
      </w:r>
      <w:r w:rsidR="59DBD721" w:rsidRPr="60ABE7B9">
        <w:rPr>
          <w:lang w:val="en-GB"/>
        </w:rPr>
        <w:t xml:space="preserve">However, </w:t>
      </w:r>
      <w:r w:rsidR="009532FD">
        <w:rPr>
          <w:lang w:val="en-GB"/>
        </w:rPr>
        <w:t>if you identify</w:t>
      </w:r>
      <w:r w:rsidR="59DBD721" w:rsidRPr="60ABE7B9">
        <w:rPr>
          <w:lang w:val="en-GB"/>
        </w:rPr>
        <w:t xml:space="preserve"> gaps in </w:t>
      </w:r>
      <w:r w:rsidR="009532FD">
        <w:rPr>
          <w:lang w:val="en-GB"/>
        </w:rPr>
        <w:t>a</w:t>
      </w:r>
      <w:r w:rsidR="59DBD721" w:rsidRPr="60ABE7B9">
        <w:rPr>
          <w:lang w:val="en-GB"/>
        </w:rPr>
        <w:t xml:space="preserve"> patient’s pathway, especially if observed for several patients, </w:t>
      </w:r>
      <w:r w:rsidR="009532FD">
        <w:rPr>
          <w:lang w:val="en-GB"/>
        </w:rPr>
        <w:t xml:space="preserve">this </w:t>
      </w:r>
      <w:r w:rsidR="59DBD721" w:rsidRPr="60ABE7B9">
        <w:rPr>
          <w:lang w:val="en-GB"/>
        </w:rPr>
        <w:t xml:space="preserve">should </w:t>
      </w:r>
      <w:r w:rsidR="009532FD">
        <w:rPr>
          <w:lang w:val="en-GB"/>
        </w:rPr>
        <w:t>trigger</w:t>
      </w:r>
      <w:r w:rsidR="59DBD721" w:rsidRPr="60ABE7B9">
        <w:rPr>
          <w:lang w:val="en-GB"/>
        </w:rPr>
        <w:t xml:space="preserve"> communication with the </w:t>
      </w:r>
      <w:r w:rsidR="3F23694A" w:rsidRPr="60ABE7B9">
        <w:rPr>
          <w:lang w:val="en-GB"/>
        </w:rPr>
        <w:t>appropriate</w:t>
      </w:r>
      <w:r w:rsidR="59DBD721" w:rsidRPr="60ABE7B9">
        <w:rPr>
          <w:lang w:val="en-GB"/>
        </w:rPr>
        <w:t xml:space="preserve"> team member(s) to prevent </w:t>
      </w:r>
      <w:r w:rsidR="009532FD">
        <w:rPr>
          <w:lang w:val="en-GB"/>
        </w:rPr>
        <w:t>these gaps from</w:t>
      </w:r>
      <w:r w:rsidR="59DBD721" w:rsidRPr="005B0AAA">
        <w:rPr>
          <w:lang w:val="en-GB"/>
        </w:rPr>
        <w:t xml:space="preserve"> recurr</w:t>
      </w:r>
      <w:r w:rsidR="009532FD">
        <w:rPr>
          <w:lang w:val="en-GB"/>
        </w:rPr>
        <w:t>ing</w:t>
      </w:r>
      <w:r w:rsidR="59DBD721" w:rsidRPr="005B0AAA">
        <w:rPr>
          <w:lang w:val="en-GB"/>
        </w:rPr>
        <w:t>.</w:t>
      </w:r>
      <w:r w:rsidR="327B6EFA" w:rsidRPr="005B0AAA">
        <w:rPr>
          <w:lang w:val="en-GB"/>
        </w:rPr>
        <w:t xml:space="preserve"> </w:t>
      </w:r>
    </w:p>
    <w:p w14:paraId="6643E201" w14:textId="7754BFC3" w:rsidR="00333771" w:rsidRDefault="00333771" w:rsidP="008F51BF">
      <w:pPr>
        <w:rPr>
          <w:lang w:val="en-GB"/>
        </w:rPr>
      </w:pPr>
    </w:p>
    <w:p w14:paraId="094D8FE8" w14:textId="77777777" w:rsidR="008F51BF" w:rsidRDefault="008F51BF" w:rsidP="008F51BF">
      <w:pPr>
        <w:rPr>
          <w:lang w:val="en-GB"/>
        </w:rPr>
      </w:pPr>
    </w:p>
    <w:p w14:paraId="67DF416D" w14:textId="5E2BDF34" w:rsidR="00333771" w:rsidRDefault="00333771" w:rsidP="008F51BF">
      <w:pPr>
        <w:rPr>
          <w:lang w:val="en-GB"/>
        </w:rPr>
      </w:pPr>
      <w:r>
        <w:rPr>
          <w:lang w:val="en-GB"/>
        </w:rPr>
        <w:t xml:space="preserve">Document published </w:t>
      </w:r>
      <w:r w:rsidR="007409E9">
        <w:rPr>
          <w:lang w:val="en-GB"/>
        </w:rPr>
        <w:t xml:space="preserve">in February 2022 </w:t>
      </w:r>
      <w:r>
        <w:rPr>
          <w:lang w:val="en-GB"/>
        </w:rPr>
        <w:t xml:space="preserve">by the Health Quality &amp; Safety Commission, </w:t>
      </w:r>
      <w:r w:rsidR="00A652DC">
        <w:rPr>
          <w:lang w:val="en-GB"/>
        </w:rPr>
        <w:br/>
      </w:r>
      <w:r>
        <w:rPr>
          <w:lang w:val="en-GB"/>
        </w:rPr>
        <w:t xml:space="preserve">PO Box </w:t>
      </w:r>
      <w:r w:rsidRPr="00333771">
        <w:rPr>
          <w:lang w:val="en-GB"/>
        </w:rPr>
        <w:t>25496</w:t>
      </w:r>
      <w:r>
        <w:rPr>
          <w:lang w:val="en-GB"/>
        </w:rPr>
        <w:t>,</w:t>
      </w:r>
      <w:r w:rsidRPr="00333771">
        <w:rPr>
          <w:lang w:val="en-GB"/>
        </w:rPr>
        <w:t xml:space="preserve"> Wellington 6146</w:t>
      </w:r>
      <w:r>
        <w:rPr>
          <w:lang w:val="en-GB"/>
        </w:rPr>
        <w:t xml:space="preserve">. Tel 04 901 6040. Email </w:t>
      </w:r>
      <w:hyperlink r:id="rId15" w:history="1">
        <w:r w:rsidRPr="002B43C4">
          <w:rPr>
            <w:rStyle w:val="Hyperlink"/>
            <w:lang w:val="en-GB"/>
          </w:rPr>
          <w:t>info@hqsc.govt.nz</w:t>
        </w:r>
      </w:hyperlink>
      <w:r>
        <w:rPr>
          <w:lang w:val="en-GB"/>
        </w:rPr>
        <w:t xml:space="preserve">. </w:t>
      </w:r>
      <w:r w:rsidR="00A652DC">
        <w:rPr>
          <w:lang w:val="en-GB"/>
        </w:rPr>
        <w:br/>
      </w:r>
      <w:r>
        <w:rPr>
          <w:lang w:val="en-GB"/>
        </w:rPr>
        <w:t xml:space="preserve">Available online at </w:t>
      </w:r>
      <w:hyperlink r:id="rId16" w:history="1">
        <w:r w:rsidRPr="002B43C4">
          <w:rPr>
            <w:rStyle w:val="Hyperlink"/>
            <w:lang w:val="en-GB"/>
          </w:rPr>
          <w:t>www.hqsc.govt.nz</w:t>
        </w:r>
      </w:hyperlink>
      <w:r>
        <w:rPr>
          <w:lang w:val="en-GB"/>
        </w:rPr>
        <w:t xml:space="preserve">. </w:t>
      </w:r>
    </w:p>
    <w:p w14:paraId="24DDC023" w14:textId="6A20CEA9" w:rsidR="00333771" w:rsidRDefault="00333771" w:rsidP="008F51BF">
      <w:pPr>
        <w:rPr>
          <w:lang w:val="en-GB"/>
        </w:rPr>
      </w:pPr>
    </w:p>
    <w:p w14:paraId="69636077" w14:textId="1EF394F8" w:rsidR="00C5218F" w:rsidRPr="00B757C3" w:rsidRDefault="00333771" w:rsidP="00FA1ECD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A172FEC" wp14:editId="00B3544C">
            <wp:extent cx="2160000" cy="671979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67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218F" w:rsidRPr="00B757C3" w:rsidSect="00FA1ECD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097" w14:textId="77777777" w:rsidR="00213720" w:rsidRDefault="00213720" w:rsidP="0074056D">
      <w:pPr>
        <w:spacing w:after="0" w:line="240" w:lineRule="auto"/>
      </w:pPr>
      <w:r>
        <w:separator/>
      </w:r>
    </w:p>
  </w:endnote>
  <w:endnote w:type="continuationSeparator" w:id="0">
    <w:p w14:paraId="1F65D22F" w14:textId="77777777" w:rsidR="00213720" w:rsidRDefault="00213720" w:rsidP="0074056D">
      <w:pPr>
        <w:spacing w:after="0" w:line="240" w:lineRule="auto"/>
      </w:pPr>
      <w:r>
        <w:continuationSeparator/>
      </w:r>
    </w:p>
  </w:endnote>
  <w:endnote w:type="continuationNotice" w:id="1">
    <w:p w14:paraId="641B7140" w14:textId="77777777" w:rsidR="00213720" w:rsidRDefault="002137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814408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79A1D" w14:textId="77777777" w:rsidR="0074056D" w:rsidRPr="00FA1ECD" w:rsidRDefault="00860606">
        <w:pPr>
          <w:pStyle w:val="Footer"/>
          <w:rPr>
            <w:sz w:val="20"/>
          </w:rPr>
        </w:pPr>
        <w:r w:rsidRPr="00860606">
          <w:rPr>
            <w:sz w:val="20"/>
            <w:szCs w:val="20"/>
          </w:rPr>
          <w:t xml:space="preserve">Using the Health Quality &amp; Safety Commission surgical site infection investigation tool – </w:t>
        </w:r>
        <w:r w:rsidR="00EB06D3">
          <w:rPr>
            <w:sz w:val="20"/>
            <w:szCs w:val="20"/>
          </w:rPr>
          <w:br/>
        </w:r>
        <w:r w:rsidRPr="00860606">
          <w:rPr>
            <w:sz w:val="20"/>
            <w:szCs w:val="20"/>
          </w:rPr>
          <w:t xml:space="preserve">a summary of practice points from Dr Arthur Morris, clinical lead, Health Quality &amp; Safety </w:t>
        </w:r>
        <w:r w:rsidR="00EB06D3">
          <w:rPr>
            <w:sz w:val="20"/>
            <w:szCs w:val="20"/>
          </w:rPr>
          <w:br/>
        </w:r>
        <w:r w:rsidRPr="00860606">
          <w:rPr>
            <w:sz w:val="20"/>
            <w:szCs w:val="20"/>
          </w:rPr>
          <w:t>Commission</w:t>
        </w:r>
        <w:r w:rsidR="00601632" w:rsidRPr="00860606">
          <w:rPr>
            <w:sz w:val="20"/>
            <w:szCs w:val="20"/>
          </w:rPr>
          <w:t xml:space="preserve"> </w:t>
        </w:r>
        <w:r w:rsidR="00EB06D3">
          <w:rPr>
            <w:sz w:val="20"/>
            <w:szCs w:val="20"/>
          </w:rPr>
          <w:t>(February 2022)</w:t>
        </w:r>
        <w:r w:rsidRPr="00860606">
          <w:rPr>
            <w:sz w:val="20"/>
            <w:szCs w:val="20"/>
          </w:rPr>
          <w:tab/>
        </w:r>
        <w:r w:rsidR="00EB06D3">
          <w:rPr>
            <w:sz w:val="20"/>
            <w:szCs w:val="20"/>
          </w:rPr>
          <w:tab/>
        </w:r>
        <w:r w:rsidR="00601632" w:rsidRPr="00860606">
          <w:rPr>
            <w:sz w:val="20"/>
            <w:szCs w:val="20"/>
          </w:rPr>
          <w:fldChar w:fldCharType="begin"/>
        </w:r>
        <w:r w:rsidR="00601632" w:rsidRPr="00860606">
          <w:rPr>
            <w:sz w:val="20"/>
            <w:szCs w:val="20"/>
          </w:rPr>
          <w:instrText xml:space="preserve"> PAGE   \* MERGEFORMAT </w:instrText>
        </w:r>
        <w:r w:rsidR="00601632" w:rsidRPr="00860606">
          <w:rPr>
            <w:sz w:val="20"/>
            <w:szCs w:val="20"/>
          </w:rPr>
          <w:fldChar w:fldCharType="separate"/>
        </w:r>
        <w:r w:rsidR="00601632" w:rsidRPr="00860606">
          <w:rPr>
            <w:noProof/>
            <w:sz w:val="20"/>
            <w:szCs w:val="20"/>
          </w:rPr>
          <w:t>2</w:t>
        </w:r>
        <w:r w:rsidR="00601632" w:rsidRPr="0086060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4CFA" w14:textId="77777777" w:rsidR="00213720" w:rsidRDefault="00213720" w:rsidP="0074056D">
      <w:pPr>
        <w:spacing w:after="0" w:line="240" w:lineRule="auto"/>
      </w:pPr>
      <w:r>
        <w:separator/>
      </w:r>
    </w:p>
  </w:footnote>
  <w:footnote w:type="continuationSeparator" w:id="0">
    <w:p w14:paraId="7694C0D2" w14:textId="77777777" w:rsidR="00213720" w:rsidRDefault="00213720" w:rsidP="0074056D">
      <w:pPr>
        <w:spacing w:after="0" w:line="240" w:lineRule="auto"/>
      </w:pPr>
      <w:r>
        <w:continuationSeparator/>
      </w:r>
    </w:p>
  </w:footnote>
  <w:footnote w:type="continuationNotice" w:id="1">
    <w:p w14:paraId="40546EF0" w14:textId="77777777" w:rsidR="00213720" w:rsidRDefault="002137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CD29" w14:textId="77777777" w:rsidR="0074056D" w:rsidRDefault="00740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424BE"/>
    <w:multiLevelType w:val="hybridMultilevel"/>
    <w:tmpl w:val="AA868A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CA0A1F"/>
    <w:multiLevelType w:val="hybridMultilevel"/>
    <w:tmpl w:val="141A7A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D8"/>
    <w:rsid w:val="00030489"/>
    <w:rsid w:val="000326A6"/>
    <w:rsid w:val="0004485D"/>
    <w:rsid w:val="00061BF1"/>
    <w:rsid w:val="000643A4"/>
    <w:rsid w:val="00072ED9"/>
    <w:rsid w:val="00083778"/>
    <w:rsid w:val="000B2372"/>
    <w:rsid w:val="000B6798"/>
    <w:rsid w:val="000F5C53"/>
    <w:rsid w:val="001040E1"/>
    <w:rsid w:val="00126085"/>
    <w:rsid w:val="0014115C"/>
    <w:rsid w:val="00197003"/>
    <w:rsid w:val="001A0344"/>
    <w:rsid w:val="001A330B"/>
    <w:rsid w:val="001C1ACA"/>
    <w:rsid w:val="001C6B21"/>
    <w:rsid w:val="001F4E5D"/>
    <w:rsid w:val="00204519"/>
    <w:rsid w:val="00213720"/>
    <w:rsid w:val="0023303F"/>
    <w:rsid w:val="00240E6B"/>
    <w:rsid w:val="00253821"/>
    <w:rsid w:val="00273463"/>
    <w:rsid w:val="002F4E9A"/>
    <w:rsid w:val="002F78DD"/>
    <w:rsid w:val="00325C2E"/>
    <w:rsid w:val="00327181"/>
    <w:rsid w:val="00333771"/>
    <w:rsid w:val="00351E1C"/>
    <w:rsid w:val="00354150"/>
    <w:rsid w:val="00392E0F"/>
    <w:rsid w:val="003D6F55"/>
    <w:rsid w:val="00411FEB"/>
    <w:rsid w:val="004133D8"/>
    <w:rsid w:val="00413F7B"/>
    <w:rsid w:val="0043248B"/>
    <w:rsid w:val="004873B7"/>
    <w:rsid w:val="00491BF9"/>
    <w:rsid w:val="004E5F02"/>
    <w:rsid w:val="004F0737"/>
    <w:rsid w:val="004F7B76"/>
    <w:rsid w:val="00524B76"/>
    <w:rsid w:val="00531EF7"/>
    <w:rsid w:val="005526E2"/>
    <w:rsid w:val="00571D3F"/>
    <w:rsid w:val="00573C3D"/>
    <w:rsid w:val="00580437"/>
    <w:rsid w:val="005A4101"/>
    <w:rsid w:val="005B0716"/>
    <w:rsid w:val="005B0AAA"/>
    <w:rsid w:val="005C597A"/>
    <w:rsid w:val="005E2760"/>
    <w:rsid w:val="00601632"/>
    <w:rsid w:val="00603F41"/>
    <w:rsid w:val="00604659"/>
    <w:rsid w:val="00640E89"/>
    <w:rsid w:val="00652520"/>
    <w:rsid w:val="006823F3"/>
    <w:rsid w:val="006865F2"/>
    <w:rsid w:val="00692150"/>
    <w:rsid w:val="006B230B"/>
    <w:rsid w:val="006D40FA"/>
    <w:rsid w:val="00711A8E"/>
    <w:rsid w:val="007126FE"/>
    <w:rsid w:val="0074056D"/>
    <w:rsid w:val="007409E9"/>
    <w:rsid w:val="00770231"/>
    <w:rsid w:val="007740BA"/>
    <w:rsid w:val="007874B2"/>
    <w:rsid w:val="00787FD8"/>
    <w:rsid w:val="007C346D"/>
    <w:rsid w:val="007D7853"/>
    <w:rsid w:val="007F65AD"/>
    <w:rsid w:val="0082049E"/>
    <w:rsid w:val="00830286"/>
    <w:rsid w:val="00860606"/>
    <w:rsid w:val="00876B51"/>
    <w:rsid w:val="008F1DEC"/>
    <w:rsid w:val="008F51BF"/>
    <w:rsid w:val="00934F78"/>
    <w:rsid w:val="009436A7"/>
    <w:rsid w:val="009532FD"/>
    <w:rsid w:val="00980B5A"/>
    <w:rsid w:val="00993C41"/>
    <w:rsid w:val="009D0BB4"/>
    <w:rsid w:val="009E216C"/>
    <w:rsid w:val="00A11222"/>
    <w:rsid w:val="00A34391"/>
    <w:rsid w:val="00A46275"/>
    <w:rsid w:val="00A62D55"/>
    <w:rsid w:val="00A64C14"/>
    <w:rsid w:val="00A652DC"/>
    <w:rsid w:val="00AB72E7"/>
    <w:rsid w:val="00B1589F"/>
    <w:rsid w:val="00B277C8"/>
    <w:rsid w:val="00B362E3"/>
    <w:rsid w:val="00B757C3"/>
    <w:rsid w:val="00B87192"/>
    <w:rsid w:val="00BA098F"/>
    <w:rsid w:val="00BA28FF"/>
    <w:rsid w:val="00BD1371"/>
    <w:rsid w:val="00C0275B"/>
    <w:rsid w:val="00C5218F"/>
    <w:rsid w:val="00C626EB"/>
    <w:rsid w:val="00C66311"/>
    <w:rsid w:val="00C7200B"/>
    <w:rsid w:val="00C81E1D"/>
    <w:rsid w:val="00CD0F0E"/>
    <w:rsid w:val="00CE45A5"/>
    <w:rsid w:val="00D002A3"/>
    <w:rsid w:val="00D239BC"/>
    <w:rsid w:val="00D57C87"/>
    <w:rsid w:val="00D74FC8"/>
    <w:rsid w:val="00DA5F3F"/>
    <w:rsid w:val="00DB65AC"/>
    <w:rsid w:val="00DC6A46"/>
    <w:rsid w:val="00DE75DE"/>
    <w:rsid w:val="00E72A15"/>
    <w:rsid w:val="00E8226B"/>
    <w:rsid w:val="00E958CC"/>
    <w:rsid w:val="00E97833"/>
    <w:rsid w:val="00EA7A76"/>
    <w:rsid w:val="00EB06D3"/>
    <w:rsid w:val="00EB3BB9"/>
    <w:rsid w:val="00EB7425"/>
    <w:rsid w:val="00F36080"/>
    <w:rsid w:val="00F6784C"/>
    <w:rsid w:val="00F86ECD"/>
    <w:rsid w:val="00FA1ECD"/>
    <w:rsid w:val="00FB0DE0"/>
    <w:rsid w:val="00FC7012"/>
    <w:rsid w:val="01B423A3"/>
    <w:rsid w:val="0A6FF528"/>
    <w:rsid w:val="0F6BE782"/>
    <w:rsid w:val="23FBA791"/>
    <w:rsid w:val="3227D21A"/>
    <w:rsid w:val="327B6EFA"/>
    <w:rsid w:val="348EF989"/>
    <w:rsid w:val="3798D36F"/>
    <w:rsid w:val="3B4C1608"/>
    <w:rsid w:val="3BBDD259"/>
    <w:rsid w:val="3F23694A"/>
    <w:rsid w:val="4ABA24B8"/>
    <w:rsid w:val="4B3CD92E"/>
    <w:rsid w:val="53801B95"/>
    <w:rsid w:val="59DBD721"/>
    <w:rsid w:val="5F101758"/>
    <w:rsid w:val="60ABE7B9"/>
    <w:rsid w:val="63A50D5C"/>
    <w:rsid w:val="63F7C0BA"/>
    <w:rsid w:val="6E3EA24F"/>
    <w:rsid w:val="748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4EAA"/>
  <w15:docId w15:val="{1A487CB6-A2C0-4A95-85AA-BE7D2C17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8E"/>
    <w:pPr>
      <w:spacing w:after="120" w:line="276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A8E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3A4"/>
    <w:pPr>
      <w:outlineLvl w:val="2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3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2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3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451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4056D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056D"/>
    <w:rPr>
      <w:rFonts w:ascii="Arial" w:hAnsi="Arial"/>
      <w:b/>
      <w:bCs/>
      <w:i/>
      <w:iCs/>
      <w:lang w:val="en-GB"/>
    </w:rPr>
  </w:style>
  <w:style w:type="paragraph" w:styleId="ListParagraph">
    <w:name w:val="List Paragraph"/>
    <w:basedOn w:val="Normal"/>
    <w:uiPriority w:val="34"/>
    <w:qFormat/>
    <w:rsid w:val="00064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56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01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6D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740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qsc.govt.nz/resources/resource-library/surgical-site-infection-ssi-investigation-too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hqsc.govt.n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hqsc.govt.n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qsc.govt.nz/resources/resource-library/surgical-site-infection-ssi-investigation-tool/" TargetMode="Externa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DDD4395A-1AE7-46E8-93D8-23453F0415EA}">
    <t:Anchor>
      <t:Comment id="415674914"/>
    </t:Anchor>
    <t:History>
      <t:Event id="{15FC0835-77CE-4B48-B0D0-C15F1F895E53}" time="2022-01-21T03:48:01.215Z">
        <t:Attribution userId="S::jeanette.bell@hqsc.govt.nz::21be0b2e-e803-48ab-9389-e76132fdb95a" userProvider="AD" userName="Jeanette Bell"/>
        <t:Anchor>
          <t:Comment id="415674914"/>
        </t:Anchor>
        <t:Create/>
      </t:Event>
      <t:Event id="{DAD54D5D-3F36-4D34-B949-F3BC0CD158AA}" time="2022-01-21T03:48:01.215Z">
        <t:Attribution userId="S::jeanette.bell@hqsc.govt.nz::21be0b2e-e803-48ab-9389-e76132fdb95a" userProvider="AD" userName="Jeanette Bell"/>
        <t:Anchor>
          <t:Comment id="415674914"/>
        </t:Anchor>
        <t:Assign userId="S::Amanda.Wood@hqsc.govt.nz::23199cf0-06a6-48b8-89e6-b7afb46d398a" userProvider="AD" userName="Amanda Wood"/>
      </t:Event>
      <t:Event id="{16D8EDA8-4A3A-4DAA-893C-989F61222401}" time="2022-01-21T03:48:01.215Z">
        <t:Attribution userId="S::jeanette.bell@hqsc.govt.nz::21be0b2e-e803-48ab-9389-e76132fdb95a" userProvider="AD" userName="Jeanette Bell"/>
        <t:Anchor>
          <t:Comment id="415674914"/>
        </t:Anchor>
        <t:SetTitle title="@Amanda Wood just added a wor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A3852939ED594242A350AB013B608251" ma:contentTypeVersion="34" ma:contentTypeDescription="Use this content type to classify and store documents on HQSC DMS website" ma:contentTypeScope="" ma:versionID="02bf503ce10120b8422d8350df2a018e">
  <xsd:schema xmlns:xsd="http://www.w3.org/2001/XMLSchema" xmlns:xs="http://www.w3.org/2001/XMLSchema" xmlns:p="http://schemas.microsoft.com/office/2006/metadata/properties" xmlns:ns3="abea7b80-e4df-402e-82f2-ca01c919370f" xmlns:ns4="bef9904b-9bca-4a1b-aca3-78dad2044d15" targetNamespace="http://schemas.microsoft.com/office/2006/metadata/properties" ma:root="true" ma:fieldsID="4ef1bebd0920e9688bedc0e0c6ba7e69" ns3:_="" ns4:_="">
    <xsd:import namespace="abea7b80-e4df-402e-82f2-ca01c919370f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7b80-e4df-402e-82f2-ca01c919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" ma:index="22" nillable="true" ma:displayName="Comment" ma:format="Dropdown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f9904b-9bca-4a1b-aca3-78dad2044d15">
      <UserInfo>
        <DisplayName>Marie Talbot</DisplayName>
        <AccountId>736</AccountId>
        <AccountType/>
      </UserInfo>
      <UserInfo>
        <DisplayName>Amanda Wood</DisplayName>
        <AccountId>2927</AccountId>
        <AccountType/>
      </UserInfo>
      <UserInfo>
        <DisplayName>Jocasta Whittingham</DisplayName>
        <AccountId>38</AccountId>
        <AccountType/>
      </UserInfo>
      <UserInfo>
        <DisplayName>Website Requests</DisplayName>
        <AccountId>376</AccountId>
        <AccountType/>
      </UserInfo>
    </SharedWithUsers>
    <Comment xmlns="abea7b80-e4df-402e-82f2-ca01c919370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EA7E-1FFF-484D-8237-764BEC9BE5E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FD94822-9718-4FA6-816C-27CADF39C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a7b80-e4df-402e-82f2-ca01c919370f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E7F05-E527-429F-A042-8C10B24CC365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abea7b80-e4df-402e-82f2-ca01c919370f"/>
  </ds:schemaRefs>
</ds:datastoreItem>
</file>

<file path=customXml/itemProps4.xml><?xml version="1.0" encoding="utf-8"?>
<ds:datastoreItem xmlns:ds="http://schemas.openxmlformats.org/officeDocument/2006/customXml" ds:itemID="{6816EC23-7395-4E00-A554-0C06D298CF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618DED-FE72-401A-BB35-152BB0A9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5715</Characters>
  <Application>Microsoft Office Word</Application>
  <DocSecurity>0</DocSecurity>
  <Lines>47</Lines>
  <Paragraphs>13</Paragraphs>
  <ScaleCrop>false</ScaleCrop>
  <Company>healthAlliance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Talbot</dc:creator>
  <cp:keywords/>
  <cp:lastModifiedBy>Toni Duder</cp:lastModifiedBy>
  <cp:revision>4</cp:revision>
  <dcterms:created xsi:type="dcterms:W3CDTF">2022-02-22T01:14:00Z</dcterms:created>
  <dcterms:modified xsi:type="dcterms:W3CDTF">2022-02-22T22:34:00Z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0x010100464BB556B3337A48846236E9064FB9CC0100A3852939ED594242A350AB013B608251</vt:lpwstr>
  </property>
</Properties>
</file>