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E5DF0" w14:textId="77777777" w:rsidR="001E1108" w:rsidRDefault="00052545">
      <w:pPr>
        <w:tabs>
          <w:tab w:val="left" w:pos="3877"/>
        </w:tabs>
        <w:ind w:left="37"/>
        <w:rPr>
          <w:rFonts w:ascii="Times New Roman"/>
          <w:sz w:val="20"/>
        </w:rPr>
      </w:pPr>
      <w:r>
        <w:rPr>
          <w:rFonts w:ascii="Times New Roman"/>
          <w:noProof/>
          <w:position w:val="11"/>
          <w:sz w:val="20"/>
        </w:rPr>
        <w:drawing>
          <wp:inline distT="0" distB="0" distL="0" distR="0" wp14:anchorId="021E5E02" wp14:editId="6407BFE3">
            <wp:extent cx="1815151" cy="553212"/>
            <wp:effectExtent l="0" t="0" r="0" b="0"/>
            <wp:docPr id="1" name="Image 1" descr="The Te Tāhū Hauora logo is made up of the words Te Tāhū Hauora with the words Health Quality &amp; Safety Commission in smaller text underneath. Alongside is a stylised version of a wharenui in a triangle shape, with the tāhū (ridgepole), heke (rafters) and niho taniwha (triangle pattern) beneath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The Te Tāhū Hauora logo is made up of the words Te Tāhū Hauora with the words Health Quality &amp; Safety Commission in smaller text underneath. Alongside is a stylised version of a wharenui in a triangle shape, with the tāhū (ridgepole), heke (rafters) and niho taniwha (triangle pattern) beneath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5151" cy="55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021E5E04" wp14:editId="739F5325">
            <wp:extent cx="1268264" cy="475488"/>
            <wp:effectExtent l="0" t="0" r="0" b="0"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264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E5DF1" w14:textId="77777777" w:rsidR="001E1108" w:rsidRDefault="001E1108">
      <w:pPr>
        <w:pStyle w:val="BodyText"/>
        <w:spacing w:before="74"/>
        <w:ind w:left="0" w:firstLine="0"/>
        <w:rPr>
          <w:rFonts w:ascii="Times New Roman"/>
          <w:sz w:val="28"/>
        </w:rPr>
      </w:pPr>
    </w:p>
    <w:p w14:paraId="021E5DF2" w14:textId="77777777" w:rsidR="001E1108" w:rsidRDefault="00052545">
      <w:pPr>
        <w:pStyle w:val="Heading1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21E5E06" wp14:editId="4245AADA">
            <wp:simplePos x="0" y="0"/>
            <wp:positionH relativeFrom="page">
              <wp:posOffset>5086984</wp:posOffset>
            </wp:positionH>
            <wp:positionV relativeFrom="paragraph">
              <wp:posOffset>-649206</wp:posOffset>
            </wp:positionV>
            <wp:extent cx="1750314" cy="284479"/>
            <wp:effectExtent l="0" t="0" r="0" b="0"/>
            <wp:wrapNone/>
            <wp:docPr id="3" name="Imag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0314" cy="284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93868"/>
        </w:rPr>
        <w:t>Key</w:t>
      </w:r>
      <w:r>
        <w:rPr>
          <w:color w:val="293868"/>
          <w:spacing w:val="-20"/>
        </w:rPr>
        <w:t xml:space="preserve"> </w:t>
      </w:r>
      <w:r>
        <w:rPr>
          <w:color w:val="293868"/>
        </w:rPr>
        <w:t>messages</w:t>
      </w:r>
      <w:r>
        <w:rPr>
          <w:color w:val="293868"/>
          <w:spacing w:val="-10"/>
        </w:rPr>
        <w:t xml:space="preserve"> </w:t>
      </w:r>
      <w:r>
        <w:rPr>
          <w:color w:val="293868"/>
        </w:rPr>
        <w:t>for</w:t>
      </w:r>
      <w:r>
        <w:rPr>
          <w:color w:val="293868"/>
          <w:spacing w:val="-12"/>
        </w:rPr>
        <w:t xml:space="preserve"> </w:t>
      </w:r>
      <w:r>
        <w:rPr>
          <w:color w:val="293868"/>
        </w:rPr>
        <w:t>the</w:t>
      </w:r>
      <w:r>
        <w:rPr>
          <w:color w:val="293868"/>
          <w:spacing w:val="-11"/>
        </w:rPr>
        <w:t xml:space="preserve"> </w:t>
      </w:r>
      <w:r>
        <w:rPr>
          <w:color w:val="293868"/>
        </w:rPr>
        <w:t>health</w:t>
      </w:r>
      <w:r>
        <w:rPr>
          <w:color w:val="293868"/>
          <w:spacing w:val="-15"/>
        </w:rPr>
        <w:t xml:space="preserve"> </w:t>
      </w:r>
      <w:r>
        <w:rPr>
          <w:color w:val="293868"/>
          <w:spacing w:val="-2"/>
        </w:rPr>
        <w:t>sector</w:t>
      </w:r>
    </w:p>
    <w:p w14:paraId="021E5DF3" w14:textId="77777777" w:rsidR="001E1108" w:rsidRDefault="00052545">
      <w:pPr>
        <w:pStyle w:val="ListParagraph"/>
        <w:numPr>
          <w:ilvl w:val="0"/>
          <w:numId w:val="1"/>
        </w:numPr>
        <w:tabs>
          <w:tab w:val="left" w:pos="663"/>
        </w:tabs>
        <w:spacing w:before="119" w:line="271" w:lineRule="auto"/>
        <w:ind w:right="462"/>
      </w:pPr>
      <w:r>
        <w:rPr>
          <w:b/>
        </w:rPr>
        <w:t xml:space="preserve">Focus on seclusion reporting: </w:t>
      </w:r>
      <w:r>
        <w:t>Adding seclusion events to the Always Report and Review (ARR) list effective 1 July 2025 will support the ongoing progress made by Health New</w:t>
      </w:r>
      <w:r>
        <w:rPr>
          <w:spacing w:val="-6"/>
        </w:rPr>
        <w:t xml:space="preserve"> </w:t>
      </w:r>
      <w:r>
        <w:t>Zealand</w:t>
      </w:r>
      <w:r>
        <w:rPr>
          <w:spacing w:val="-8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teams</w:t>
      </w:r>
      <w:r>
        <w:rPr>
          <w:spacing w:val="-5"/>
        </w:rPr>
        <w:t xml:space="preserve"> </w:t>
      </w:r>
      <w:r>
        <w:t>working</w:t>
      </w:r>
      <w:r>
        <w:rPr>
          <w:spacing w:val="-8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i/>
        </w:rPr>
        <w:t>Zero</w:t>
      </w:r>
      <w:r>
        <w:rPr>
          <w:i/>
          <w:spacing w:val="-4"/>
        </w:rPr>
        <w:t xml:space="preserve"> </w:t>
      </w:r>
      <w:r>
        <w:rPr>
          <w:i/>
        </w:rPr>
        <w:t>seclusion:</w:t>
      </w:r>
      <w:r>
        <w:rPr>
          <w:i/>
          <w:spacing w:val="-3"/>
        </w:rPr>
        <w:t xml:space="preserve"> </w:t>
      </w:r>
      <w:r>
        <w:rPr>
          <w:i/>
        </w:rPr>
        <w:t>Safety</w:t>
      </w:r>
      <w:r>
        <w:rPr>
          <w:i/>
          <w:spacing w:val="-14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dignity</w:t>
      </w:r>
      <w:r>
        <w:rPr>
          <w:i/>
          <w:spacing w:val="-9"/>
        </w:rPr>
        <w:t xml:space="preserve"> </w:t>
      </w:r>
      <w:r>
        <w:rPr>
          <w:i/>
        </w:rPr>
        <w:t>for all</w:t>
      </w:r>
      <w:r>
        <w:rPr>
          <w:i/>
          <w:spacing w:val="40"/>
        </w:rPr>
        <w:t xml:space="preserve"> </w:t>
      </w:r>
      <w:r>
        <w:rPr>
          <w:i/>
        </w:rPr>
        <w:t>| Aukatia te noho punanga: Noho haumanu, tū</w:t>
      </w:r>
      <w:r>
        <w:rPr>
          <w:i/>
          <w:spacing w:val="-1"/>
        </w:rPr>
        <w:t xml:space="preserve"> </w:t>
      </w:r>
      <w:r>
        <w:rPr>
          <w:i/>
        </w:rPr>
        <w:t xml:space="preserve">rangatira mō te tokomaha </w:t>
      </w:r>
      <w:r>
        <w:t>project in reaching the goal of zero seclusion in adult mental health and addiction settings.</w:t>
      </w:r>
    </w:p>
    <w:p w14:paraId="021E5DF4" w14:textId="77777777" w:rsidR="001E1108" w:rsidRDefault="00052545">
      <w:pPr>
        <w:pStyle w:val="ListParagraph"/>
        <w:numPr>
          <w:ilvl w:val="0"/>
          <w:numId w:val="1"/>
        </w:numPr>
        <w:tabs>
          <w:tab w:val="left" w:pos="663"/>
        </w:tabs>
        <w:spacing w:before="69" w:line="276" w:lineRule="auto"/>
        <w:ind w:right="625"/>
      </w:pPr>
      <w:r>
        <w:rPr>
          <w:b/>
        </w:rPr>
        <w:t xml:space="preserve">ARR process: </w:t>
      </w:r>
      <w:r>
        <w:t>The ARR is part of the Healing, learning and improving from harm: National</w:t>
      </w:r>
      <w:r>
        <w:rPr>
          <w:spacing w:val="-12"/>
        </w:rPr>
        <w:t xml:space="preserve"> </w:t>
      </w:r>
      <w:r>
        <w:t>adverse</w:t>
      </w:r>
      <w:r>
        <w:rPr>
          <w:spacing w:val="-10"/>
        </w:rPr>
        <w:t xml:space="preserve"> </w:t>
      </w:r>
      <w:r>
        <w:t>events</w:t>
      </w:r>
      <w:r>
        <w:rPr>
          <w:spacing w:val="-11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2023.</w:t>
      </w:r>
      <w:r>
        <w:rPr>
          <w:spacing w:val="-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process</w:t>
      </w:r>
      <w:r>
        <w:rPr>
          <w:spacing w:val="-11"/>
        </w:rPr>
        <w:t xml:space="preserve"> </w:t>
      </w:r>
      <w:r>
        <w:t>improves</w:t>
      </w:r>
      <w:r>
        <w:rPr>
          <w:spacing w:val="-11"/>
        </w:rPr>
        <w:t xml:space="preserve"> </w:t>
      </w:r>
      <w:r>
        <w:t>transparency</w:t>
      </w:r>
      <w:r>
        <w:rPr>
          <w:spacing w:val="-1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provide insights into how fundamental system safety processes can be improved, to support system learning</w:t>
      </w:r>
    </w:p>
    <w:p w14:paraId="021E5DF5" w14:textId="77777777" w:rsidR="001E1108" w:rsidRDefault="00052545">
      <w:pPr>
        <w:pStyle w:val="BodyText"/>
        <w:spacing w:line="273" w:lineRule="auto"/>
        <w:ind w:right="143" w:firstLine="0"/>
      </w:pPr>
      <w:hyperlink r:id="rId10">
        <w:r>
          <w:rPr>
            <w:u w:val="single"/>
          </w:rPr>
          <w:t>Access</w:t>
        </w:r>
        <w:r>
          <w:rPr>
            <w:spacing w:val="-13"/>
            <w:u w:val="single"/>
          </w:rPr>
          <w:t xml:space="preserve"> </w:t>
        </w:r>
        <w:r>
          <w:rPr>
            <w:u w:val="single"/>
          </w:rPr>
          <w:t>the</w:t>
        </w:r>
        <w:r>
          <w:rPr>
            <w:spacing w:val="-6"/>
            <w:u w:val="single"/>
          </w:rPr>
          <w:t xml:space="preserve"> </w:t>
        </w:r>
        <w:r>
          <w:rPr>
            <w:u w:val="single"/>
          </w:rPr>
          <w:t>Healing,</w:t>
        </w:r>
        <w:r>
          <w:rPr>
            <w:spacing w:val="-2"/>
            <w:u w:val="single"/>
          </w:rPr>
          <w:t xml:space="preserve"> </w:t>
        </w:r>
        <w:r>
          <w:rPr>
            <w:u w:val="single"/>
          </w:rPr>
          <w:t>learning</w:t>
        </w:r>
        <w:r>
          <w:rPr>
            <w:spacing w:val="-10"/>
            <w:u w:val="single"/>
          </w:rPr>
          <w:t xml:space="preserve"> </w:t>
        </w:r>
        <w:r>
          <w:rPr>
            <w:u w:val="single"/>
          </w:rPr>
          <w:t>and</w:t>
        </w:r>
        <w:r>
          <w:rPr>
            <w:spacing w:val="-2"/>
            <w:u w:val="single"/>
          </w:rPr>
          <w:t xml:space="preserve"> </w:t>
        </w:r>
        <w:r>
          <w:rPr>
            <w:u w:val="single"/>
          </w:rPr>
          <w:t>improving</w:t>
        </w:r>
        <w:r>
          <w:rPr>
            <w:spacing w:val="-2"/>
            <w:u w:val="single"/>
          </w:rPr>
          <w:t xml:space="preserve"> </w:t>
        </w:r>
        <w:r>
          <w:rPr>
            <w:u w:val="single"/>
          </w:rPr>
          <w:t>from</w:t>
        </w:r>
        <w:r>
          <w:rPr>
            <w:spacing w:val="-10"/>
            <w:u w:val="single"/>
          </w:rPr>
          <w:t xml:space="preserve"> </w:t>
        </w:r>
        <w:r>
          <w:rPr>
            <w:u w:val="single"/>
          </w:rPr>
          <w:t>harm:</w:t>
        </w:r>
        <w:r>
          <w:rPr>
            <w:spacing w:val="-7"/>
            <w:u w:val="single"/>
          </w:rPr>
          <w:t xml:space="preserve"> </w:t>
        </w:r>
        <w:r>
          <w:rPr>
            <w:u w:val="single"/>
          </w:rPr>
          <w:t>National</w:t>
        </w:r>
        <w:r>
          <w:rPr>
            <w:spacing w:val="-13"/>
            <w:u w:val="single"/>
          </w:rPr>
          <w:t xml:space="preserve"> </w:t>
        </w:r>
        <w:r>
          <w:rPr>
            <w:u w:val="single"/>
          </w:rPr>
          <w:t>adverse</w:t>
        </w:r>
        <w:r>
          <w:rPr>
            <w:spacing w:val="-6"/>
            <w:u w:val="single"/>
          </w:rPr>
          <w:t xml:space="preserve"> </w:t>
        </w:r>
        <w:r>
          <w:rPr>
            <w:u w:val="single"/>
          </w:rPr>
          <w:t>events</w:t>
        </w:r>
        <w:r>
          <w:rPr>
            <w:spacing w:val="-13"/>
            <w:u w:val="single"/>
          </w:rPr>
          <w:t xml:space="preserve"> </w:t>
        </w:r>
        <w:r>
          <w:rPr>
            <w:u w:val="single"/>
          </w:rPr>
          <w:t>policy</w:t>
        </w:r>
      </w:hyperlink>
      <w:r>
        <w:t xml:space="preserve"> </w:t>
      </w:r>
      <w:hyperlink r:id="rId11">
        <w:r>
          <w:rPr>
            <w:spacing w:val="-2"/>
            <w:u w:val="single"/>
          </w:rPr>
          <w:t>2023</w:t>
        </w:r>
      </w:hyperlink>
      <w:r>
        <w:rPr>
          <w:spacing w:val="-2"/>
        </w:rPr>
        <w:t>.</w:t>
      </w:r>
    </w:p>
    <w:p w14:paraId="021E5DF6" w14:textId="77777777" w:rsidR="001E1108" w:rsidRDefault="00052545">
      <w:pPr>
        <w:pStyle w:val="ListParagraph"/>
        <w:numPr>
          <w:ilvl w:val="0"/>
          <w:numId w:val="1"/>
        </w:numPr>
        <w:tabs>
          <w:tab w:val="left" w:pos="663"/>
        </w:tabs>
        <w:spacing w:line="276" w:lineRule="auto"/>
        <w:ind w:right="542"/>
      </w:pPr>
      <w:r>
        <w:rPr>
          <w:b/>
        </w:rPr>
        <w:t>Seclusion</w:t>
      </w:r>
      <w:r>
        <w:rPr>
          <w:b/>
          <w:spacing w:val="-7"/>
        </w:rPr>
        <w:t xml:space="preserve"> </w:t>
      </w:r>
      <w:r>
        <w:rPr>
          <w:b/>
        </w:rPr>
        <w:t>event</w:t>
      </w:r>
      <w:r>
        <w:rPr>
          <w:b/>
          <w:spacing w:val="-12"/>
        </w:rPr>
        <w:t xml:space="preserve"> </w:t>
      </w:r>
      <w:r>
        <w:rPr>
          <w:b/>
        </w:rPr>
        <w:t>evaluation</w:t>
      </w:r>
      <w:r>
        <w:rPr>
          <w:b/>
          <w:spacing w:val="-6"/>
        </w:rPr>
        <w:t xml:space="preserve"> </w:t>
      </w:r>
      <w:r>
        <w:rPr>
          <w:b/>
        </w:rPr>
        <w:t>form:</w:t>
      </w:r>
      <w:r>
        <w:rPr>
          <w:b/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seclusion</w:t>
      </w:r>
      <w:r>
        <w:rPr>
          <w:spacing w:val="-12"/>
        </w:rPr>
        <w:t xml:space="preserve"> </w:t>
      </w:r>
      <w:r>
        <w:t>event</w:t>
      </w:r>
      <w:r>
        <w:rPr>
          <w:spacing w:val="-9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form is</w:t>
      </w:r>
      <w:r>
        <w:rPr>
          <w:spacing w:val="-10"/>
        </w:rPr>
        <w:t xml:space="preserve"> </w:t>
      </w:r>
      <w:r>
        <w:t>already</w:t>
      </w:r>
      <w:r>
        <w:rPr>
          <w:spacing w:val="-14"/>
        </w:rPr>
        <w:t xml:space="preserve"> </w:t>
      </w:r>
      <w:r>
        <w:t>part of the required processes from Manatū Hauora |</w:t>
      </w:r>
      <w:r>
        <w:rPr>
          <w:spacing w:val="-2"/>
        </w:rPr>
        <w:t xml:space="preserve"> </w:t>
      </w:r>
      <w:r>
        <w:t>Ministry of Health. This means the change to use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ARR</w:t>
      </w:r>
      <w:r>
        <w:rPr>
          <w:spacing w:val="-6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minimal</w:t>
      </w:r>
      <w:r>
        <w:rPr>
          <w:spacing w:val="-11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services</w:t>
      </w:r>
      <w:r>
        <w:rPr>
          <w:spacing w:val="-9"/>
        </w:rPr>
        <w:t xml:space="preserve"> </w:t>
      </w:r>
      <w:r>
        <w:t>but will</w:t>
      </w:r>
      <w:r>
        <w:rPr>
          <w:spacing w:val="-2"/>
        </w:rPr>
        <w:t xml:space="preserve"> </w:t>
      </w:r>
      <w:r>
        <w:t>contribute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health quality monitoring and learning at a national level.</w:t>
      </w:r>
    </w:p>
    <w:p w14:paraId="021E5DF7" w14:textId="77777777" w:rsidR="001E1108" w:rsidRDefault="00052545">
      <w:pPr>
        <w:pStyle w:val="BodyText"/>
        <w:spacing w:line="276" w:lineRule="auto"/>
        <w:ind w:right="332" w:firstLine="0"/>
        <w:jc w:val="both"/>
      </w:pPr>
      <w:hyperlink r:id="rId12">
        <w:r>
          <w:rPr>
            <w:color w:val="0461C1"/>
            <w:u w:val="single" w:color="0461C1"/>
          </w:rPr>
          <w:t>See</w:t>
        </w:r>
        <w:r>
          <w:rPr>
            <w:color w:val="0461C1"/>
            <w:spacing w:val="-6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the</w:t>
        </w:r>
        <w:r>
          <w:rPr>
            <w:color w:val="0461C1"/>
            <w:spacing w:val="-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Ministry</w:t>
        </w:r>
        <w:r>
          <w:rPr>
            <w:color w:val="0461C1"/>
            <w:spacing w:val="-2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of</w:t>
        </w:r>
        <w:r>
          <w:rPr>
            <w:color w:val="0461C1"/>
            <w:spacing w:val="-2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Health</w:t>
        </w:r>
        <w:r>
          <w:rPr>
            <w:color w:val="0461C1"/>
            <w:spacing w:val="-5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Guidelines</w:t>
        </w:r>
        <w:r>
          <w:rPr>
            <w:color w:val="0461C1"/>
            <w:spacing w:val="-6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for</w:t>
        </w:r>
        <w:r>
          <w:rPr>
            <w:color w:val="0461C1"/>
            <w:spacing w:val="-5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reducing</w:t>
        </w:r>
        <w:r>
          <w:rPr>
            <w:color w:val="0461C1"/>
            <w:spacing w:val="-10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and</w:t>
        </w:r>
        <w:r>
          <w:rPr>
            <w:color w:val="0461C1"/>
            <w:spacing w:val="-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eliminating seclusion</w:t>
        </w:r>
        <w:r>
          <w:rPr>
            <w:color w:val="0461C1"/>
            <w:spacing w:val="-5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and</w:t>
        </w:r>
        <w:r>
          <w:rPr>
            <w:color w:val="0461C1"/>
            <w:spacing w:val="-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restraint</w:t>
        </w:r>
      </w:hyperlink>
      <w:r>
        <w:rPr>
          <w:color w:val="0461C1"/>
        </w:rPr>
        <w:t xml:space="preserve"> </w:t>
      </w:r>
      <w:hyperlink r:id="rId13">
        <w:r>
          <w:rPr>
            <w:color w:val="0461C1"/>
            <w:u w:val="single" w:color="0461C1"/>
          </w:rPr>
          <w:t>under</w:t>
        </w:r>
        <w:r>
          <w:rPr>
            <w:color w:val="0461C1"/>
            <w:spacing w:val="-3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the Mental Health</w:t>
        </w:r>
        <w:r>
          <w:rPr>
            <w:color w:val="0461C1"/>
            <w:spacing w:val="-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(Compulsory</w:t>
        </w:r>
        <w:r>
          <w:rPr>
            <w:color w:val="0461C1"/>
            <w:spacing w:val="-2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Assessment and</w:t>
        </w:r>
        <w:r>
          <w:rPr>
            <w:color w:val="0461C1"/>
            <w:spacing w:val="-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Treatment) Act 1992</w:t>
        </w:r>
        <w:r>
          <w:rPr>
            <w:color w:val="0461C1"/>
            <w:spacing w:val="-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| Ministry of</w:t>
        </w:r>
      </w:hyperlink>
      <w:r>
        <w:rPr>
          <w:color w:val="0461C1"/>
        </w:rPr>
        <w:t xml:space="preserve"> </w:t>
      </w:r>
      <w:hyperlink r:id="rId14">
        <w:r>
          <w:rPr>
            <w:color w:val="0461C1"/>
            <w:u w:val="single" w:color="0461C1"/>
          </w:rPr>
          <w:t>Health NZ, 2023.</w:t>
        </w:r>
      </w:hyperlink>
    </w:p>
    <w:p w14:paraId="021E5DF8" w14:textId="77777777" w:rsidR="001E1108" w:rsidRDefault="00052545">
      <w:pPr>
        <w:pStyle w:val="ListParagraph"/>
        <w:numPr>
          <w:ilvl w:val="0"/>
          <w:numId w:val="1"/>
        </w:numPr>
        <w:tabs>
          <w:tab w:val="left" w:pos="663"/>
        </w:tabs>
        <w:spacing w:before="54" w:line="276" w:lineRule="auto"/>
        <w:ind w:right="639"/>
      </w:pPr>
      <w:r>
        <w:rPr>
          <w:b/>
        </w:rPr>
        <w:t xml:space="preserve">Support for change: </w:t>
      </w:r>
      <w:r>
        <w:t>The ARR process for reporting seclusion is supported by the Director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the Ministry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Health,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 Chief</w:t>
      </w:r>
      <w:r>
        <w:rPr>
          <w:spacing w:val="-9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 xml:space="preserve">Patient Safety and the National Chief Mental Health and Addiction, Health New Zealand | Te Whatu Ora, and the Chief Executive at Te Tāhū Hauroa Health Quality &amp; Safety </w:t>
      </w:r>
      <w:r>
        <w:rPr>
          <w:spacing w:val="-2"/>
        </w:rPr>
        <w:t>Commission.</w:t>
      </w:r>
    </w:p>
    <w:p w14:paraId="021E5DF9" w14:textId="77777777" w:rsidR="001E1108" w:rsidRDefault="00052545">
      <w:pPr>
        <w:pStyle w:val="ListParagraph"/>
        <w:numPr>
          <w:ilvl w:val="0"/>
          <w:numId w:val="1"/>
        </w:numPr>
        <w:tabs>
          <w:tab w:val="left" w:pos="663"/>
        </w:tabs>
        <w:spacing w:before="58" w:line="273" w:lineRule="auto"/>
        <w:ind w:right="836"/>
      </w:pPr>
      <w:r>
        <w:rPr>
          <w:b/>
        </w:rPr>
        <w:t xml:space="preserve">Preparation for transition: </w:t>
      </w:r>
      <w:r>
        <w:t>This work is part of preparing for the transition of the national</w:t>
      </w:r>
      <w:r>
        <w:rPr>
          <w:spacing w:val="-8"/>
        </w:rPr>
        <w:t xml:space="preserve"> </w:t>
      </w:r>
      <w:r>
        <w:t>Mental</w:t>
      </w:r>
      <w:r>
        <w:rPr>
          <w:spacing w:val="-8"/>
        </w:rPr>
        <w:t xml:space="preserve"> </w:t>
      </w:r>
      <w:r>
        <w:t>Health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Addiction</w:t>
      </w:r>
      <w:r>
        <w:rPr>
          <w:spacing w:val="-6"/>
        </w:rPr>
        <w:t xml:space="preserve"> </w:t>
      </w:r>
      <w:r>
        <w:t>quality</w:t>
      </w:r>
      <w:r>
        <w:rPr>
          <w:spacing w:val="-12"/>
        </w:rPr>
        <w:t xml:space="preserve"> </w:t>
      </w:r>
      <w:r>
        <w:t>improvement</w:t>
      </w:r>
      <w:r>
        <w:rPr>
          <w:spacing w:val="-10"/>
        </w:rPr>
        <w:t xml:space="preserve"> </w:t>
      </w:r>
      <w:r>
        <w:t>programme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Te</w:t>
      </w:r>
      <w:r>
        <w:rPr>
          <w:spacing w:val="-6"/>
        </w:rPr>
        <w:t xml:space="preserve"> </w:t>
      </w:r>
      <w:r>
        <w:t>Tāhū Hauora to Health New Zealand by 30 June 2025.</w:t>
      </w:r>
    </w:p>
    <w:p w14:paraId="021E5DFA" w14:textId="77777777" w:rsidR="001E1108" w:rsidRDefault="001E1108">
      <w:pPr>
        <w:pStyle w:val="BodyText"/>
        <w:spacing w:before="113"/>
        <w:ind w:left="0" w:firstLine="0"/>
      </w:pPr>
    </w:p>
    <w:p w14:paraId="021E5DFB" w14:textId="77777777" w:rsidR="001E1108" w:rsidRDefault="00052545">
      <w:pPr>
        <w:pStyle w:val="Heading1"/>
      </w:pPr>
      <w:r>
        <w:rPr>
          <w:color w:val="293868"/>
        </w:rPr>
        <w:t>Key</w:t>
      </w:r>
      <w:r>
        <w:rPr>
          <w:color w:val="293868"/>
          <w:spacing w:val="-20"/>
        </w:rPr>
        <w:t xml:space="preserve"> </w:t>
      </w:r>
      <w:r>
        <w:rPr>
          <w:color w:val="293868"/>
        </w:rPr>
        <w:t>messages</w:t>
      </w:r>
      <w:r>
        <w:rPr>
          <w:color w:val="293868"/>
          <w:spacing w:val="-19"/>
        </w:rPr>
        <w:t xml:space="preserve"> </w:t>
      </w:r>
      <w:r>
        <w:rPr>
          <w:color w:val="293868"/>
        </w:rPr>
        <w:t>when</w:t>
      </w:r>
      <w:r>
        <w:rPr>
          <w:color w:val="293868"/>
          <w:spacing w:val="-20"/>
        </w:rPr>
        <w:t xml:space="preserve"> </w:t>
      </w:r>
      <w:r>
        <w:rPr>
          <w:color w:val="293868"/>
        </w:rPr>
        <w:t>communicating</w:t>
      </w:r>
      <w:r>
        <w:rPr>
          <w:color w:val="293868"/>
          <w:spacing w:val="-19"/>
        </w:rPr>
        <w:t xml:space="preserve"> </w:t>
      </w:r>
      <w:r>
        <w:rPr>
          <w:color w:val="293868"/>
        </w:rPr>
        <w:t>with</w:t>
      </w:r>
      <w:r>
        <w:rPr>
          <w:color w:val="293868"/>
          <w:spacing w:val="-20"/>
        </w:rPr>
        <w:t xml:space="preserve"> </w:t>
      </w:r>
      <w:r>
        <w:rPr>
          <w:color w:val="293868"/>
          <w:spacing w:val="-2"/>
        </w:rPr>
        <w:t>consumers</w:t>
      </w:r>
    </w:p>
    <w:p w14:paraId="021E5DFC" w14:textId="77777777" w:rsidR="001E1108" w:rsidRDefault="00052545">
      <w:pPr>
        <w:pStyle w:val="ListParagraph"/>
        <w:numPr>
          <w:ilvl w:val="0"/>
          <w:numId w:val="1"/>
        </w:numPr>
        <w:tabs>
          <w:tab w:val="left" w:pos="663"/>
        </w:tabs>
        <w:spacing w:before="113" w:line="273" w:lineRule="auto"/>
      </w:pPr>
      <w:r>
        <w:t>Seclusion is a significant and serious restrictive practice. Seclusion means isolating a mental</w:t>
      </w:r>
      <w:r>
        <w:rPr>
          <w:spacing w:val="-6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consumer</w:t>
      </w:r>
      <w:r>
        <w:rPr>
          <w:spacing w:val="-11"/>
        </w:rPr>
        <w:t xml:space="preserve"> </w:t>
      </w:r>
      <w:r>
        <w:t>alone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room.</w:t>
      </w:r>
      <w:r>
        <w:rPr>
          <w:spacing w:val="-4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done</w:t>
      </w:r>
      <w:r>
        <w:rPr>
          <w:spacing w:val="-4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 last resort -</w:t>
      </w:r>
      <w:r>
        <w:rPr>
          <w:spacing w:val="-12"/>
        </w:rPr>
        <w:t xml:space="preserve"> </w:t>
      </w:r>
      <w:r>
        <w:t>usually for</w:t>
      </w:r>
      <w:r>
        <w:rPr>
          <w:spacing w:val="-7"/>
        </w:rPr>
        <w:t xml:space="preserve"> </w:t>
      </w:r>
      <w:r>
        <w:t xml:space="preserve">safety </w:t>
      </w:r>
      <w:r>
        <w:rPr>
          <w:spacing w:val="-2"/>
        </w:rPr>
        <w:t>reasons.</w:t>
      </w:r>
    </w:p>
    <w:p w14:paraId="021E5DFD" w14:textId="77777777" w:rsidR="001E1108" w:rsidRDefault="00052545">
      <w:pPr>
        <w:pStyle w:val="ListParagraph"/>
        <w:numPr>
          <w:ilvl w:val="0"/>
          <w:numId w:val="1"/>
        </w:numPr>
        <w:tabs>
          <w:tab w:val="left" w:pos="663"/>
        </w:tabs>
        <w:spacing w:line="271" w:lineRule="auto"/>
        <w:ind w:right="651"/>
      </w:pPr>
      <w:r>
        <w:t>Always Report and Review (ARR) reporting is already a requirement for those consumers</w:t>
      </w:r>
      <w:r>
        <w:rPr>
          <w:spacing w:val="-11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Mental</w:t>
      </w:r>
      <w:r>
        <w:rPr>
          <w:spacing w:val="-8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(Compulsory</w:t>
      </w:r>
      <w:r>
        <w:rPr>
          <w:spacing w:val="-15"/>
        </w:rPr>
        <w:t xml:space="preserve"> </w:t>
      </w:r>
      <w:r>
        <w:t>Assessment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Treatment) Act 1992.</w:t>
      </w:r>
    </w:p>
    <w:p w14:paraId="021E5DFE" w14:textId="77777777" w:rsidR="001E1108" w:rsidRDefault="00052545">
      <w:pPr>
        <w:pStyle w:val="ListParagraph"/>
        <w:numPr>
          <w:ilvl w:val="0"/>
          <w:numId w:val="1"/>
        </w:numPr>
        <w:tabs>
          <w:tab w:val="left" w:pos="663"/>
        </w:tabs>
        <w:spacing w:before="65" w:line="273" w:lineRule="auto"/>
        <w:ind w:right="485"/>
      </w:pPr>
      <w:r>
        <w:t>As of 1 July 2025, seclusion will also need to be reported to Te Tāhū Hauora Health Quality</w:t>
      </w:r>
      <w:r>
        <w:rPr>
          <w:spacing w:val="-11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Commission</w:t>
      </w:r>
      <w:r>
        <w:rPr>
          <w:spacing w:val="-5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ARR</w:t>
      </w:r>
      <w:r>
        <w:rPr>
          <w:spacing w:val="-11"/>
        </w:rPr>
        <w:t xml:space="preserve"> </w:t>
      </w:r>
      <w:r>
        <w:t>process.</w:t>
      </w:r>
      <w:r>
        <w:rPr>
          <w:spacing w:val="-10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the review</w:t>
      </w:r>
      <w:r>
        <w:rPr>
          <w:spacing w:val="-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seclusion</w:t>
      </w:r>
      <w:r>
        <w:rPr>
          <w:spacing w:val="-3"/>
        </w:rPr>
        <w:t xml:space="preserve"> </w:t>
      </w:r>
      <w:r>
        <w:t>event. This is to</w:t>
      </w:r>
      <w:r>
        <w:rPr>
          <w:spacing w:val="-3"/>
        </w:rPr>
        <w:t xml:space="preserve"> </w:t>
      </w:r>
      <w:r>
        <w:t>ensure there is transparency, learning from</w:t>
      </w:r>
      <w:r>
        <w:rPr>
          <w:spacing w:val="-2"/>
        </w:rPr>
        <w:t xml:space="preserve"> </w:t>
      </w:r>
      <w:r>
        <w:t>the experience, focused improvement and oversight.</w:t>
      </w:r>
    </w:p>
    <w:p w14:paraId="021E5DFF" w14:textId="77777777" w:rsidR="001E1108" w:rsidRDefault="00052545">
      <w:pPr>
        <w:pStyle w:val="ListParagraph"/>
        <w:numPr>
          <w:ilvl w:val="0"/>
          <w:numId w:val="1"/>
        </w:numPr>
        <w:tabs>
          <w:tab w:val="left" w:pos="663"/>
        </w:tabs>
        <w:spacing w:before="61" w:line="276" w:lineRule="auto"/>
        <w:ind w:right="464"/>
      </w:pPr>
      <w:r>
        <w:t>We understand that being placed in seclusion can be deeply distressing and, at times, feel like a form of punishment. The United Nations Special Rapporteur has described seclusion</w:t>
      </w:r>
      <w:r>
        <w:rPr>
          <w:spacing w:val="-4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ill-treatment</w:t>
      </w:r>
      <w:r>
        <w:rPr>
          <w:spacing w:val="-9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torture.</w:t>
      </w:r>
      <w:r>
        <w:rPr>
          <w:spacing w:val="-5"/>
        </w:rPr>
        <w:t xml:space="preserve"> </w:t>
      </w:r>
      <w:hyperlink r:id="rId15">
        <w:r>
          <w:rPr>
            <w:u w:val="single"/>
          </w:rPr>
          <w:t>View</w:t>
        </w:r>
        <w:r>
          <w:rPr>
            <w:spacing w:val="-11"/>
            <w:u w:val="single"/>
          </w:rPr>
          <w:t xml:space="preserve"> </w:t>
        </w:r>
        <w:r>
          <w:rPr>
            <w:u w:val="single"/>
          </w:rPr>
          <w:t>the</w:t>
        </w:r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>Report</w:t>
        </w:r>
        <w:r>
          <w:rPr>
            <w:spacing w:val="-4"/>
            <w:u w:val="single"/>
          </w:rPr>
          <w:t xml:space="preserve"> </w:t>
        </w:r>
        <w:r>
          <w:rPr>
            <w:u w:val="single"/>
          </w:rPr>
          <w:t>of</w:t>
        </w:r>
        <w:r>
          <w:rPr>
            <w:spacing w:val="-10"/>
            <w:u w:val="single"/>
          </w:rPr>
          <w:t xml:space="preserve"> </w:t>
        </w:r>
        <w:r>
          <w:rPr>
            <w:u w:val="single"/>
          </w:rPr>
          <w:t>the</w:t>
        </w:r>
        <w:r>
          <w:rPr>
            <w:spacing w:val="-5"/>
            <w:u w:val="single"/>
          </w:rPr>
          <w:t xml:space="preserve"> </w:t>
        </w:r>
        <w:r>
          <w:rPr>
            <w:u w:val="single"/>
          </w:rPr>
          <w:t>Special</w:t>
        </w:r>
        <w:r>
          <w:rPr>
            <w:spacing w:val="-2"/>
            <w:u w:val="single"/>
          </w:rPr>
          <w:t xml:space="preserve"> </w:t>
        </w:r>
        <w:r>
          <w:rPr>
            <w:u w:val="single"/>
          </w:rPr>
          <w:t>Rapporteur</w:t>
        </w:r>
      </w:hyperlink>
      <w:r>
        <w:t xml:space="preserve"> </w:t>
      </w:r>
      <w:hyperlink r:id="rId16">
        <w:r>
          <w:rPr>
            <w:u w:val="single"/>
          </w:rPr>
          <w:t>on torture and other cruel, inhuman or degrading treatment or punishment.</w:t>
        </w:r>
      </w:hyperlink>
    </w:p>
    <w:p w14:paraId="021E5E00" w14:textId="77777777" w:rsidR="001E1108" w:rsidRDefault="001E1108">
      <w:pPr>
        <w:pStyle w:val="ListParagraph"/>
        <w:spacing w:line="276" w:lineRule="auto"/>
        <w:sectPr w:rsidR="001E1108">
          <w:type w:val="continuous"/>
          <w:pgSz w:w="11910" w:h="16840"/>
          <w:pgMar w:top="420" w:right="1133" w:bottom="280" w:left="1133" w:header="720" w:footer="720" w:gutter="0"/>
          <w:cols w:space="720"/>
        </w:sectPr>
      </w:pPr>
    </w:p>
    <w:p w14:paraId="021E5E01" w14:textId="77777777" w:rsidR="001E1108" w:rsidRDefault="00052545">
      <w:pPr>
        <w:pStyle w:val="ListParagraph"/>
        <w:numPr>
          <w:ilvl w:val="0"/>
          <w:numId w:val="1"/>
        </w:numPr>
        <w:tabs>
          <w:tab w:val="left" w:pos="663"/>
        </w:tabs>
        <w:spacing w:before="71" w:line="271" w:lineRule="auto"/>
        <w:ind w:right="615"/>
      </w:pPr>
      <w:r>
        <w:lastRenderedPageBreak/>
        <w:t>The aim of this work is to stop the use of seclusion in Aotearoa New Zealand and to create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safer,</w:t>
      </w:r>
      <w:r>
        <w:rPr>
          <w:spacing w:val="-10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respectful</w:t>
      </w:r>
      <w:r>
        <w:rPr>
          <w:spacing w:val="-11"/>
        </w:rPr>
        <w:t xml:space="preserve"> </w:t>
      </w:r>
      <w:r>
        <w:t>environment</w:t>
      </w:r>
      <w:r>
        <w:rPr>
          <w:spacing w:val="-5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people</w:t>
      </w:r>
      <w:r>
        <w:rPr>
          <w:spacing w:val="-10"/>
        </w:rPr>
        <w:t xml:space="preserve"> </w:t>
      </w:r>
      <w:r>
        <w:t>feel</w:t>
      </w:r>
      <w:r>
        <w:rPr>
          <w:spacing w:val="-8"/>
        </w:rPr>
        <w:t xml:space="preserve"> </w:t>
      </w:r>
      <w:r>
        <w:t>supported,</w:t>
      </w:r>
      <w:r>
        <w:rPr>
          <w:spacing w:val="-10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isolated, during their care.</w:t>
      </w:r>
    </w:p>
    <w:sectPr w:rsidR="001E1108">
      <w:pgSz w:w="11910" w:h="16840"/>
      <w:pgMar w:top="1360" w:right="1133" w:bottom="28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E14D8" w14:textId="77777777" w:rsidR="00522C7F" w:rsidRDefault="00522C7F" w:rsidP="007E27E2">
      <w:r>
        <w:separator/>
      </w:r>
    </w:p>
  </w:endnote>
  <w:endnote w:type="continuationSeparator" w:id="0">
    <w:p w14:paraId="55C39B6D" w14:textId="77777777" w:rsidR="00522C7F" w:rsidRDefault="00522C7F" w:rsidP="007E2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46007" w14:textId="77777777" w:rsidR="00522C7F" w:rsidRDefault="00522C7F" w:rsidP="007E27E2">
      <w:r>
        <w:separator/>
      </w:r>
    </w:p>
  </w:footnote>
  <w:footnote w:type="continuationSeparator" w:id="0">
    <w:p w14:paraId="390FA953" w14:textId="77777777" w:rsidR="00522C7F" w:rsidRDefault="00522C7F" w:rsidP="007E2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052CF7"/>
    <w:multiLevelType w:val="hybridMultilevel"/>
    <w:tmpl w:val="600C23EA"/>
    <w:lvl w:ilvl="0" w:tplc="4EE2896C">
      <w:numFmt w:val="bullet"/>
      <w:lvlText w:val=""/>
      <w:lvlJc w:val="left"/>
      <w:pPr>
        <w:ind w:left="663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B1AA3FE">
      <w:numFmt w:val="bullet"/>
      <w:lvlText w:val="•"/>
      <w:lvlJc w:val="left"/>
      <w:pPr>
        <w:ind w:left="1558" w:hanging="356"/>
      </w:pPr>
      <w:rPr>
        <w:rFonts w:hint="default"/>
        <w:lang w:val="en-US" w:eastAsia="en-US" w:bidi="ar-SA"/>
      </w:rPr>
    </w:lvl>
    <w:lvl w:ilvl="2" w:tplc="B17A00E8">
      <w:numFmt w:val="bullet"/>
      <w:lvlText w:val="•"/>
      <w:lvlJc w:val="left"/>
      <w:pPr>
        <w:ind w:left="2456" w:hanging="356"/>
      </w:pPr>
      <w:rPr>
        <w:rFonts w:hint="default"/>
        <w:lang w:val="en-US" w:eastAsia="en-US" w:bidi="ar-SA"/>
      </w:rPr>
    </w:lvl>
    <w:lvl w:ilvl="3" w:tplc="3D44EB6C">
      <w:numFmt w:val="bullet"/>
      <w:lvlText w:val="•"/>
      <w:lvlJc w:val="left"/>
      <w:pPr>
        <w:ind w:left="3354" w:hanging="356"/>
      </w:pPr>
      <w:rPr>
        <w:rFonts w:hint="default"/>
        <w:lang w:val="en-US" w:eastAsia="en-US" w:bidi="ar-SA"/>
      </w:rPr>
    </w:lvl>
    <w:lvl w:ilvl="4" w:tplc="1EEE0984">
      <w:numFmt w:val="bullet"/>
      <w:lvlText w:val="•"/>
      <w:lvlJc w:val="left"/>
      <w:pPr>
        <w:ind w:left="4253" w:hanging="356"/>
      </w:pPr>
      <w:rPr>
        <w:rFonts w:hint="default"/>
        <w:lang w:val="en-US" w:eastAsia="en-US" w:bidi="ar-SA"/>
      </w:rPr>
    </w:lvl>
    <w:lvl w:ilvl="5" w:tplc="61F2D4C8">
      <w:numFmt w:val="bullet"/>
      <w:lvlText w:val="•"/>
      <w:lvlJc w:val="left"/>
      <w:pPr>
        <w:ind w:left="5151" w:hanging="356"/>
      </w:pPr>
      <w:rPr>
        <w:rFonts w:hint="default"/>
        <w:lang w:val="en-US" w:eastAsia="en-US" w:bidi="ar-SA"/>
      </w:rPr>
    </w:lvl>
    <w:lvl w:ilvl="6" w:tplc="91529B9E">
      <w:numFmt w:val="bullet"/>
      <w:lvlText w:val="•"/>
      <w:lvlJc w:val="left"/>
      <w:pPr>
        <w:ind w:left="6049" w:hanging="356"/>
      </w:pPr>
      <w:rPr>
        <w:rFonts w:hint="default"/>
        <w:lang w:val="en-US" w:eastAsia="en-US" w:bidi="ar-SA"/>
      </w:rPr>
    </w:lvl>
    <w:lvl w:ilvl="7" w:tplc="9634AC20">
      <w:numFmt w:val="bullet"/>
      <w:lvlText w:val="•"/>
      <w:lvlJc w:val="left"/>
      <w:pPr>
        <w:ind w:left="6947" w:hanging="356"/>
      </w:pPr>
      <w:rPr>
        <w:rFonts w:hint="default"/>
        <w:lang w:val="en-US" w:eastAsia="en-US" w:bidi="ar-SA"/>
      </w:rPr>
    </w:lvl>
    <w:lvl w:ilvl="8" w:tplc="BCA6DEDC">
      <w:numFmt w:val="bullet"/>
      <w:lvlText w:val="•"/>
      <w:lvlJc w:val="left"/>
      <w:pPr>
        <w:ind w:left="7846" w:hanging="356"/>
      </w:pPr>
      <w:rPr>
        <w:rFonts w:hint="default"/>
        <w:lang w:val="en-US" w:eastAsia="en-US" w:bidi="ar-SA"/>
      </w:rPr>
    </w:lvl>
  </w:abstractNum>
  <w:num w:numId="1" w16cid:durableId="640770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08"/>
    <w:rsid w:val="00052545"/>
    <w:rsid w:val="001E1108"/>
    <w:rsid w:val="002D7EFD"/>
    <w:rsid w:val="00346485"/>
    <w:rsid w:val="00522C7F"/>
    <w:rsid w:val="00743579"/>
    <w:rsid w:val="007E27E2"/>
    <w:rsid w:val="00A317F7"/>
    <w:rsid w:val="00D1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E5D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07"/>
      <w:outlineLvl w:val="0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6"/>
      <w:ind w:left="663" w:hanging="356"/>
    </w:pPr>
  </w:style>
  <w:style w:type="paragraph" w:styleId="ListParagraph">
    <w:name w:val="List Paragraph"/>
    <w:basedOn w:val="Normal"/>
    <w:uiPriority w:val="1"/>
    <w:qFormat/>
    <w:pPr>
      <w:spacing w:before="62"/>
      <w:ind w:left="663" w:right="431" w:hanging="35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E27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7E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E27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7E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health.govt.nz/publications/guidelines-for-reducing-and-eliminating-seclusion-and-restraint-under-the-mental-health-compulsor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health.govt.nz/publications/guidelines-for-reducing-and-eliminating-seclusion-and-restraint-under-the-mental-health-compulsor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ohchr.org/en/documents/thematic-reports/ahrc3454-report-special-rapporteur-torture-and-other-cruel-inhuman-o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qsc.govt.nz/assets/Our-work/System-safety/Adverse-events/Publications-resources/AdverseEventsPolicy2023_Eng_Feb24update_WEB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hchr.org/en/documents/thematic-reports/ahrc3454-report-special-rapporteur-torture-and-other-cruel-inhuman-or" TargetMode="External"/><Relationship Id="rId10" Type="http://schemas.openxmlformats.org/officeDocument/2006/relationships/hyperlink" Target="https://www.hqsc.govt.nz/assets/Our-work/System-safety/Adverse-events/Publications-resources/AdverseEventsPolicy2023_Eng_Feb24update_WEB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health.govt.nz/publications/guidelines-for-reducing-and-eliminating-seclusion-and-restraint-under-the-mental-health-compuls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01cefdf-35f4-4444-8638-55f0e12ab1c4}" enabled="0" method="" siteId="{701cefdf-35f4-4444-8638-55f0e12ab1c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2025-07-01T03:21:00Z</dcterms:created>
  <dcterms:modified xsi:type="dcterms:W3CDTF">2025-07-01T03:23:00Z</dcterms:modified>
</cp:coreProperties>
</file>