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0D44" w14:textId="05D23177" w:rsidR="003569A3" w:rsidRPr="009F63CE" w:rsidRDefault="003569A3" w:rsidP="00174C87">
      <w:pPr>
        <w:jc w:val="center"/>
        <w:rPr>
          <w:rFonts w:cs="Arial"/>
          <w:color w:val="E31B23" w:themeColor="accent1"/>
        </w:rPr>
      </w:pPr>
      <w:bookmarkStart w:id="0" w:name="_Toc483987178"/>
      <w:bookmarkStart w:id="1" w:name="_Toc480797142"/>
    </w:p>
    <w:sdt>
      <w:sdtPr>
        <w:rPr>
          <w:rFonts w:cs="Arial"/>
          <w:color w:val="E31B23" w:themeColor="accent1"/>
        </w:rPr>
        <w:id w:val="38396881"/>
        <w:docPartObj>
          <w:docPartGallery w:val="Cover Pages"/>
          <w:docPartUnique/>
        </w:docPartObj>
      </w:sdtPr>
      <w:sdtEndPr>
        <w:rPr>
          <w:color w:val="000000" w:themeColor="text1"/>
        </w:rPr>
      </w:sdtEndPr>
      <w:sdtContent>
        <w:bookmarkStart w:id="2" w:name="_Toc480797236" w:displacedByCustomXml="prev"/>
        <w:p w14:paraId="0235C3FF" w14:textId="552E5AD9" w:rsidR="00960A17" w:rsidRPr="009F63CE" w:rsidRDefault="008C269A" w:rsidP="00174C87">
          <w:pPr>
            <w:jc w:val="center"/>
            <w:rPr>
              <w:rFonts w:cs="Arial"/>
              <w:color w:val="E31B23" w:themeColor="accent1"/>
            </w:rPr>
          </w:pPr>
          <w:r>
            <w:rPr>
              <w:noProof/>
              <w:color w:val="auto"/>
              <w:sz w:val="48"/>
              <w:szCs w:val="44"/>
            </w:rPr>
            <w:drawing>
              <wp:anchor distT="0" distB="0" distL="114300" distR="114300" simplePos="0" relativeHeight="251658242" behindDoc="1" locked="0" layoutInCell="1" allowOverlap="1" wp14:anchorId="7F7C6643" wp14:editId="6AAD83BF">
                <wp:simplePos x="0" y="0"/>
                <wp:positionH relativeFrom="margin">
                  <wp:align>center</wp:align>
                </wp:positionH>
                <wp:positionV relativeFrom="paragraph">
                  <wp:posOffset>19006</wp:posOffset>
                </wp:positionV>
                <wp:extent cx="2398776" cy="1773936"/>
                <wp:effectExtent l="0" t="0" r="1905" b="0"/>
                <wp:wrapTight wrapText="bothSides">
                  <wp:wrapPolygon edited="0">
                    <wp:start x="0" y="0"/>
                    <wp:lineTo x="0" y="21345"/>
                    <wp:lineTo x="21446" y="21345"/>
                    <wp:lineTo x="21446" y="0"/>
                    <wp:lineTo x="0" y="0"/>
                  </wp:wrapPolygon>
                </wp:wrapTight>
                <wp:docPr id="1963258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58527" name="Picture 19632585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8776" cy="1773936"/>
                        </a:xfrm>
                        <a:prstGeom prst="rect">
                          <a:avLst/>
                        </a:prstGeom>
                      </pic:spPr>
                    </pic:pic>
                  </a:graphicData>
                </a:graphic>
              </wp:anchor>
            </w:drawing>
          </w:r>
        </w:p>
        <w:p w14:paraId="63ACBC64" w14:textId="77777777" w:rsidR="00960A17" w:rsidRPr="009F63CE" w:rsidRDefault="00960A17" w:rsidP="00174C87">
          <w:pPr>
            <w:jc w:val="center"/>
            <w:rPr>
              <w:rFonts w:cs="Arial"/>
              <w:color w:val="E31B23" w:themeColor="accent1"/>
            </w:rPr>
          </w:pPr>
        </w:p>
        <w:p w14:paraId="74C42F5B" w14:textId="77777777" w:rsidR="00960A17" w:rsidRPr="009F63CE" w:rsidRDefault="00960A17" w:rsidP="00174C87">
          <w:pPr>
            <w:jc w:val="center"/>
            <w:rPr>
              <w:rFonts w:cs="Arial"/>
              <w:color w:val="E31B23" w:themeColor="accent1"/>
            </w:rPr>
          </w:pPr>
        </w:p>
        <w:p w14:paraId="25599D89" w14:textId="3A198408" w:rsidR="00960A17" w:rsidRPr="009F63CE" w:rsidRDefault="00960A17" w:rsidP="00174C87">
          <w:pPr>
            <w:jc w:val="center"/>
            <w:rPr>
              <w:rFonts w:cs="Arial"/>
              <w:color w:val="E31B23" w:themeColor="accent1"/>
            </w:rPr>
          </w:pPr>
        </w:p>
        <w:p w14:paraId="79FD64C3" w14:textId="77777777" w:rsidR="00960A17" w:rsidRPr="009F63CE" w:rsidRDefault="00960A17" w:rsidP="00174C87">
          <w:pPr>
            <w:jc w:val="center"/>
            <w:rPr>
              <w:rFonts w:cs="Arial"/>
              <w:color w:val="E31B23" w:themeColor="accent1"/>
            </w:rPr>
          </w:pPr>
        </w:p>
        <w:p w14:paraId="5F44B173" w14:textId="77777777" w:rsidR="008C269A" w:rsidRDefault="008C269A" w:rsidP="004417BC">
          <w:pPr>
            <w:pStyle w:val="NOTINCLUDED"/>
            <w:jc w:val="center"/>
            <w:rPr>
              <w:color w:val="auto"/>
              <w:sz w:val="48"/>
              <w:szCs w:val="44"/>
            </w:rPr>
          </w:pPr>
        </w:p>
        <w:p w14:paraId="7E649DB9" w14:textId="77777777" w:rsidR="008C269A" w:rsidRDefault="008C269A" w:rsidP="004417BC">
          <w:pPr>
            <w:pStyle w:val="NOTINCLUDED"/>
            <w:jc w:val="center"/>
            <w:rPr>
              <w:color w:val="auto"/>
              <w:sz w:val="48"/>
              <w:szCs w:val="44"/>
            </w:rPr>
          </w:pPr>
        </w:p>
        <w:p w14:paraId="090F7E6F" w14:textId="07D50236" w:rsidR="00174C87" w:rsidRPr="004A315D" w:rsidRDefault="000F19A5" w:rsidP="004417BC">
          <w:pPr>
            <w:pStyle w:val="NOTINCLUDED"/>
            <w:jc w:val="center"/>
            <w:rPr>
              <w:color w:val="auto"/>
              <w:sz w:val="48"/>
              <w:szCs w:val="44"/>
            </w:rPr>
          </w:pPr>
          <w:r w:rsidRPr="004A315D">
            <w:rPr>
              <w:color w:val="auto"/>
              <w:sz w:val="48"/>
              <w:szCs w:val="44"/>
            </w:rPr>
            <w:t>Methods</w:t>
          </w:r>
          <w:r w:rsidR="00174C87" w:rsidRPr="004A315D">
            <w:rPr>
              <w:color w:val="auto"/>
              <w:sz w:val="48"/>
              <w:szCs w:val="44"/>
            </w:rPr>
            <w:t xml:space="preserve"> and definitions for</w:t>
          </w:r>
          <w:r w:rsidR="004417BC" w:rsidRPr="004A315D">
            <w:rPr>
              <w:color w:val="auto"/>
              <w:sz w:val="48"/>
              <w:szCs w:val="44"/>
            </w:rPr>
            <w:br/>
          </w:r>
          <w:bookmarkEnd w:id="2"/>
          <w:r w:rsidR="001D4EEA" w:rsidRPr="001D4EEA">
            <w:rPr>
              <w:color w:val="auto"/>
              <w:sz w:val="48"/>
              <w:szCs w:val="44"/>
            </w:rPr>
            <w:t xml:space="preserve">Perinatal and Maternal Mortality Review Committee </w:t>
          </w:r>
          <w:r w:rsidR="00174C87" w:rsidRPr="004A315D">
            <w:rPr>
              <w:color w:val="auto"/>
              <w:sz w:val="48"/>
              <w:szCs w:val="44"/>
            </w:rPr>
            <w:t>reporting</w:t>
          </w:r>
        </w:p>
        <w:p w14:paraId="327229E3" w14:textId="3ADFE477" w:rsidR="00960A17" w:rsidRPr="009F63CE" w:rsidRDefault="00960A17" w:rsidP="00174C87">
          <w:pPr>
            <w:jc w:val="center"/>
            <w:rPr>
              <w:rFonts w:cs="Arial"/>
            </w:rPr>
          </w:pPr>
        </w:p>
        <w:p w14:paraId="60BDC0D4" w14:textId="77777777" w:rsidR="00960A17" w:rsidRPr="009F63CE" w:rsidRDefault="00960A17" w:rsidP="00174C87">
          <w:pPr>
            <w:jc w:val="center"/>
            <w:rPr>
              <w:rFonts w:cs="Arial"/>
            </w:rPr>
          </w:pPr>
        </w:p>
        <w:p w14:paraId="004C6C4F" w14:textId="77777777" w:rsidR="00960A17" w:rsidRPr="009F63CE" w:rsidRDefault="00960A17" w:rsidP="00174C87">
          <w:pPr>
            <w:jc w:val="center"/>
            <w:rPr>
              <w:rFonts w:cs="Arial"/>
            </w:rPr>
          </w:pPr>
        </w:p>
        <w:p w14:paraId="0EE3B5D8" w14:textId="348DF6B0" w:rsidR="00960A17" w:rsidRDefault="00960A17" w:rsidP="00174C87">
          <w:pPr>
            <w:jc w:val="center"/>
            <w:rPr>
              <w:rFonts w:cs="Arial"/>
            </w:rPr>
          </w:pPr>
        </w:p>
        <w:p w14:paraId="50C3DA37" w14:textId="228C55B6" w:rsidR="006D7E40" w:rsidRDefault="006D7E40" w:rsidP="00174C87">
          <w:pPr>
            <w:jc w:val="center"/>
            <w:rPr>
              <w:rFonts w:cs="Arial"/>
            </w:rPr>
          </w:pPr>
        </w:p>
        <w:p w14:paraId="0497416A" w14:textId="2ED2A23F" w:rsidR="006D7E40" w:rsidRDefault="006D7E40" w:rsidP="00174C87">
          <w:pPr>
            <w:jc w:val="center"/>
            <w:rPr>
              <w:rFonts w:cs="Arial"/>
            </w:rPr>
          </w:pPr>
        </w:p>
        <w:p w14:paraId="39B5257F" w14:textId="70F72047" w:rsidR="006D7E40" w:rsidRPr="009F63CE" w:rsidRDefault="006D7E40" w:rsidP="00174C87">
          <w:pPr>
            <w:jc w:val="center"/>
            <w:rPr>
              <w:rFonts w:cs="Arial"/>
            </w:rPr>
          </w:pPr>
        </w:p>
        <w:p w14:paraId="756C567F" w14:textId="66273C0D" w:rsidR="00960A17" w:rsidRPr="009F63CE" w:rsidRDefault="00960A17" w:rsidP="00174C87">
          <w:pPr>
            <w:jc w:val="center"/>
            <w:rPr>
              <w:rFonts w:cs="Arial"/>
            </w:rPr>
          </w:pPr>
        </w:p>
        <w:p w14:paraId="583F2C6A" w14:textId="77777777" w:rsidR="00960A17" w:rsidRPr="009F63CE" w:rsidRDefault="00960A17" w:rsidP="00174C87">
          <w:pPr>
            <w:jc w:val="center"/>
            <w:rPr>
              <w:rFonts w:cs="Arial"/>
            </w:rPr>
          </w:pPr>
        </w:p>
        <w:p w14:paraId="0A97B61A" w14:textId="33CBFD52" w:rsidR="00960A17" w:rsidRPr="009F63CE" w:rsidRDefault="00960A17" w:rsidP="00174C87">
          <w:pPr>
            <w:jc w:val="center"/>
            <w:rPr>
              <w:rFonts w:cs="Arial"/>
            </w:rPr>
          </w:pPr>
        </w:p>
        <w:p w14:paraId="32ADF331" w14:textId="695C34F6" w:rsidR="00E92FCB" w:rsidRDefault="005A6E31" w:rsidP="00E92FCB">
          <w:pPr>
            <w:jc w:val="center"/>
            <w:rPr>
              <w:rFonts w:cs="Arial"/>
            </w:rPr>
          </w:pPr>
          <w:r>
            <w:rPr>
              <w:rFonts w:cs="Arial"/>
            </w:rPr>
            <w:t>June</w:t>
          </w:r>
          <w:r w:rsidRPr="008B6072">
            <w:rPr>
              <w:rFonts w:cs="Arial"/>
            </w:rPr>
            <w:t xml:space="preserve"> </w:t>
          </w:r>
          <w:r w:rsidR="004773DF" w:rsidRPr="008B6072">
            <w:rPr>
              <w:rFonts w:cs="Arial"/>
            </w:rPr>
            <w:t>202</w:t>
          </w:r>
          <w:r w:rsidR="00DB61E8">
            <w:rPr>
              <w:rFonts w:cs="Arial"/>
            </w:rPr>
            <w:t>4</w:t>
          </w:r>
        </w:p>
        <w:p w14:paraId="7931C3E1" w14:textId="7CC0F377" w:rsidR="00174C87" w:rsidRPr="009F63CE" w:rsidRDefault="006700B8" w:rsidP="00F87FA1">
          <w:pPr>
            <w:jc w:val="center"/>
            <w:rPr>
              <w:rFonts w:eastAsiaTheme="majorEastAsia" w:cs="Arial"/>
              <w:color w:val="C00000"/>
              <w:spacing w:val="5"/>
              <w:kern w:val="28"/>
              <w:sz w:val="52"/>
              <w:szCs w:val="52"/>
            </w:rPr>
          </w:pPr>
          <w:r>
            <w:rPr>
              <w:rFonts w:cs="Arial"/>
              <w:noProof/>
              <w:lang w:eastAsia="en-NZ"/>
            </w:rPr>
            <w:drawing>
              <wp:anchor distT="0" distB="0" distL="114300" distR="114300" simplePos="0" relativeHeight="251658241" behindDoc="0" locked="0" layoutInCell="1" allowOverlap="1" wp14:anchorId="0398719C" wp14:editId="518695D6">
                <wp:simplePos x="0" y="0"/>
                <wp:positionH relativeFrom="column">
                  <wp:posOffset>100965</wp:posOffset>
                </wp:positionH>
                <wp:positionV relativeFrom="paragraph">
                  <wp:posOffset>603885</wp:posOffset>
                </wp:positionV>
                <wp:extent cx="2607276" cy="608268"/>
                <wp:effectExtent l="0" t="0" r="0" b="1905"/>
                <wp:wrapNone/>
                <wp:docPr id="65024976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7276" cy="608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87A">
            <w:rPr>
              <w:rFonts w:cs="Arial"/>
              <w:noProof/>
              <w:lang w:eastAsia="en-NZ"/>
            </w:rPr>
            <w:drawing>
              <wp:anchor distT="0" distB="0" distL="114300" distR="114300" simplePos="0" relativeHeight="251658240" behindDoc="0" locked="0" layoutInCell="1" allowOverlap="1" wp14:anchorId="54332FFF" wp14:editId="4D4E57AE">
                <wp:simplePos x="0" y="0"/>
                <wp:positionH relativeFrom="column">
                  <wp:posOffset>3630930</wp:posOffset>
                </wp:positionH>
                <wp:positionV relativeFrom="paragraph">
                  <wp:posOffset>573405</wp:posOffset>
                </wp:positionV>
                <wp:extent cx="2090074" cy="639239"/>
                <wp:effectExtent l="0" t="0" r="5715" b="8890"/>
                <wp:wrapNone/>
                <wp:docPr id="594399460" name="Picture 2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99460" name="Picture 28"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0864" cy="642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C87" w:rsidRPr="009F63CE">
            <w:rPr>
              <w:rFonts w:cs="Arial"/>
            </w:rPr>
            <w:br w:type="page"/>
          </w:r>
        </w:p>
      </w:sdtContent>
    </w:sdt>
    <w:bookmarkEnd w:id="1" w:displacedByCustomXml="next"/>
    <w:bookmarkEnd w:id="0" w:displacedByCustomXml="next"/>
    <w:bookmarkStart w:id="3" w:name="_Toc62564858" w:displacedByCustomXml="next"/>
    <w:bookmarkStart w:id="4" w:name="_Toc17714433" w:displacedByCustomXml="next"/>
    <w:bookmarkStart w:id="5" w:name="_Toc17714334" w:displacedByCustomXml="next"/>
    <w:bookmarkStart w:id="6" w:name="_Toc480797143" w:displacedByCustomXml="next"/>
    <w:bookmarkStart w:id="7" w:name="_Toc483987179" w:displacedByCustomXml="next"/>
    <w:sdt>
      <w:sdtPr>
        <w:rPr>
          <w:rFonts w:eastAsiaTheme="minorHAnsi" w:cstheme="minorBidi"/>
          <w:b w:val="0"/>
          <w:color w:val="000000" w:themeColor="text1"/>
          <w:sz w:val="22"/>
          <w:szCs w:val="22"/>
        </w:rPr>
        <w:id w:val="1802190533"/>
        <w:docPartObj>
          <w:docPartGallery w:val="Table of Contents"/>
          <w:docPartUnique/>
        </w:docPartObj>
      </w:sdtPr>
      <w:sdtEndPr>
        <w:rPr>
          <w:bCs/>
        </w:rPr>
      </w:sdtEndPr>
      <w:sdtContent>
        <w:p w14:paraId="145B9AF5" w14:textId="2B2D4B4B" w:rsidR="00D226F5" w:rsidRDefault="00CB3815" w:rsidP="007063B1">
          <w:pPr>
            <w:pStyle w:val="NOTINCLUDED"/>
            <w:rPr>
              <w:rFonts w:asciiTheme="minorHAnsi" w:eastAsiaTheme="minorEastAsia" w:hAnsiTheme="minorHAnsi"/>
              <w:noProof/>
              <w:color w:val="auto"/>
              <w:kern w:val="2"/>
              <w:sz w:val="24"/>
              <w:szCs w:val="24"/>
              <w:lang w:eastAsia="en-NZ"/>
              <w14:ligatures w14:val="standardContextual"/>
            </w:rPr>
          </w:pPr>
          <w:r w:rsidRPr="009F63CE">
            <w:t>Contents</w:t>
          </w:r>
          <w:bookmarkEnd w:id="5"/>
          <w:bookmarkEnd w:id="4"/>
          <w:bookmarkEnd w:id="3"/>
          <w:r w:rsidR="00F12103">
            <w:rPr>
              <w:color w:val="293868"/>
            </w:rPr>
            <w:fldChar w:fldCharType="begin"/>
          </w:r>
          <w:r w:rsidR="00F12103">
            <w:instrText xml:space="preserve"> TOC \h \z \t "Te Tāhū Hauora head 1,1,Te Tāhū Hauora head 2,2,Te Tāhū Hauora head 3,3" </w:instrText>
          </w:r>
          <w:r w:rsidR="00F12103">
            <w:rPr>
              <w:color w:val="293868"/>
            </w:rPr>
            <w:fldChar w:fldCharType="separate"/>
          </w:r>
        </w:p>
        <w:p w14:paraId="19545EBB" w14:textId="112A02B8" w:rsidR="00D226F5" w:rsidRDefault="000C3DBC" w:rsidP="007063B1">
          <w:pPr>
            <w:pStyle w:val="TOC2"/>
            <w:rPr>
              <w:rFonts w:asciiTheme="minorHAnsi" w:eastAsiaTheme="minorEastAsia" w:hAnsiTheme="minorHAnsi"/>
              <w:noProof/>
              <w:color w:val="auto"/>
              <w:kern w:val="2"/>
              <w:sz w:val="24"/>
              <w:szCs w:val="24"/>
              <w:lang w:eastAsia="en-NZ"/>
              <w14:ligatures w14:val="standardContextual"/>
            </w:rPr>
          </w:pPr>
          <w:hyperlink w:anchor="_Toc169524773" w:history="1">
            <w:r w:rsidR="00D226F5" w:rsidRPr="00E47DE7">
              <w:rPr>
                <w:rStyle w:val="Hyperlink"/>
                <w:noProof/>
              </w:rPr>
              <w:t>Definitions</w:t>
            </w:r>
            <w:r w:rsidR="00D226F5">
              <w:rPr>
                <w:noProof/>
                <w:webHidden/>
              </w:rPr>
              <w:tab/>
            </w:r>
            <w:r w:rsidR="00D226F5">
              <w:rPr>
                <w:noProof/>
                <w:webHidden/>
              </w:rPr>
              <w:fldChar w:fldCharType="begin"/>
            </w:r>
            <w:r w:rsidR="00D226F5">
              <w:rPr>
                <w:noProof/>
                <w:webHidden/>
              </w:rPr>
              <w:instrText xml:space="preserve"> PAGEREF _Toc169524773 \h </w:instrText>
            </w:r>
            <w:r w:rsidR="00D226F5">
              <w:rPr>
                <w:noProof/>
                <w:webHidden/>
              </w:rPr>
            </w:r>
            <w:r w:rsidR="00D226F5">
              <w:rPr>
                <w:noProof/>
                <w:webHidden/>
              </w:rPr>
              <w:fldChar w:fldCharType="separate"/>
            </w:r>
            <w:r w:rsidR="009010D6">
              <w:rPr>
                <w:noProof/>
                <w:webHidden/>
              </w:rPr>
              <w:t>2</w:t>
            </w:r>
            <w:r w:rsidR="00D226F5">
              <w:rPr>
                <w:noProof/>
                <w:webHidden/>
              </w:rPr>
              <w:fldChar w:fldCharType="end"/>
            </w:r>
          </w:hyperlink>
        </w:p>
        <w:p w14:paraId="54C2E87A" w14:textId="06134948" w:rsidR="00D226F5" w:rsidRDefault="000C3DBC"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74" w:history="1">
            <w:r w:rsidR="00D226F5" w:rsidRPr="00E47DE7">
              <w:rPr>
                <w:rStyle w:val="Hyperlink"/>
                <w:noProof/>
              </w:rPr>
              <w:t>Mortality definitions</w:t>
            </w:r>
            <w:r w:rsidR="00D226F5">
              <w:rPr>
                <w:noProof/>
                <w:webHidden/>
              </w:rPr>
              <w:tab/>
            </w:r>
            <w:r w:rsidR="00D226F5">
              <w:rPr>
                <w:noProof/>
                <w:webHidden/>
              </w:rPr>
              <w:fldChar w:fldCharType="begin"/>
            </w:r>
            <w:r w:rsidR="00D226F5">
              <w:rPr>
                <w:noProof/>
                <w:webHidden/>
              </w:rPr>
              <w:instrText xml:space="preserve"> PAGEREF _Toc169524774 \h </w:instrText>
            </w:r>
            <w:r w:rsidR="00D226F5">
              <w:rPr>
                <w:noProof/>
                <w:webHidden/>
              </w:rPr>
            </w:r>
            <w:r w:rsidR="00D226F5">
              <w:rPr>
                <w:noProof/>
                <w:webHidden/>
              </w:rPr>
              <w:fldChar w:fldCharType="separate"/>
            </w:r>
            <w:r w:rsidR="009010D6">
              <w:rPr>
                <w:noProof/>
                <w:webHidden/>
              </w:rPr>
              <w:t>2</w:t>
            </w:r>
            <w:r w:rsidR="00D226F5">
              <w:rPr>
                <w:noProof/>
                <w:webHidden/>
              </w:rPr>
              <w:fldChar w:fldCharType="end"/>
            </w:r>
          </w:hyperlink>
        </w:p>
        <w:p w14:paraId="545D612B" w14:textId="423E517C" w:rsidR="00D226F5" w:rsidRDefault="000C3DBC"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75" w:history="1">
            <w:r w:rsidR="00D226F5" w:rsidRPr="00E47DE7">
              <w:rPr>
                <w:rStyle w:val="Hyperlink"/>
                <w:noProof/>
              </w:rPr>
              <w:t>Other definitions</w:t>
            </w:r>
            <w:r w:rsidR="00D226F5">
              <w:rPr>
                <w:noProof/>
                <w:webHidden/>
              </w:rPr>
              <w:tab/>
            </w:r>
            <w:r w:rsidR="00D226F5">
              <w:rPr>
                <w:noProof/>
                <w:webHidden/>
              </w:rPr>
              <w:fldChar w:fldCharType="begin"/>
            </w:r>
            <w:r w:rsidR="00D226F5">
              <w:rPr>
                <w:noProof/>
                <w:webHidden/>
              </w:rPr>
              <w:instrText xml:space="preserve"> PAGEREF _Toc169524775 \h </w:instrText>
            </w:r>
            <w:r w:rsidR="00D226F5">
              <w:rPr>
                <w:noProof/>
                <w:webHidden/>
              </w:rPr>
            </w:r>
            <w:r w:rsidR="00D226F5">
              <w:rPr>
                <w:noProof/>
                <w:webHidden/>
              </w:rPr>
              <w:fldChar w:fldCharType="separate"/>
            </w:r>
            <w:r w:rsidR="009010D6">
              <w:rPr>
                <w:noProof/>
                <w:webHidden/>
              </w:rPr>
              <w:t>5</w:t>
            </w:r>
            <w:r w:rsidR="00D226F5">
              <w:rPr>
                <w:noProof/>
                <w:webHidden/>
              </w:rPr>
              <w:fldChar w:fldCharType="end"/>
            </w:r>
          </w:hyperlink>
        </w:p>
        <w:p w14:paraId="1D658817" w14:textId="6BB9FC57" w:rsidR="00D226F5" w:rsidRDefault="009010D6" w:rsidP="007063B1">
          <w:pPr>
            <w:pStyle w:val="TOC2"/>
            <w:rPr>
              <w:rFonts w:asciiTheme="minorHAnsi" w:eastAsiaTheme="minorEastAsia" w:hAnsiTheme="minorHAnsi"/>
              <w:noProof/>
              <w:color w:val="auto"/>
              <w:kern w:val="2"/>
              <w:sz w:val="24"/>
              <w:szCs w:val="24"/>
              <w:lang w:eastAsia="en-NZ"/>
              <w14:ligatures w14:val="standardContextual"/>
            </w:rPr>
          </w:pPr>
          <w:hyperlink w:anchor="_Toc169524776" w:history="1">
            <w:r w:rsidR="00D226F5" w:rsidRPr="00E47DE7">
              <w:rPr>
                <w:rStyle w:val="Hyperlink"/>
                <w:noProof/>
              </w:rPr>
              <w:t>Numerator data</w:t>
            </w:r>
            <w:r w:rsidR="00D226F5">
              <w:rPr>
                <w:noProof/>
                <w:webHidden/>
              </w:rPr>
              <w:tab/>
            </w:r>
            <w:r w:rsidR="00D226F5">
              <w:rPr>
                <w:noProof/>
                <w:webHidden/>
              </w:rPr>
              <w:fldChar w:fldCharType="begin"/>
            </w:r>
            <w:r w:rsidR="00D226F5">
              <w:rPr>
                <w:noProof/>
                <w:webHidden/>
              </w:rPr>
              <w:instrText xml:space="preserve"> PAGEREF _Toc169524776 \h </w:instrText>
            </w:r>
            <w:r w:rsidR="00D226F5">
              <w:rPr>
                <w:noProof/>
                <w:webHidden/>
              </w:rPr>
            </w:r>
            <w:r w:rsidR="00D226F5">
              <w:rPr>
                <w:noProof/>
                <w:webHidden/>
              </w:rPr>
              <w:fldChar w:fldCharType="separate"/>
            </w:r>
            <w:r>
              <w:rPr>
                <w:noProof/>
                <w:webHidden/>
              </w:rPr>
              <w:t>10</w:t>
            </w:r>
            <w:r w:rsidR="00D226F5">
              <w:rPr>
                <w:noProof/>
                <w:webHidden/>
              </w:rPr>
              <w:fldChar w:fldCharType="end"/>
            </w:r>
          </w:hyperlink>
        </w:p>
        <w:p w14:paraId="5B22892F" w14:textId="59128D44" w:rsidR="00D226F5" w:rsidRDefault="009010D6"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77" w:history="1">
            <w:r w:rsidR="00D226F5" w:rsidRPr="00E47DE7">
              <w:rPr>
                <w:rStyle w:val="Hyperlink"/>
                <w:noProof/>
              </w:rPr>
              <w:t>Case ascertainment and data collection</w:t>
            </w:r>
            <w:r w:rsidR="00D226F5">
              <w:rPr>
                <w:noProof/>
                <w:webHidden/>
              </w:rPr>
              <w:tab/>
            </w:r>
            <w:r w:rsidR="00D226F5">
              <w:rPr>
                <w:noProof/>
                <w:webHidden/>
              </w:rPr>
              <w:fldChar w:fldCharType="begin"/>
            </w:r>
            <w:r w:rsidR="00D226F5">
              <w:rPr>
                <w:noProof/>
                <w:webHidden/>
              </w:rPr>
              <w:instrText xml:space="preserve"> PAGEREF _Toc169524777 \h </w:instrText>
            </w:r>
            <w:r w:rsidR="00D226F5">
              <w:rPr>
                <w:noProof/>
                <w:webHidden/>
              </w:rPr>
            </w:r>
            <w:r w:rsidR="00D226F5">
              <w:rPr>
                <w:noProof/>
                <w:webHidden/>
              </w:rPr>
              <w:fldChar w:fldCharType="separate"/>
            </w:r>
            <w:r>
              <w:rPr>
                <w:noProof/>
                <w:webHidden/>
              </w:rPr>
              <w:t>10</w:t>
            </w:r>
            <w:r w:rsidR="00D226F5">
              <w:rPr>
                <w:noProof/>
                <w:webHidden/>
              </w:rPr>
              <w:fldChar w:fldCharType="end"/>
            </w:r>
          </w:hyperlink>
        </w:p>
        <w:p w14:paraId="56F5BE11" w14:textId="37958EE6" w:rsidR="00D226F5" w:rsidRDefault="000C3DBC"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78" w:history="1">
            <w:r w:rsidR="00D226F5" w:rsidRPr="00E47DE7">
              <w:rPr>
                <w:rStyle w:val="Hyperlink"/>
                <w:noProof/>
              </w:rPr>
              <w:t>COVID-19 data</w:t>
            </w:r>
            <w:r w:rsidR="00D226F5">
              <w:rPr>
                <w:noProof/>
                <w:webHidden/>
              </w:rPr>
              <w:tab/>
            </w:r>
            <w:r w:rsidR="00D226F5">
              <w:rPr>
                <w:noProof/>
                <w:webHidden/>
              </w:rPr>
              <w:fldChar w:fldCharType="begin"/>
            </w:r>
            <w:r w:rsidR="00D226F5">
              <w:rPr>
                <w:noProof/>
                <w:webHidden/>
              </w:rPr>
              <w:instrText xml:space="preserve"> PAGEREF _Toc169524778 \h </w:instrText>
            </w:r>
            <w:r w:rsidR="00D226F5">
              <w:rPr>
                <w:noProof/>
                <w:webHidden/>
              </w:rPr>
            </w:r>
            <w:r w:rsidR="00D226F5">
              <w:rPr>
                <w:noProof/>
                <w:webHidden/>
              </w:rPr>
              <w:fldChar w:fldCharType="separate"/>
            </w:r>
            <w:r w:rsidR="009010D6">
              <w:rPr>
                <w:noProof/>
                <w:webHidden/>
              </w:rPr>
              <w:t>12</w:t>
            </w:r>
            <w:r w:rsidR="00D226F5">
              <w:rPr>
                <w:noProof/>
                <w:webHidden/>
              </w:rPr>
              <w:fldChar w:fldCharType="end"/>
            </w:r>
          </w:hyperlink>
        </w:p>
        <w:p w14:paraId="2C8984E4" w14:textId="37C246B1" w:rsidR="00D226F5" w:rsidRDefault="009010D6" w:rsidP="007063B1">
          <w:pPr>
            <w:pStyle w:val="TOC2"/>
            <w:rPr>
              <w:rFonts w:asciiTheme="minorHAnsi" w:eastAsiaTheme="minorEastAsia" w:hAnsiTheme="minorHAnsi"/>
              <w:noProof/>
              <w:color w:val="auto"/>
              <w:kern w:val="2"/>
              <w:sz w:val="24"/>
              <w:szCs w:val="24"/>
              <w:lang w:eastAsia="en-NZ"/>
              <w14:ligatures w14:val="standardContextual"/>
            </w:rPr>
          </w:pPr>
          <w:hyperlink w:anchor="_Toc169524779" w:history="1">
            <w:r w:rsidR="00D226F5" w:rsidRPr="00E47DE7">
              <w:rPr>
                <w:rStyle w:val="Hyperlink"/>
                <w:noProof/>
              </w:rPr>
              <w:t>Denominator data</w:t>
            </w:r>
            <w:r w:rsidR="00D226F5">
              <w:rPr>
                <w:noProof/>
                <w:webHidden/>
              </w:rPr>
              <w:tab/>
            </w:r>
            <w:r w:rsidR="00D226F5">
              <w:rPr>
                <w:noProof/>
                <w:webHidden/>
              </w:rPr>
              <w:fldChar w:fldCharType="begin"/>
            </w:r>
            <w:r w:rsidR="00D226F5">
              <w:rPr>
                <w:noProof/>
                <w:webHidden/>
              </w:rPr>
              <w:instrText xml:space="preserve"> PAGEREF _Toc169524779 \h </w:instrText>
            </w:r>
            <w:r w:rsidR="00D226F5">
              <w:rPr>
                <w:noProof/>
                <w:webHidden/>
              </w:rPr>
            </w:r>
            <w:r w:rsidR="00D226F5">
              <w:rPr>
                <w:noProof/>
                <w:webHidden/>
              </w:rPr>
              <w:fldChar w:fldCharType="separate"/>
            </w:r>
            <w:r>
              <w:rPr>
                <w:noProof/>
                <w:webHidden/>
              </w:rPr>
              <w:t>13</w:t>
            </w:r>
            <w:r w:rsidR="00D226F5">
              <w:rPr>
                <w:noProof/>
                <w:webHidden/>
              </w:rPr>
              <w:fldChar w:fldCharType="end"/>
            </w:r>
          </w:hyperlink>
        </w:p>
        <w:p w14:paraId="32BBFC31" w14:textId="331EB7BD" w:rsidR="00D226F5" w:rsidRDefault="009010D6"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80" w:history="1">
            <w:r w:rsidR="00D226F5" w:rsidRPr="00E47DE7">
              <w:rPr>
                <w:rStyle w:val="Hyperlink"/>
                <w:noProof/>
              </w:rPr>
              <w:t>New Zealand National Maternity Collection</w:t>
            </w:r>
            <w:r w:rsidR="00D226F5">
              <w:rPr>
                <w:noProof/>
                <w:webHidden/>
              </w:rPr>
              <w:tab/>
            </w:r>
            <w:r w:rsidR="00D226F5">
              <w:rPr>
                <w:noProof/>
                <w:webHidden/>
              </w:rPr>
              <w:fldChar w:fldCharType="begin"/>
            </w:r>
            <w:r w:rsidR="00D226F5">
              <w:rPr>
                <w:noProof/>
                <w:webHidden/>
              </w:rPr>
              <w:instrText xml:space="preserve"> PAGEREF _Toc169524780 \h </w:instrText>
            </w:r>
            <w:r w:rsidR="00D226F5">
              <w:rPr>
                <w:noProof/>
                <w:webHidden/>
              </w:rPr>
            </w:r>
            <w:r w:rsidR="00D226F5">
              <w:rPr>
                <w:noProof/>
                <w:webHidden/>
              </w:rPr>
              <w:fldChar w:fldCharType="separate"/>
            </w:r>
            <w:r>
              <w:rPr>
                <w:noProof/>
                <w:webHidden/>
              </w:rPr>
              <w:t>13</w:t>
            </w:r>
            <w:r w:rsidR="00D226F5">
              <w:rPr>
                <w:noProof/>
                <w:webHidden/>
              </w:rPr>
              <w:fldChar w:fldCharType="end"/>
            </w:r>
          </w:hyperlink>
        </w:p>
        <w:p w14:paraId="70C6A3B6" w14:textId="3C7B936B" w:rsidR="00D226F5" w:rsidRDefault="009010D6" w:rsidP="007063B1">
          <w:pPr>
            <w:pStyle w:val="TOC2"/>
            <w:rPr>
              <w:rFonts w:asciiTheme="minorHAnsi" w:eastAsiaTheme="minorEastAsia" w:hAnsiTheme="minorHAnsi"/>
              <w:noProof/>
              <w:color w:val="auto"/>
              <w:kern w:val="2"/>
              <w:sz w:val="24"/>
              <w:szCs w:val="24"/>
              <w:lang w:eastAsia="en-NZ"/>
              <w14:ligatures w14:val="standardContextual"/>
            </w:rPr>
          </w:pPr>
          <w:hyperlink w:anchor="_Toc169524781" w:history="1">
            <w:r w:rsidR="00D226F5" w:rsidRPr="00E47DE7">
              <w:rPr>
                <w:rStyle w:val="Hyperlink"/>
                <w:noProof/>
              </w:rPr>
              <w:t>Data analysis</w:t>
            </w:r>
            <w:r w:rsidR="00D226F5">
              <w:rPr>
                <w:noProof/>
                <w:webHidden/>
              </w:rPr>
              <w:tab/>
            </w:r>
            <w:r w:rsidR="00D226F5">
              <w:rPr>
                <w:noProof/>
                <w:webHidden/>
              </w:rPr>
              <w:fldChar w:fldCharType="begin"/>
            </w:r>
            <w:r w:rsidR="00D226F5">
              <w:rPr>
                <w:noProof/>
                <w:webHidden/>
              </w:rPr>
              <w:instrText xml:space="preserve"> PAGEREF _Toc169524781 \h </w:instrText>
            </w:r>
            <w:r w:rsidR="00D226F5">
              <w:rPr>
                <w:noProof/>
                <w:webHidden/>
              </w:rPr>
            </w:r>
            <w:r w:rsidR="00D226F5">
              <w:rPr>
                <w:noProof/>
                <w:webHidden/>
              </w:rPr>
              <w:fldChar w:fldCharType="separate"/>
            </w:r>
            <w:r>
              <w:rPr>
                <w:noProof/>
                <w:webHidden/>
              </w:rPr>
              <w:t>17</w:t>
            </w:r>
            <w:r w:rsidR="00D226F5">
              <w:rPr>
                <w:noProof/>
                <w:webHidden/>
              </w:rPr>
              <w:fldChar w:fldCharType="end"/>
            </w:r>
          </w:hyperlink>
        </w:p>
        <w:p w14:paraId="0F837B00" w14:textId="6BD34DD4" w:rsidR="00D226F5" w:rsidRDefault="009010D6"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82" w:history="1">
            <w:r w:rsidR="00D226F5" w:rsidRPr="00E47DE7">
              <w:rPr>
                <w:rStyle w:val="Hyperlink"/>
                <w:noProof/>
              </w:rPr>
              <w:t>Percentages</w:t>
            </w:r>
            <w:r w:rsidR="00D226F5">
              <w:rPr>
                <w:noProof/>
                <w:webHidden/>
              </w:rPr>
              <w:tab/>
            </w:r>
            <w:r w:rsidR="00D226F5">
              <w:rPr>
                <w:noProof/>
                <w:webHidden/>
              </w:rPr>
              <w:fldChar w:fldCharType="begin"/>
            </w:r>
            <w:r w:rsidR="00D226F5">
              <w:rPr>
                <w:noProof/>
                <w:webHidden/>
              </w:rPr>
              <w:instrText xml:space="preserve"> PAGEREF _Toc169524782 \h </w:instrText>
            </w:r>
            <w:r w:rsidR="00D226F5">
              <w:rPr>
                <w:noProof/>
                <w:webHidden/>
              </w:rPr>
            </w:r>
            <w:r w:rsidR="00D226F5">
              <w:rPr>
                <w:noProof/>
                <w:webHidden/>
              </w:rPr>
              <w:fldChar w:fldCharType="separate"/>
            </w:r>
            <w:r>
              <w:rPr>
                <w:noProof/>
                <w:webHidden/>
              </w:rPr>
              <w:t>17</w:t>
            </w:r>
            <w:r w:rsidR="00D226F5">
              <w:rPr>
                <w:noProof/>
                <w:webHidden/>
              </w:rPr>
              <w:fldChar w:fldCharType="end"/>
            </w:r>
          </w:hyperlink>
        </w:p>
        <w:p w14:paraId="42126878" w14:textId="245DB5AE" w:rsidR="00D226F5" w:rsidRDefault="009010D6"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83" w:history="1">
            <w:r w:rsidR="00D226F5" w:rsidRPr="00E47DE7">
              <w:rPr>
                <w:rStyle w:val="Hyperlink"/>
                <w:noProof/>
              </w:rPr>
              <w:t>Confidence intervals</w:t>
            </w:r>
            <w:r w:rsidR="00D226F5">
              <w:rPr>
                <w:noProof/>
                <w:webHidden/>
              </w:rPr>
              <w:tab/>
            </w:r>
            <w:r w:rsidR="00D226F5">
              <w:rPr>
                <w:noProof/>
                <w:webHidden/>
              </w:rPr>
              <w:fldChar w:fldCharType="begin"/>
            </w:r>
            <w:r w:rsidR="00D226F5">
              <w:rPr>
                <w:noProof/>
                <w:webHidden/>
              </w:rPr>
              <w:instrText xml:space="preserve"> PAGEREF _Toc169524783 \h </w:instrText>
            </w:r>
            <w:r w:rsidR="00D226F5">
              <w:rPr>
                <w:noProof/>
                <w:webHidden/>
              </w:rPr>
            </w:r>
            <w:r w:rsidR="00D226F5">
              <w:rPr>
                <w:noProof/>
                <w:webHidden/>
              </w:rPr>
              <w:fldChar w:fldCharType="separate"/>
            </w:r>
            <w:r>
              <w:rPr>
                <w:noProof/>
                <w:webHidden/>
              </w:rPr>
              <w:t>17</w:t>
            </w:r>
            <w:r w:rsidR="00D226F5">
              <w:rPr>
                <w:noProof/>
                <w:webHidden/>
              </w:rPr>
              <w:fldChar w:fldCharType="end"/>
            </w:r>
          </w:hyperlink>
        </w:p>
        <w:p w14:paraId="573EA9A5" w14:textId="3A0F8AD6" w:rsidR="00D226F5" w:rsidRDefault="009010D6"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84" w:history="1">
            <w:r w:rsidR="00D226F5" w:rsidRPr="00E47DE7">
              <w:rPr>
                <w:rStyle w:val="Hyperlink"/>
                <w:noProof/>
              </w:rPr>
              <w:t>Rate ratio</w:t>
            </w:r>
            <w:r w:rsidR="00D226F5">
              <w:rPr>
                <w:noProof/>
                <w:webHidden/>
              </w:rPr>
              <w:tab/>
            </w:r>
            <w:r w:rsidR="00D226F5">
              <w:rPr>
                <w:noProof/>
                <w:webHidden/>
              </w:rPr>
              <w:fldChar w:fldCharType="begin"/>
            </w:r>
            <w:r w:rsidR="00D226F5">
              <w:rPr>
                <w:noProof/>
                <w:webHidden/>
              </w:rPr>
              <w:instrText xml:space="preserve"> PAGEREF _Toc169524784 \h </w:instrText>
            </w:r>
            <w:r w:rsidR="00D226F5">
              <w:rPr>
                <w:noProof/>
                <w:webHidden/>
              </w:rPr>
            </w:r>
            <w:r w:rsidR="00D226F5">
              <w:rPr>
                <w:noProof/>
                <w:webHidden/>
              </w:rPr>
              <w:fldChar w:fldCharType="separate"/>
            </w:r>
            <w:r>
              <w:rPr>
                <w:noProof/>
                <w:webHidden/>
              </w:rPr>
              <w:t>17</w:t>
            </w:r>
            <w:r w:rsidR="00D226F5">
              <w:rPr>
                <w:noProof/>
                <w:webHidden/>
              </w:rPr>
              <w:fldChar w:fldCharType="end"/>
            </w:r>
          </w:hyperlink>
        </w:p>
        <w:p w14:paraId="19FF07EB" w14:textId="4D5ECB76" w:rsidR="00D226F5" w:rsidRDefault="000C3DBC"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85" w:history="1">
            <w:r w:rsidR="00D226F5" w:rsidRPr="00E47DE7">
              <w:rPr>
                <w:rStyle w:val="Hyperlink"/>
                <w:noProof/>
              </w:rPr>
              <w:t>Odds ratio</w:t>
            </w:r>
            <w:r w:rsidR="00D226F5">
              <w:rPr>
                <w:noProof/>
                <w:webHidden/>
              </w:rPr>
              <w:tab/>
            </w:r>
            <w:r w:rsidR="00D226F5">
              <w:rPr>
                <w:noProof/>
                <w:webHidden/>
              </w:rPr>
              <w:fldChar w:fldCharType="begin"/>
            </w:r>
            <w:r w:rsidR="00D226F5">
              <w:rPr>
                <w:noProof/>
                <w:webHidden/>
              </w:rPr>
              <w:instrText xml:space="preserve"> PAGEREF _Toc169524785 \h </w:instrText>
            </w:r>
            <w:r w:rsidR="00D226F5">
              <w:rPr>
                <w:noProof/>
                <w:webHidden/>
              </w:rPr>
            </w:r>
            <w:r w:rsidR="00D226F5">
              <w:rPr>
                <w:noProof/>
                <w:webHidden/>
              </w:rPr>
              <w:fldChar w:fldCharType="separate"/>
            </w:r>
            <w:r w:rsidR="009010D6">
              <w:rPr>
                <w:noProof/>
                <w:webHidden/>
              </w:rPr>
              <w:t>17</w:t>
            </w:r>
            <w:r w:rsidR="00D226F5">
              <w:rPr>
                <w:noProof/>
                <w:webHidden/>
              </w:rPr>
              <w:fldChar w:fldCharType="end"/>
            </w:r>
          </w:hyperlink>
        </w:p>
        <w:p w14:paraId="67DF8834" w14:textId="4C45E4F0" w:rsidR="00D226F5" w:rsidRDefault="000C3DBC"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86" w:history="1">
            <w:r w:rsidR="00D226F5" w:rsidRPr="00E47DE7">
              <w:rPr>
                <w:rStyle w:val="Hyperlink"/>
                <w:noProof/>
              </w:rPr>
              <w:t>Statistical testing</w:t>
            </w:r>
            <w:r w:rsidR="00D226F5">
              <w:rPr>
                <w:noProof/>
                <w:webHidden/>
              </w:rPr>
              <w:tab/>
            </w:r>
            <w:r w:rsidR="00D226F5">
              <w:rPr>
                <w:noProof/>
                <w:webHidden/>
              </w:rPr>
              <w:fldChar w:fldCharType="begin"/>
            </w:r>
            <w:r w:rsidR="00D226F5">
              <w:rPr>
                <w:noProof/>
                <w:webHidden/>
              </w:rPr>
              <w:instrText xml:space="preserve"> PAGEREF _Toc169524786 \h </w:instrText>
            </w:r>
            <w:r w:rsidR="00D226F5">
              <w:rPr>
                <w:noProof/>
                <w:webHidden/>
              </w:rPr>
            </w:r>
            <w:r w:rsidR="00D226F5">
              <w:rPr>
                <w:noProof/>
                <w:webHidden/>
              </w:rPr>
              <w:fldChar w:fldCharType="separate"/>
            </w:r>
            <w:r w:rsidR="009010D6">
              <w:rPr>
                <w:noProof/>
                <w:webHidden/>
              </w:rPr>
              <w:t>17</w:t>
            </w:r>
            <w:r w:rsidR="00D226F5">
              <w:rPr>
                <w:noProof/>
                <w:webHidden/>
              </w:rPr>
              <w:fldChar w:fldCharType="end"/>
            </w:r>
          </w:hyperlink>
        </w:p>
        <w:p w14:paraId="057917D3" w14:textId="014DF72F" w:rsidR="00D226F5" w:rsidRDefault="009010D6"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87" w:history="1">
            <w:r w:rsidR="00D226F5" w:rsidRPr="00E47DE7">
              <w:rPr>
                <w:rStyle w:val="Hyperlink"/>
                <w:noProof/>
              </w:rPr>
              <w:t>Missing data</w:t>
            </w:r>
            <w:r w:rsidR="00D226F5">
              <w:rPr>
                <w:noProof/>
                <w:webHidden/>
              </w:rPr>
              <w:tab/>
            </w:r>
            <w:r w:rsidR="00D226F5">
              <w:rPr>
                <w:noProof/>
                <w:webHidden/>
              </w:rPr>
              <w:fldChar w:fldCharType="begin"/>
            </w:r>
            <w:r w:rsidR="00D226F5">
              <w:rPr>
                <w:noProof/>
                <w:webHidden/>
              </w:rPr>
              <w:instrText xml:space="preserve"> PAGEREF _Toc169524787 \h </w:instrText>
            </w:r>
            <w:r w:rsidR="00D226F5">
              <w:rPr>
                <w:noProof/>
                <w:webHidden/>
              </w:rPr>
            </w:r>
            <w:r w:rsidR="00D226F5">
              <w:rPr>
                <w:noProof/>
                <w:webHidden/>
              </w:rPr>
              <w:fldChar w:fldCharType="separate"/>
            </w:r>
            <w:r>
              <w:rPr>
                <w:noProof/>
                <w:webHidden/>
              </w:rPr>
              <w:t>18</w:t>
            </w:r>
            <w:r w:rsidR="00D226F5">
              <w:rPr>
                <w:noProof/>
                <w:webHidden/>
              </w:rPr>
              <w:fldChar w:fldCharType="end"/>
            </w:r>
          </w:hyperlink>
        </w:p>
        <w:p w14:paraId="1193A078" w14:textId="27106579" w:rsidR="00D226F5" w:rsidRDefault="009010D6"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88" w:history="1">
            <w:r w:rsidR="00D226F5" w:rsidRPr="00E47DE7">
              <w:rPr>
                <w:rStyle w:val="Hyperlink"/>
                <w:noProof/>
              </w:rPr>
              <w:t>Multiple-year data</w:t>
            </w:r>
            <w:r w:rsidR="00D226F5">
              <w:rPr>
                <w:noProof/>
                <w:webHidden/>
              </w:rPr>
              <w:tab/>
            </w:r>
            <w:r w:rsidR="00D226F5">
              <w:rPr>
                <w:noProof/>
                <w:webHidden/>
              </w:rPr>
              <w:fldChar w:fldCharType="begin"/>
            </w:r>
            <w:r w:rsidR="00D226F5">
              <w:rPr>
                <w:noProof/>
                <w:webHidden/>
              </w:rPr>
              <w:instrText xml:space="preserve"> PAGEREF _Toc169524788 \h </w:instrText>
            </w:r>
            <w:r w:rsidR="00D226F5">
              <w:rPr>
                <w:noProof/>
                <w:webHidden/>
              </w:rPr>
            </w:r>
            <w:r w:rsidR="00D226F5">
              <w:rPr>
                <w:noProof/>
                <w:webHidden/>
              </w:rPr>
              <w:fldChar w:fldCharType="separate"/>
            </w:r>
            <w:r>
              <w:rPr>
                <w:noProof/>
                <w:webHidden/>
              </w:rPr>
              <w:t>18</w:t>
            </w:r>
            <w:r w:rsidR="00D226F5">
              <w:rPr>
                <w:noProof/>
                <w:webHidden/>
              </w:rPr>
              <w:fldChar w:fldCharType="end"/>
            </w:r>
          </w:hyperlink>
        </w:p>
        <w:p w14:paraId="677FD284" w14:textId="3B118A8E" w:rsidR="00D226F5" w:rsidRDefault="009010D6"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89" w:history="1">
            <w:r w:rsidR="00D226F5" w:rsidRPr="00E47DE7">
              <w:rPr>
                <w:rStyle w:val="Hyperlink"/>
                <w:noProof/>
              </w:rPr>
              <w:t>National rates</w:t>
            </w:r>
            <w:r w:rsidR="00D226F5">
              <w:rPr>
                <w:noProof/>
                <w:webHidden/>
              </w:rPr>
              <w:tab/>
            </w:r>
            <w:r w:rsidR="00D226F5">
              <w:rPr>
                <w:noProof/>
                <w:webHidden/>
              </w:rPr>
              <w:fldChar w:fldCharType="begin"/>
            </w:r>
            <w:r w:rsidR="00D226F5">
              <w:rPr>
                <w:noProof/>
                <w:webHidden/>
              </w:rPr>
              <w:instrText xml:space="preserve"> PAGEREF _Toc169524789 \h </w:instrText>
            </w:r>
            <w:r w:rsidR="00D226F5">
              <w:rPr>
                <w:noProof/>
                <w:webHidden/>
              </w:rPr>
            </w:r>
            <w:r w:rsidR="00D226F5">
              <w:rPr>
                <w:noProof/>
                <w:webHidden/>
              </w:rPr>
              <w:fldChar w:fldCharType="separate"/>
            </w:r>
            <w:r>
              <w:rPr>
                <w:noProof/>
                <w:webHidden/>
              </w:rPr>
              <w:t>18</w:t>
            </w:r>
            <w:r w:rsidR="00D226F5">
              <w:rPr>
                <w:noProof/>
                <w:webHidden/>
              </w:rPr>
              <w:fldChar w:fldCharType="end"/>
            </w:r>
          </w:hyperlink>
        </w:p>
        <w:p w14:paraId="2DBBF143" w14:textId="2AFD4663" w:rsidR="00D226F5" w:rsidRDefault="009010D6" w:rsidP="007063B1">
          <w:pPr>
            <w:pStyle w:val="TOC3"/>
            <w:rPr>
              <w:rFonts w:asciiTheme="minorHAnsi" w:eastAsiaTheme="minorEastAsia" w:hAnsiTheme="minorHAnsi"/>
              <w:noProof/>
              <w:color w:val="auto"/>
              <w:kern w:val="2"/>
              <w:sz w:val="24"/>
              <w:szCs w:val="24"/>
              <w:lang w:eastAsia="en-NZ"/>
              <w14:ligatures w14:val="standardContextual"/>
            </w:rPr>
          </w:pPr>
          <w:hyperlink w:anchor="_Toc169524790" w:history="1">
            <w:r w:rsidR="00D226F5" w:rsidRPr="00E47DE7">
              <w:rPr>
                <w:rStyle w:val="Hyperlink"/>
                <w:noProof/>
              </w:rPr>
              <w:t>Management of late notifications</w:t>
            </w:r>
            <w:r w:rsidR="00D226F5">
              <w:rPr>
                <w:noProof/>
                <w:webHidden/>
              </w:rPr>
              <w:tab/>
            </w:r>
            <w:r w:rsidR="00D226F5">
              <w:rPr>
                <w:noProof/>
                <w:webHidden/>
              </w:rPr>
              <w:fldChar w:fldCharType="begin"/>
            </w:r>
            <w:r w:rsidR="00D226F5">
              <w:rPr>
                <w:noProof/>
                <w:webHidden/>
              </w:rPr>
              <w:instrText xml:space="preserve"> PAGEREF _Toc169524790 \h </w:instrText>
            </w:r>
            <w:r w:rsidR="00D226F5">
              <w:rPr>
                <w:noProof/>
                <w:webHidden/>
              </w:rPr>
            </w:r>
            <w:r w:rsidR="00D226F5">
              <w:rPr>
                <w:noProof/>
                <w:webHidden/>
              </w:rPr>
              <w:fldChar w:fldCharType="separate"/>
            </w:r>
            <w:r>
              <w:rPr>
                <w:noProof/>
                <w:webHidden/>
              </w:rPr>
              <w:t>18</w:t>
            </w:r>
            <w:r w:rsidR="00D226F5">
              <w:rPr>
                <w:noProof/>
                <w:webHidden/>
              </w:rPr>
              <w:fldChar w:fldCharType="end"/>
            </w:r>
          </w:hyperlink>
        </w:p>
        <w:p w14:paraId="1E2372FB" w14:textId="51820933" w:rsidR="00D226F5" w:rsidRDefault="009010D6">
          <w:pPr>
            <w:pStyle w:val="TOC1"/>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69524791" w:history="1">
            <w:r w:rsidR="00D226F5" w:rsidRPr="00E47DE7">
              <w:rPr>
                <w:rStyle w:val="Hyperlink"/>
                <w:noProof/>
              </w:rPr>
              <w:t>List of abbreviations</w:t>
            </w:r>
            <w:r w:rsidR="00D226F5">
              <w:rPr>
                <w:noProof/>
                <w:webHidden/>
              </w:rPr>
              <w:tab/>
            </w:r>
            <w:r w:rsidR="00D226F5">
              <w:rPr>
                <w:noProof/>
                <w:webHidden/>
              </w:rPr>
              <w:fldChar w:fldCharType="begin"/>
            </w:r>
            <w:r w:rsidR="00D226F5">
              <w:rPr>
                <w:noProof/>
                <w:webHidden/>
              </w:rPr>
              <w:instrText xml:space="preserve"> PAGEREF _Toc169524791 \h </w:instrText>
            </w:r>
            <w:r w:rsidR="00D226F5">
              <w:rPr>
                <w:noProof/>
                <w:webHidden/>
              </w:rPr>
            </w:r>
            <w:r w:rsidR="00D226F5">
              <w:rPr>
                <w:noProof/>
                <w:webHidden/>
              </w:rPr>
              <w:fldChar w:fldCharType="separate"/>
            </w:r>
            <w:r>
              <w:rPr>
                <w:noProof/>
                <w:webHidden/>
              </w:rPr>
              <w:t>19</w:t>
            </w:r>
            <w:r w:rsidR="00D226F5">
              <w:rPr>
                <w:noProof/>
                <w:webHidden/>
              </w:rPr>
              <w:fldChar w:fldCharType="end"/>
            </w:r>
          </w:hyperlink>
        </w:p>
        <w:p w14:paraId="50FEC047" w14:textId="04A7BD14" w:rsidR="00D226F5" w:rsidRDefault="009010D6">
          <w:pPr>
            <w:pStyle w:val="TOC1"/>
            <w:tabs>
              <w:tab w:val="right" w:leader="dot" w:pos="9016"/>
            </w:tabs>
            <w:rPr>
              <w:rFonts w:asciiTheme="minorHAnsi" w:eastAsiaTheme="minorEastAsia" w:hAnsiTheme="minorHAnsi"/>
              <w:noProof/>
              <w:color w:val="auto"/>
              <w:kern w:val="2"/>
              <w:sz w:val="24"/>
              <w:szCs w:val="24"/>
              <w:lang w:eastAsia="en-NZ"/>
              <w14:ligatures w14:val="standardContextual"/>
            </w:rPr>
          </w:pPr>
          <w:hyperlink w:anchor="_Toc169524792" w:history="1">
            <w:r w:rsidR="00D226F5" w:rsidRPr="00E47DE7">
              <w:rPr>
                <w:rStyle w:val="Hyperlink"/>
                <w:noProof/>
              </w:rPr>
              <w:t>References</w:t>
            </w:r>
            <w:r w:rsidR="00D226F5">
              <w:rPr>
                <w:noProof/>
                <w:webHidden/>
              </w:rPr>
              <w:tab/>
            </w:r>
            <w:r w:rsidR="00D226F5">
              <w:rPr>
                <w:noProof/>
                <w:webHidden/>
              </w:rPr>
              <w:fldChar w:fldCharType="begin"/>
            </w:r>
            <w:r w:rsidR="00D226F5">
              <w:rPr>
                <w:noProof/>
                <w:webHidden/>
              </w:rPr>
              <w:instrText xml:space="preserve"> PAGEREF _Toc169524792 \h </w:instrText>
            </w:r>
            <w:r w:rsidR="00D226F5">
              <w:rPr>
                <w:noProof/>
                <w:webHidden/>
              </w:rPr>
            </w:r>
            <w:r w:rsidR="00D226F5">
              <w:rPr>
                <w:noProof/>
                <w:webHidden/>
              </w:rPr>
              <w:fldChar w:fldCharType="separate"/>
            </w:r>
            <w:r>
              <w:rPr>
                <w:noProof/>
                <w:webHidden/>
              </w:rPr>
              <w:t>20</w:t>
            </w:r>
            <w:r w:rsidR="00D226F5">
              <w:rPr>
                <w:noProof/>
                <w:webHidden/>
              </w:rPr>
              <w:fldChar w:fldCharType="end"/>
            </w:r>
          </w:hyperlink>
        </w:p>
        <w:p w14:paraId="3399CFA8" w14:textId="58234D5E" w:rsidR="00CB3815" w:rsidRPr="009F63CE" w:rsidRDefault="00F12103">
          <w:pPr>
            <w:rPr>
              <w:rFonts w:cs="Arial"/>
            </w:rPr>
          </w:pPr>
          <w:r>
            <w:rPr>
              <w:rFonts w:cs="Arial"/>
            </w:rPr>
            <w:fldChar w:fldCharType="end"/>
          </w:r>
        </w:p>
      </w:sdtContent>
    </w:sdt>
    <w:p w14:paraId="2EC03274" w14:textId="77777777" w:rsidR="00450201" w:rsidRPr="009F63CE" w:rsidRDefault="00450201" w:rsidP="00CB3815">
      <w:pPr>
        <w:pStyle w:val="Heading2"/>
        <w:numPr>
          <w:ilvl w:val="0"/>
          <w:numId w:val="0"/>
        </w:numPr>
        <w:rPr>
          <w:rFonts w:cs="Arial"/>
        </w:rPr>
      </w:pPr>
      <w:r w:rsidRPr="009F63CE">
        <w:rPr>
          <w:rFonts w:cs="Arial"/>
        </w:rPr>
        <w:br w:type="page"/>
      </w:r>
    </w:p>
    <w:p w14:paraId="58A1ACC9" w14:textId="77777777" w:rsidR="009327A9" w:rsidRPr="009F63CE" w:rsidRDefault="009327A9" w:rsidP="004F669F">
      <w:pPr>
        <w:pStyle w:val="TeThHauorahead1"/>
      </w:pPr>
      <w:bookmarkStart w:id="8" w:name="_Methodology"/>
      <w:bookmarkStart w:id="9" w:name="_Toc169524773"/>
      <w:bookmarkStart w:id="10" w:name="_Toc480971552"/>
      <w:bookmarkStart w:id="11" w:name="_Toc483987182"/>
      <w:bookmarkEnd w:id="8"/>
      <w:bookmarkEnd w:id="7"/>
      <w:bookmarkEnd w:id="6"/>
      <w:r w:rsidRPr="009F63CE">
        <w:lastRenderedPageBreak/>
        <w:t>Definitions</w:t>
      </w:r>
      <w:bookmarkEnd w:id="9"/>
    </w:p>
    <w:p w14:paraId="4D6E90E2" w14:textId="77777777" w:rsidR="009327A9" w:rsidRPr="009F63CE" w:rsidRDefault="008C4ED4" w:rsidP="004F669F">
      <w:pPr>
        <w:pStyle w:val="TeThHauorahead2"/>
      </w:pPr>
      <w:bookmarkStart w:id="12" w:name="_Toc169524774"/>
      <w:r w:rsidRPr="009F63CE">
        <w:t>M</w:t>
      </w:r>
      <w:r w:rsidR="009327A9" w:rsidRPr="009F63CE">
        <w:t>ortality</w:t>
      </w:r>
      <w:r w:rsidRPr="009F63CE">
        <w:t xml:space="preserve"> definitions</w:t>
      </w:r>
      <w:bookmarkEnd w:id="12"/>
    </w:p>
    <w:p w14:paraId="25B8FD3A" w14:textId="06319504" w:rsidR="00BA68F7" w:rsidRDefault="00BA68F7" w:rsidP="004F669F">
      <w:pPr>
        <w:pStyle w:val="TeThHauorahead3"/>
      </w:pPr>
      <w:r w:rsidRPr="009F63CE">
        <w:t>Perinatal and infant mortality</w:t>
      </w:r>
    </w:p>
    <w:p w14:paraId="16C9AB13" w14:textId="77777777" w:rsidR="006950D8" w:rsidRDefault="006950D8" w:rsidP="006950D8">
      <w:pPr>
        <w:pStyle w:val="BodyText"/>
        <w:jc w:val="center"/>
      </w:pPr>
      <w:r w:rsidRPr="009F63CE">
        <w:rPr>
          <w:rFonts w:cs="Arial"/>
          <w:noProof/>
          <w:lang w:eastAsia="en-NZ"/>
        </w:rPr>
        <mc:AlternateContent>
          <mc:Choice Requires="wpg">
            <w:drawing>
              <wp:inline distT="0" distB="0" distL="0" distR="0" wp14:anchorId="51B4A768" wp14:editId="3041CC57">
                <wp:extent cx="5233035" cy="2223770"/>
                <wp:effectExtent l="38100" t="0" r="5715" b="4318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3035" cy="2223770"/>
                          <a:chOff x="1770" y="5697"/>
                          <a:chExt cx="8241" cy="3502"/>
                        </a:xfrm>
                      </wpg:grpSpPr>
                      <wps:wsp>
                        <wps:cNvPr id="35" name="Text Box 56"/>
                        <wps:cNvSpPr txBox="1">
                          <a:spLocks noChangeArrowheads="1"/>
                        </wps:cNvSpPr>
                        <wps:spPr bwMode="auto">
                          <a:xfrm>
                            <a:off x="2081" y="5697"/>
                            <a:ext cx="7930" cy="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BF7C8" w14:textId="77777777" w:rsidR="00384455" w:rsidRPr="00CF0F50" w:rsidRDefault="00384455" w:rsidP="006950D8">
                              <w:pPr>
                                <w:tabs>
                                  <w:tab w:val="left" w:pos="1276"/>
                                  <w:tab w:val="left" w:pos="3119"/>
                                  <w:tab w:val="left" w:pos="5103"/>
                                  <w:tab w:val="left" w:pos="6946"/>
                                </w:tabs>
                                <w:rPr>
                                  <w:b/>
                                  <w:bCs/>
                                  <w:color w:val="2C2568"/>
                                  <w:sz w:val="18"/>
                                  <w:szCs w:val="18"/>
                                </w:rPr>
                              </w:pPr>
                              <w:r w:rsidRPr="00CF0F50">
                                <w:rPr>
                                  <w:b/>
                                  <w:bCs/>
                                  <w:color w:val="2C2568"/>
                                  <w:sz w:val="18"/>
                                  <w:szCs w:val="18"/>
                                </w:rPr>
                                <w:t>Gestation</w:t>
                              </w:r>
                              <w:r w:rsidRPr="00CF0F50">
                                <w:rPr>
                                  <w:b/>
                                  <w:bCs/>
                                  <w:color w:val="2C2568"/>
                                  <w:sz w:val="18"/>
                                  <w:szCs w:val="18"/>
                                </w:rPr>
                                <w:tab/>
                                <w:t>Birth</w:t>
                              </w:r>
                              <w:r w:rsidRPr="00CF0F50">
                                <w:rPr>
                                  <w:b/>
                                  <w:bCs/>
                                  <w:color w:val="2C2568"/>
                                  <w:sz w:val="18"/>
                                  <w:szCs w:val="18"/>
                                </w:rPr>
                                <w:tab/>
                                <w:t>7 days</w:t>
                              </w:r>
                              <w:r w:rsidRPr="00CF0F50">
                                <w:rPr>
                                  <w:b/>
                                  <w:bCs/>
                                  <w:color w:val="2C2568"/>
                                  <w:sz w:val="18"/>
                                  <w:szCs w:val="18"/>
                                </w:rPr>
                                <w:tab/>
                                <w:t>28 days</w:t>
                              </w:r>
                              <w:r w:rsidRPr="00CF0F50">
                                <w:rPr>
                                  <w:b/>
                                  <w:bCs/>
                                  <w:color w:val="2C2568"/>
                                  <w:sz w:val="18"/>
                                  <w:szCs w:val="18"/>
                                </w:rPr>
                                <w:tab/>
                                <w:t>1 year</w:t>
                              </w:r>
                            </w:p>
                          </w:txbxContent>
                        </wps:txbx>
                        <wps:bodyPr rot="0" vert="horz" wrap="square" lIns="91440" tIns="45720" rIns="91440" bIns="45720" anchor="t" anchorCtr="0" upright="1">
                          <a:noAutofit/>
                        </wps:bodyPr>
                      </wps:wsp>
                      <wps:wsp>
                        <wps:cNvPr id="36" name="AutoShape 57"/>
                        <wps:cNvCnPr>
                          <a:cxnSpLocks noChangeShapeType="1"/>
                        </wps:cNvCnPr>
                        <wps:spPr bwMode="auto">
                          <a:xfrm>
                            <a:off x="1770" y="6033"/>
                            <a:ext cx="77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58"/>
                        <wps:cNvCnPr>
                          <a:cxnSpLocks noChangeShapeType="1"/>
                        </wps:cNvCnPr>
                        <wps:spPr bwMode="auto">
                          <a:xfrm>
                            <a:off x="3702" y="6017"/>
                            <a:ext cx="1" cy="316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59"/>
                        <wps:cNvCnPr>
                          <a:cxnSpLocks noChangeShapeType="1"/>
                        </wps:cNvCnPr>
                        <wps:spPr bwMode="auto">
                          <a:xfrm>
                            <a:off x="1770" y="6017"/>
                            <a:ext cx="1" cy="316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60"/>
                        <wps:cNvCnPr>
                          <a:cxnSpLocks noChangeShapeType="1"/>
                        </wps:cNvCnPr>
                        <wps:spPr bwMode="auto">
                          <a:xfrm>
                            <a:off x="5625" y="6033"/>
                            <a:ext cx="1" cy="3151"/>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61"/>
                        <wps:cNvCnPr>
                          <a:cxnSpLocks noChangeShapeType="1"/>
                        </wps:cNvCnPr>
                        <wps:spPr bwMode="auto">
                          <a:xfrm>
                            <a:off x="7620" y="6017"/>
                            <a:ext cx="1" cy="316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2"/>
                        <wps:cNvCnPr>
                          <a:cxnSpLocks noChangeShapeType="1"/>
                        </wps:cNvCnPr>
                        <wps:spPr bwMode="auto">
                          <a:xfrm>
                            <a:off x="9465" y="6017"/>
                            <a:ext cx="1" cy="3182"/>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Text Box 63"/>
                        <wps:cNvSpPr txBox="1">
                          <a:spLocks noChangeArrowheads="1"/>
                        </wps:cNvSpPr>
                        <wps:spPr bwMode="auto">
                          <a:xfrm>
                            <a:off x="1826" y="6122"/>
                            <a:ext cx="1834" cy="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D76A4" w14:textId="77777777" w:rsidR="00384455" w:rsidRDefault="00384455" w:rsidP="006950D8">
                              <w:pPr>
                                <w:spacing w:after="80"/>
                                <w:jc w:val="center"/>
                                <w:rPr>
                                  <w:b/>
                                  <w:bCs/>
                                  <w:sz w:val="16"/>
                                  <w:szCs w:val="16"/>
                                </w:rPr>
                              </w:pPr>
                              <w:r>
                                <w:rPr>
                                  <w:b/>
                                  <w:bCs/>
                                  <w:sz w:val="16"/>
                                  <w:szCs w:val="16"/>
                                </w:rPr>
                                <w:t>20 weeks or more</w:t>
                              </w:r>
                            </w:p>
                            <w:p w14:paraId="22FD5A41" w14:textId="77777777" w:rsidR="00384455" w:rsidRDefault="00384455" w:rsidP="006950D8">
                              <w:pPr>
                                <w:spacing w:after="80"/>
                                <w:jc w:val="center"/>
                                <w:rPr>
                                  <w:b/>
                                  <w:bCs/>
                                  <w:sz w:val="16"/>
                                  <w:szCs w:val="16"/>
                                </w:rPr>
                              </w:pPr>
                              <w:r>
                                <w:rPr>
                                  <w:b/>
                                  <w:bCs/>
                                  <w:sz w:val="16"/>
                                  <w:szCs w:val="16"/>
                                </w:rPr>
                                <w:t>or</w:t>
                              </w:r>
                            </w:p>
                            <w:p w14:paraId="6C7C4002" w14:textId="77777777" w:rsidR="00384455" w:rsidRDefault="00384455" w:rsidP="006950D8">
                              <w:pPr>
                                <w:spacing w:after="80"/>
                                <w:jc w:val="center"/>
                                <w:rPr>
                                  <w:b/>
                                  <w:bCs/>
                                  <w:sz w:val="16"/>
                                  <w:szCs w:val="16"/>
                                </w:rPr>
                              </w:pPr>
                              <w:r>
                                <w:rPr>
                                  <w:b/>
                                  <w:bCs/>
                                  <w:sz w:val="16"/>
                                  <w:szCs w:val="16"/>
                                </w:rPr>
                                <w:t>≥400 grams birthweight</w:t>
                              </w:r>
                            </w:p>
                          </w:txbxContent>
                        </wps:txbx>
                        <wps:bodyPr rot="0" vert="horz" wrap="square" lIns="36000" tIns="45720" rIns="36000" bIns="36000" anchor="t" anchorCtr="0" upright="1">
                          <a:noAutofit/>
                        </wps:bodyPr>
                      </wps:wsp>
                      <wps:wsp>
                        <wps:cNvPr id="43" name="Text Box 64"/>
                        <wps:cNvSpPr txBox="1">
                          <a:spLocks noChangeArrowheads="1"/>
                        </wps:cNvSpPr>
                        <wps:spPr bwMode="auto">
                          <a:xfrm>
                            <a:off x="3859" y="6391"/>
                            <a:ext cx="1474"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0891B" w14:textId="77777777" w:rsidR="00384455" w:rsidRDefault="00384455" w:rsidP="006950D8">
                              <w:pPr>
                                <w:spacing w:after="80"/>
                                <w:jc w:val="center"/>
                                <w:rPr>
                                  <w:b/>
                                  <w:bCs/>
                                  <w:sz w:val="16"/>
                                  <w:szCs w:val="16"/>
                                </w:rPr>
                              </w:pPr>
                              <w:r>
                                <w:rPr>
                                  <w:b/>
                                  <w:bCs/>
                                  <w:sz w:val="16"/>
                                  <w:szCs w:val="16"/>
                                </w:rPr>
                                <w:t>0–&lt;7 days</w:t>
                              </w:r>
                            </w:p>
                          </w:txbxContent>
                        </wps:txbx>
                        <wps:bodyPr rot="0" vert="horz" wrap="square" lIns="91440" tIns="45720" rIns="91440" bIns="45720" anchor="t" anchorCtr="0" upright="1">
                          <a:noAutofit/>
                        </wps:bodyPr>
                      </wps:wsp>
                      <wps:wsp>
                        <wps:cNvPr id="44" name="Text Box 65"/>
                        <wps:cNvSpPr txBox="1">
                          <a:spLocks noChangeArrowheads="1"/>
                        </wps:cNvSpPr>
                        <wps:spPr bwMode="auto">
                          <a:xfrm>
                            <a:off x="5897" y="6415"/>
                            <a:ext cx="1474" cy="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8BEBB" w14:textId="77777777" w:rsidR="00384455" w:rsidRDefault="00384455" w:rsidP="006950D8">
                              <w:pPr>
                                <w:spacing w:after="80"/>
                                <w:jc w:val="center"/>
                                <w:rPr>
                                  <w:b/>
                                  <w:bCs/>
                                  <w:sz w:val="16"/>
                                  <w:szCs w:val="16"/>
                                </w:rPr>
                              </w:pPr>
                              <w:r>
                                <w:rPr>
                                  <w:b/>
                                  <w:bCs/>
                                  <w:sz w:val="16"/>
                                  <w:szCs w:val="16"/>
                                </w:rPr>
                                <w:t>7–27 days</w:t>
                              </w:r>
                            </w:p>
                          </w:txbxContent>
                        </wps:txbx>
                        <wps:bodyPr rot="0" vert="horz" wrap="square" lIns="91440" tIns="45720" rIns="91440" bIns="45720" anchor="t" anchorCtr="0" upright="1">
                          <a:noAutofit/>
                        </wps:bodyPr>
                      </wps:wsp>
                      <wps:wsp>
                        <wps:cNvPr id="45" name="Text Box 66"/>
                        <wps:cNvSpPr txBox="1">
                          <a:spLocks noChangeArrowheads="1"/>
                        </wps:cNvSpPr>
                        <wps:spPr bwMode="auto">
                          <a:xfrm>
                            <a:off x="7658" y="6415"/>
                            <a:ext cx="1762" cy="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9D164" w14:textId="77777777" w:rsidR="00384455" w:rsidRDefault="00384455" w:rsidP="006950D8">
                              <w:pPr>
                                <w:spacing w:after="80"/>
                                <w:jc w:val="center"/>
                                <w:rPr>
                                  <w:b/>
                                  <w:bCs/>
                                  <w:sz w:val="16"/>
                                  <w:szCs w:val="16"/>
                                </w:rPr>
                              </w:pPr>
                              <w:r>
                                <w:rPr>
                                  <w:b/>
                                  <w:bCs/>
                                  <w:sz w:val="16"/>
                                  <w:szCs w:val="16"/>
                                </w:rPr>
                                <w:t>28 days–&lt;1 year</w:t>
                              </w:r>
                            </w:p>
                          </w:txbxContent>
                        </wps:txbx>
                        <wps:bodyPr rot="0" vert="horz" wrap="square" lIns="91440" tIns="45720" rIns="91440" bIns="45720" anchor="t" anchorCtr="0" upright="1">
                          <a:spAutoFit/>
                        </wps:bodyPr>
                      </wps:wsp>
                      <wps:wsp>
                        <wps:cNvPr id="46" name="AutoShape 68"/>
                        <wps:cNvCnPr>
                          <a:cxnSpLocks noChangeShapeType="1"/>
                        </wps:cNvCnPr>
                        <wps:spPr bwMode="auto">
                          <a:xfrm>
                            <a:off x="1826" y="7500"/>
                            <a:ext cx="1834"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47" name="AutoShape 69"/>
                        <wps:cNvCnPr>
                          <a:cxnSpLocks noChangeShapeType="1"/>
                        </wps:cNvCnPr>
                        <wps:spPr bwMode="auto">
                          <a:xfrm flipH="1" flipV="1">
                            <a:off x="3765" y="7499"/>
                            <a:ext cx="1815" cy="1"/>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48" name="AutoShape 72"/>
                        <wps:cNvCnPr>
                          <a:cxnSpLocks noChangeShapeType="1"/>
                        </wps:cNvCnPr>
                        <wps:spPr bwMode="auto">
                          <a:xfrm>
                            <a:off x="5645" y="7499"/>
                            <a:ext cx="1923" cy="1"/>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49" name="AutoShape 73"/>
                        <wps:cNvCnPr>
                          <a:cxnSpLocks noChangeShapeType="1"/>
                        </wps:cNvCnPr>
                        <wps:spPr bwMode="auto">
                          <a:xfrm flipH="1">
                            <a:off x="7658" y="7499"/>
                            <a:ext cx="1762" cy="1"/>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0" name="AutoShape 76"/>
                        <wps:cNvCnPr>
                          <a:cxnSpLocks noChangeShapeType="1"/>
                        </wps:cNvCnPr>
                        <wps:spPr bwMode="auto">
                          <a:xfrm flipH="1">
                            <a:off x="1826" y="8046"/>
                            <a:ext cx="3754"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1" name="AutoShape 78"/>
                        <wps:cNvCnPr>
                          <a:cxnSpLocks noChangeShapeType="1"/>
                        </wps:cNvCnPr>
                        <wps:spPr bwMode="auto">
                          <a:xfrm flipH="1">
                            <a:off x="1826" y="8376"/>
                            <a:ext cx="5742"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2" name="AutoShape 81"/>
                        <wps:cNvCnPr>
                          <a:cxnSpLocks noChangeShapeType="1"/>
                        </wps:cNvCnPr>
                        <wps:spPr bwMode="auto">
                          <a:xfrm flipH="1">
                            <a:off x="3765" y="8993"/>
                            <a:ext cx="5655"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3" name="AutoShape 84"/>
                        <wps:cNvCnPr>
                          <a:cxnSpLocks noChangeShapeType="1"/>
                        </wps:cNvCnPr>
                        <wps:spPr bwMode="auto">
                          <a:xfrm flipH="1">
                            <a:off x="3765" y="8698"/>
                            <a:ext cx="3803" cy="0"/>
                          </a:xfrm>
                          <a:prstGeom prst="straightConnector1">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s:wsp>
                        <wps:cNvPr id="54" name="Text Box 55"/>
                        <wps:cNvSpPr txBox="1">
                          <a:spLocks noChangeArrowheads="1"/>
                        </wps:cNvSpPr>
                        <wps:spPr bwMode="auto">
                          <a:xfrm>
                            <a:off x="6165" y="7132"/>
                            <a:ext cx="945" cy="81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E3151" w14:textId="065B3046" w:rsidR="00384455" w:rsidRDefault="00384455" w:rsidP="006950D8">
                              <w:pPr>
                                <w:jc w:val="center"/>
                                <w:rPr>
                                  <w:b/>
                                  <w:bCs/>
                                  <w:sz w:val="16"/>
                                  <w:szCs w:val="16"/>
                                </w:rPr>
                              </w:pPr>
                              <w:r>
                                <w:rPr>
                                  <w:b/>
                                  <w:bCs/>
                                  <w:sz w:val="16"/>
                                  <w:szCs w:val="16"/>
                                </w:rPr>
                                <w:t>Late</w:t>
                              </w:r>
                              <w:r>
                                <w:rPr>
                                  <w:b/>
                                  <w:bCs/>
                                  <w:sz w:val="16"/>
                                  <w:szCs w:val="16"/>
                                </w:rPr>
                                <w:br/>
                                <w:t>Neonatal</w:t>
                              </w:r>
                              <w:r>
                                <w:rPr>
                                  <w:b/>
                                  <w:bCs/>
                                  <w:sz w:val="16"/>
                                  <w:szCs w:val="16"/>
                                </w:rPr>
                                <w:br/>
                                <w:t>deaths</w:t>
                              </w:r>
                            </w:p>
                          </w:txbxContent>
                        </wps:txbx>
                        <wps:bodyPr rot="0" vert="horz" wrap="square" lIns="36000" tIns="45720" rIns="36000" bIns="45720" anchor="t" anchorCtr="0" upright="1">
                          <a:noAutofit/>
                        </wps:bodyPr>
                      </wps:wsp>
                      <wps:wsp>
                        <wps:cNvPr id="55" name="Text Box 53"/>
                        <wps:cNvSpPr txBox="1">
                          <a:spLocks noChangeArrowheads="1"/>
                        </wps:cNvSpPr>
                        <wps:spPr bwMode="auto">
                          <a:xfrm>
                            <a:off x="4245" y="7102"/>
                            <a:ext cx="930" cy="779"/>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D2EB8" w14:textId="689D5C8D" w:rsidR="00384455" w:rsidRDefault="00384455" w:rsidP="006950D8">
                              <w:pPr>
                                <w:jc w:val="center"/>
                                <w:rPr>
                                  <w:b/>
                                  <w:bCs/>
                                  <w:sz w:val="16"/>
                                  <w:szCs w:val="16"/>
                                </w:rPr>
                              </w:pPr>
                              <w:r>
                                <w:rPr>
                                  <w:b/>
                                  <w:bCs/>
                                  <w:sz w:val="16"/>
                                  <w:szCs w:val="16"/>
                                </w:rPr>
                                <w:t>Early</w:t>
                              </w:r>
                              <w:r>
                                <w:rPr>
                                  <w:b/>
                                  <w:bCs/>
                                  <w:sz w:val="16"/>
                                  <w:szCs w:val="16"/>
                                </w:rPr>
                                <w:br/>
                                <w:t>Neonatal</w:t>
                              </w:r>
                              <w:r>
                                <w:rPr>
                                  <w:b/>
                                  <w:bCs/>
                                  <w:sz w:val="16"/>
                                  <w:szCs w:val="16"/>
                                </w:rPr>
                                <w:br/>
                                <w:t>deaths</w:t>
                              </w:r>
                            </w:p>
                          </w:txbxContent>
                        </wps:txbx>
                        <wps:bodyPr rot="0" vert="horz" wrap="square" lIns="36000" tIns="45720" rIns="36000" bIns="45720" anchor="t" anchorCtr="0" upright="1">
                          <a:noAutofit/>
                        </wps:bodyPr>
                      </wps:wsp>
                      <wps:wsp>
                        <wps:cNvPr id="56" name="Text Box 54"/>
                        <wps:cNvSpPr txBox="1">
                          <a:spLocks noChangeArrowheads="1"/>
                        </wps:cNvSpPr>
                        <wps:spPr bwMode="auto">
                          <a:xfrm>
                            <a:off x="8100" y="7132"/>
                            <a:ext cx="885" cy="78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200B9" w14:textId="60BB94D4" w:rsidR="00384455" w:rsidRDefault="00384455" w:rsidP="006950D8">
                              <w:pPr>
                                <w:jc w:val="center"/>
                                <w:rPr>
                                  <w:b/>
                                  <w:bCs/>
                                  <w:sz w:val="16"/>
                                  <w:szCs w:val="16"/>
                                </w:rPr>
                              </w:pPr>
                              <w:r>
                                <w:rPr>
                                  <w:b/>
                                  <w:bCs/>
                                  <w:sz w:val="16"/>
                                  <w:szCs w:val="16"/>
                                </w:rPr>
                                <w:t>Post-neonatal</w:t>
                              </w:r>
                              <w:r>
                                <w:rPr>
                                  <w:b/>
                                  <w:bCs/>
                                  <w:sz w:val="16"/>
                                  <w:szCs w:val="16"/>
                                </w:rPr>
                                <w:br/>
                                <w:t>deaths</w:t>
                              </w:r>
                            </w:p>
                          </w:txbxContent>
                        </wps:txbx>
                        <wps:bodyPr rot="0" vert="horz" wrap="square" lIns="36000" tIns="45720" rIns="36000" bIns="45720" anchor="t" anchorCtr="0" upright="1">
                          <a:noAutofit/>
                        </wps:bodyPr>
                      </wps:wsp>
                      <wps:wsp>
                        <wps:cNvPr id="57" name="Text Box 52"/>
                        <wps:cNvSpPr txBox="1">
                          <a:spLocks noChangeArrowheads="1"/>
                        </wps:cNvSpPr>
                        <wps:spPr bwMode="auto">
                          <a:xfrm>
                            <a:off x="2430" y="7252"/>
                            <a:ext cx="765" cy="56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27574" w14:textId="77777777" w:rsidR="00384455" w:rsidRDefault="00384455" w:rsidP="006950D8">
                              <w:pPr>
                                <w:spacing w:after="80"/>
                                <w:jc w:val="center"/>
                                <w:rPr>
                                  <w:b/>
                                  <w:bCs/>
                                  <w:sz w:val="16"/>
                                  <w:szCs w:val="16"/>
                                </w:rPr>
                              </w:pPr>
                              <w:r>
                                <w:rPr>
                                  <w:b/>
                                  <w:bCs/>
                                  <w:sz w:val="16"/>
                                  <w:szCs w:val="16"/>
                                </w:rPr>
                                <w:t>Fetal deaths</w:t>
                              </w:r>
                            </w:p>
                          </w:txbxContent>
                        </wps:txbx>
                        <wps:bodyPr rot="0" vert="horz" wrap="square" lIns="36000" tIns="45720" rIns="36000" bIns="45720" anchor="t" anchorCtr="0" upright="1">
                          <a:noAutofit/>
                        </wps:bodyPr>
                      </wps:wsp>
                      <wps:wsp>
                        <wps:cNvPr id="58" name="Text Box 75"/>
                        <wps:cNvSpPr txBox="1">
                          <a:spLocks noChangeArrowheads="1"/>
                        </wps:cNvSpPr>
                        <wps:spPr bwMode="auto">
                          <a:xfrm>
                            <a:off x="2887" y="7881"/>
                            <a:ext cx="1583" cy="33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0981E" w14:textId="77777777" w:rsidR="00384455" w:rsidRDefault="00384455" w:rsidP="006950D8">
                              <w:pPr>
                                <w:rPr>
                                  <w:b/>
                                  <w:bCs/>
                                  <w:sz w:val="16"/>
                                  <w:szCs w:val="16"/>
                                </w:rPr>
                              </w:pPr>
                              <w:r>
                                <w:rPr>
                                  <w:b/>
                                  <w:bCs/>
                                  <w:sz w:val="16"/>
                                  <w:szCs w:val="16"/>
                                </w:rPr>
                                <w:t>Perinatal deaths</w:t>
                              </w:r>
                            </w:p>
                          </w:txbxContent>
                        </wps:txbx>
                        <wps:bodyPr rot="0" vert="horz" wrap="square" lIns="91440" tIns="45720" rIns="91440" bIns="45720" anchor="t" anchorCtr="0" upright="1">
                          <a:noAutofit/>
                        </wps:bodyPr>
                      </wps:wsp>
                      <wps:wsp>
                        <wps:cNvPr id="59" name="Text Box 51"/>
                        <wps:cNvSpPr txBox="1">
                          <a:spLocks noChangeArrowheads="1"/>
                        </wps:cNvSpPr>
                        <wps:spPr bwMode="auto">
                          <a:xfrm>
                            <a:off x="3859" y="8219"/>
                            <a:ext cx="2174" cy="306"/>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87A7C" w14:textId="77777777" w:rsidR="00384455" w:rsidRDefault="00384455" w:rsidP="006950D8">
                              <w:pPr>
                                <w:rPr>
                                  <w:b/>
                                  <w:bCs/>
                                  <w:sz w:val="16"/>
                                  <w:szCs w:val="16"/>
                                </w:rPr>
                              </w:pPr>
                              <w:r w:rsidRPr="003970E0">
                                <w:rPr>
                                  <w:b/>
                                  <w:bCs/>
                                  <w:sz w:val="16"/>
                                  <w:szCs w:val="16"/>
                                </w:rPr>
                                <w:t xml:space="preserve">Perinatal related </w:t>
                              </w:r>
                              <w:r>
                                <w:rPr>
                                  <w:b/>
                                  <w:bCs/>
                                  <w:sz w:val="16"/>
                                  <w:szCs w:val="16"/>
                                </w:rPr>
                                <w:t>deaths</w:t>
                              </w:r>
                            </w:p>
                          </w:txbxContent>
                        </wps:txbx>
                        <wps:bodyPr rot="0" vert="horz" wrap="square" lIns="91440" tIns="45720" rIns="91440" bIns="45720" anchor="t" anchorCtr="0" upright="1">
                          <a:noAutofit/>
                        </wps:bodyPr>
                      </wps:wsp>
                      <wps:wsp>
                        <wps:cNvPr id="60" name="Text Box 83"/>
                        <wps:cNvSpPr txBox="1">
                          <a:spLocks noChangeArrowheads="1"/>
                        </wps:cNvSpPr>
                        <wps:spPr bwMode="auto">
                          <a:xfrm>
                            <a:off x="4934" y="8525"/>
                            <a:ext cx="1594" cy="291"/>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FBABE" w14:textId="77777777" w:rsidR="00384455" w:rsidRDefault="00384455" w:rsidP="006950D8">
                              <w:pPr>
                                <w:jc w:val="both"/>
                                <w:rPr>
                                  <w:b/>
                                  <w:bCs/>
                                  <w:sz w:val="16"/>
                                  <w:szCs w:val="16"/>
                                </w:rPr>
                              </w:pPr>
                              <w:r>
                                <w:rPr>
                                  <w:b/>
                                  <w:bCs/>
                                  <w:sz w:val="16"/>
                                  <w:szCs w:val="16"/>
                                </w:rPr>
                                <w:t>Neonatal deaths</w:t>
                              </w:r>
                            </w:p>
                          </w:txbxContent>
                        </wps:txbx>
                        <wps:bodyPr rot="0" vert="horz" wrap="square" lIns="91440" tIns="45720" rIns="91440" bIns="45720" anchor="t" anchorCtr="0" upright="1">
                          <a:noAutofit/>
                        </wps:bodyPr>
                      </wps:wsp>
                      <wps:wsp>
                        <wps:cNvPr id="61" name="Text Box 80"/>
                        <wps:cNvSpPr txBox="1">
                          <a:spLocks noChangeArrowheads="1"/>
                        </wps:cNvSpPr>
                        <wps:spPr bwMode="auto">
                          <a:xfrm>
                            <a:off x="5897" y="8816"/>
                            <a:ext cx="1318" cy="34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BE0BE" w14:textId="77777777" w:rsidR="00384455" w:rsidRDefault="00384455" w:rsidP="006950D8">
                              <w:pPr>
                                <w:rPr>
                                  <w:b/>
                                  <w:bCs/>
                                  <w:sz w:val="16"/>
                                  <w:szCs w:val="16"/>
                                </w:rPr>
                              </w:pPr>
                              <w:r>
                                <w:rPr>
                                  <w:b/>
                                  <w:bCs/>
                                  <w:sz w:val="16"/>
                                  <w:szCs w:val="16"/>
                                </w:rPr>
                                <w:t>Infant deaths</w:t>
                              </w:r>
                            </w:p>
                          </w:txbxContent>
                        </wps:txbx>
                        <wps:bodyPr rot="0" vert="horz" wrap="square" lIns="91440" tIns="45720" rIns="91440" bIns="45720" anchor="t" anchorCtr="0" upright="1">
                          <a:noAutofit/>
                        </wps:bodyPr>
                      </wps:wsp>
                    </wpg:wgp>
                  </a:graphicData>
                </a:graphic>
              </wp:inline>
            </w:drawing>
          </mc:Choice>
          <mc:Fallback>
            <w:pict>
              <v:group w14:anchorId="51B4A768" id="Group 34" o:spid="_x0000_s1026" style="width:412.05pt;height:175.1pt;mso-position-horizontal-relative:char;mso-position-vertical-relative:line" coordorigin="1770,5697" coordsize="8241,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">
                <v:shapetype id="_x0000_t202" coordsize="21600,21600" o:spt="202" path="m,l,21600r21600,l21600,xe">
                  <v:stroke joinstyle="miter"/>
                  <v:path gradientshapeok="t" o:connecttype="rect"/>
                </v:shapetype>
                <v:shape id="Text Box 56" o:spid="_x0000_s1027" type="#_x0000_t202" style="position:absolute;left:2081;top:5697;width:793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35BF7C8" w14:textId="77777777" w:rsidR="00384455" w:rsidRPr="00CF0F50" w:rsidRDefault="00384455" w:rsidP="006950D8">
                        <w:pPr>
                          <w:tabs>
                            <w:tab w:val="left" w:pos="1276"/>
                            <w:tab w:val="left" w:pos="3119"/>
                            <w:tab w:val="left" w:pos="5103"/>
                            <w:tab w:val="left" w:pos="6946"/>
                          </w:tabs>
                          <w:rPr>
                            <w:b/>
                            <w:bCs/>
                            <w:color w:val="2C2568"/>
                            <w:sz w:val="18"/>
                            <w:szCs w:val="18"/>
                          </w:rPr>
                        </w:pPr>
                        <w:r w:rsidRPr="00CF0F50">
                          <w:rPr>
                            <w:b/>
                            <w:bCs/>
                            <w:color w:val="2C2568"/>
                            <w:sz w:val="18"/>
                            <w:szCs w:val="18"/>
                          </w:rPr>
                          <w:t>Gestation</w:t>
                        </w:r>
                        <w:r w:rsidRPr="00CF0F50">
                          <w:rPr>
                            <w:b/>
                            <w:bCs/>
                            <w:color w:val="2C2568"/>
                            <w:sz w:val="18"/>
                            <w:szCs w:val="18"/>
                          </w:rPr>
                          <w:tab/>
                          <w:t>Birth</w:t>
                        </w:r>
                        <w:r w:rsidRPr="00CF0F50">
                          <w:rPr>
                            <w:b/>
                            <w:bCs/>
                            <w:color w:val="2C2568"/>
                            <w:sz w:val="18"/>
                            <w:szCs w:val="18"/>
                          </w:rPr>
                          <w:tab/>
                          <w:t>7 days</w:t>
                        </w:r>
                        <w:r w:rsidRPr="00CF0F50">
                          <w:rPr>
                            <w:b/>
                            <w:bCs/>
                            <w:color w:val="2C2568"/>
                            <w:sz w:val="18"/>
                            <w:szCs w:val="18"/>
                          </w:rPr>
                          <w:tab/>
                          <w:t>28 days</w:t>
                        </w:r>
                        <w:r w:rsidRPr="00CF0F50">
                          <w:rPr>
                            <w:b/>
                            <w:bCs/>
                            <w:color w:val="2C2568"/>
                            <w:sz w:val="18"/>
                            <w:szCs w:val="18"/>
                          </w:rPr>
                          <w:tab/>
                          <w:t>1 year</w:t>
                        </w:r>
                      </w:p>
                    </w:txbxContent>
                  </v:textbox>
                </v:shape>
                <v:shapetype id="_x0000_t32" coordsize="21600,21600" o:spt="32" o:oned="t" path="m,l21600,21600e" filled="f">
                  <v:path arrowok="t" fillok="f" o:connecttype="none"/>
                  <o:lock v:ext="edit" shapetype="t"/>
                </v:shapetype>
                <v:shape id="AutoShape 57" o:spid="_x0000_s1028" type="#_x0000_t32" style="position:absolute;left:1770;top:6033;width:7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" strokeweight="2pt"/>
                <v:shape id="AutoShape 58" o:spid="_x0000_s1029" type="#_x0000_t32" style="position:absolute;left:3702;top:6017;width:1;height:3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" strokeweight="1.5pt">
                  <v:stroke dashstyle="dash"/>
                </v:shape>
                <v:shape id="AutoShape 59" o:spid="_x0000_s1030" type="#_x0000_t32" style="position:absolute;left:1770;top:6017;width:1;height:3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" strokeweight="1.5pt">
                  <v:stroke dashstyle="dash"/>
                </v:shape>
                <v:shape id="AutoShape 60" o:spid="_x0000_s1031" type="#_x0000_t32" style="position:absolute;left:5625;top:6033;width:1;height:31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" strokeweight="1.5pt">
                  <v:stroke dashstyle="dash"/>
                </v:shape>
                <v:shape id="AutoShape 61" o:spid="_x0000_s1032" type="#_x0000_t32" style="position:absolute;left:7620;top:6017;width:1;height:3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" strokeweight="1.5pt">
                  <v:stroke dashstyle="dash"/>
                </v:shape>
                <v:shape id="AutoShape 62" o:spid="_x0000_s1033" type="#_x0000_t32" style="position:absolute;left:9465;top:6017;width:1;height:3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" strokeweight="1.5pt">
                  <v:stroke dashstyle="dash"/>
                </v:shape>
                <v:shape id="Text Box 63" o:spid="_x0000_s1034" type="#_x0000_t202" style="position:absolute;left:1826;top:6122;width:1834;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" stroked="f">
                  <v:textbox inset="1mm,,1mm,1mm">
                    <w:txbxContent>
                      <w:p w14:paraId="7A3D76A4" w14:textId="77777777" w:rsidR="00384455" w:rsidRDefault="00384455" w:rsidP="006950D8">
                        <w:pPr>
                          <w:spacing w:after="80"/>
                          <w:jc w:val="center"/>
                          <w:rPr>
                            <w:b/>
                            <w:bCs/>
                            <w:sz w:val="16"/>
                            <w:szCs w:val="16"/>
                          </w:rPr>
                        </w:pPr>
                        <w:r>
                          <w:rPr>
                            <w:b/>
                            <w:bCs/>
                            <w:sz w:val="16"/>
                            <w:szCs w:val="16"/>
                          </w:rPr>
                          <w:t>20 weeks or more</w:t>
                        </w:r>
                      </w:p>
                      <w:p w14:paraId="22FD5A41" w14:textId="77777777" w:rsidR="00384455" w:rsidRDefault="00384455" w:rsidP="006950D8">
                        <w:pPr>
                          <w:spacing w:after="80"/>
                          <w:jc w:val="center"/>
                          <w:rPr>
                            <w:b/>
                            <w:bCs/>
                            <w:sz w:val="16"/>
                            <w:szCs w:val="16"/>
                          </w:rPr>
                        </w:pPr>
                        <w:r>
                          <w:rPr>
                            <w:b/>
                            <w:bCs/>
                            <w:sz w:val="16"/>
                            <w:szCs w:val="16"/>
                          </w:rPr>
                          <w:t>or</w:t>
                        </w:r>
                      </w:p>
                      <w:p w14:paraId="6C7C4002" w14:textId="77777777" w:rsidR="00384455" w:rsidRDefault="00384455" w:rsidP="006950D8">
                        <w:pPr>
                          <w:spacing w:after="80"/>
                          <w:jc w:val="center"/>
                          <w:rPr>
                            <w:b/>
                            <w:bCs/>
                            <w:sz w:val="16"/>
                            <w:szCs w:val="16"/>
                          </w:rPr>
                        </w:pPr>
                        <w:r>
                          <w:rPr>
                            <w:b/>
                            <w:bCs/>
                            <w:sz w:val="16"/>
                            <w:szCs w:val="16"/>
                          </w:rPr>
                          <w:t>≥400 grams birthweight</w:t>
                        </w:r>
                      </w:p>
                    </w:txbxContent>
                  </v:textbox>
                </v:shape>
                <v:shape id="Text Box 64" o:spid="_x0000_s1035" type="#_x0000_t202" style="position:absolute;left:3859;top:6391;width:147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75B0891B" w14:textId="77777777" w:rsidR="00384455" w:rsidRDefault="00384455" w:rsidP="006950D8">
                        <w:pPr>
                          <w:spacing w:after="80"/>
                          <w:jc w:val="center"/>
                          <w:rPr>
                            <w:b/>
                            <w:bCs/>
                            <w:sz w:val="16"/>
                            <w:szCs w:val="16"/>
                          </w:rPr>
                        </w:pPr>
                        <w:r>
                          <w:rPr>
                            <w:b/>
                            <w:bCs/>
                            <w:sz w:val="16"/>
                            <w:szCs w:val="16"/>
                          </w:rPr>
                          <w:t>0–&lt;7 days</w:t>
                        </w:r>
                      </w:p>
                    </w:txbxContent>
                  </v:textbox>
                </v:shape>
                <v:shape id="Text Box 65" o:spid="_x0000_s1036" type="#_x0000_t202" style="position:absolute;left:5897;top:6415;width:147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1088BEBB" w14:textId="77777777" w:rsidR="00384455" w:rsidRDefault="00384455" w:rsidP="006950D8">
                        <w:pPr>
                          <w:spacing w:after="80"/>
                          <w:jc w:val="center"/>
                          <w:rPr>
                            <w:b/>
                            <w:bCs/>
                            <w:sz w:val="16"/>
                            <w:szCs w:val="16"/>
                          </w:rPr>
                        </w:pPr>
                        <w:r>
                          <w:rPr>
                            <w:b/>
                            <w:bCs/>
                            <w:sz w:val="16"/>
                            <w:szCs w:val="16"/>
                          </w:rPr>
                          <w:t>7–27 days</w:t>
                        </w:r>
                      </w:p>
                    </w:txbxContent>
                  </v:textbox>
                </v:shape>
                <v:shape id="Text Box 66" o:spid="_x0000_s1037" type="#_x0000_t202" style="position:absolute;left:7658;top:6415;width:176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" stroked="f">
                  <v:textbox style="mso-fit-shape-to-text:t">
                    <w:txbxContent>
                      <w:p w14:paraId="6909D164" w14:textId="77777777" w:rsidR="00384455" w:rsidRDefault="00384455" w:rsidP="006950D8">
                        <w:pPr>
                          <w:spacing w:after="80"/>
                          <w:jc w:val="center"/>
                          <w:rPr>
                            <w:b/>
                            <w:bCs/>
                            <w:sz w:val="16"/>
                            <w:szCs w:val="16"/>
                          </w:rPr>
                        </w:pPr>
                        <w:r>
                          <w:rPr>
                            <w:b/>
                            <w:bCs/>
                            <w:sz w:val="16"/>
                            <w:szCs w:val="16"/>
                          </w:rPr>
                          <w:t>28 days–&lt;1 year</w:t>
                        </w:r>
                      </w:p>
                    </w:txbxContent>
                  </v:textbox>
                </v:shape>
                <v:shape id="AutoShape 68" o:spid="_x0000_s1038" type="#_x0000_t32" style="position:absolute;left:1826;top:7500;width:18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">
                  <v:stroke startarrow="block" endarrow="block"/>
                </v:shape>
                <v:shape id="AutoShape 69" o:spid="_x0000_s1039" type="#_x0000_t32" style="position:absolute;left:3765;top:7499;width:181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">
                  <v:stroke startarrow="block" endarrow="block"/>
                </v:shape>
                <v:shape id="AutoShape 72" o:spid="_x0000_s1040" type="#_x0000_t32" style="position:absolute;left:5645;top:7499;width:19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">
                  <v:stroke startarrow="block" endarrow="block"/>
                </v:shape>
                <v:shape id="AutoShape 73" o:spid="_x0000_s1041" type="#_x0000_t32" style="position:absolute;left:7658;top:7499;width:1762;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">
                  <v:stroke startarrow="block" endarrow="block"/>
                </v:shape>
                <v:shape id="AutoShape 76" o:spid="_x0000_s1042" type="#_x0000_t32" style="position:absolute;left:1826;top:8046;width:37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">
                  <v:stroke startarrow="block" endarrow="block"/>
                </v:shape>
                <v:shape id="AutoShape 78" o:spid="_x0000_s1043" type="#_x0000_t32" style="position:absolute;left:1826;top:8376;width:57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">
                  <v:stroke startarrow="block" endarrow="block"/>
                </v:shape>
                <v:shape id="AutoShape 81" o:spid="_x0000_s1044" type="#_x0000_t32" style="position:absolute;left:3765;top:8993;width:56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">
                  <v:stroke startarrow="block" endarrow="block"/>
                </v:shape>
                <v:shape id="AutoShape 84" o:spid="_x0000_s1045" type="#_x0000_t32" style="position:absolute;left:3765;top:8698;width:38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">
                  <v:stroke startarrow="block" endarrow="block"/>
                </v:shape>
                <v:shape id="Text Box 55" o:spid="_x0000_s1046" type="#_x0000_t202" style="position:absolute;left:6165;top:7132;width:94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" fillcolor="white [3212]" stroked="f">
                  <v:textbox inset="1mm,,1mm">
                    <w:txbxContent>
                      <w:p w14:paraId="47FE3151" w14:textId="065B3046" w:rsidR="00384455" w:rsidRDefault="00384455" w:rsidP="006950D8">
                        <w:pPr>
                          <w:jc w:val="center"/>
                          <w:rPr>
                            <w:b/>
                            <w:bCs/>
                            <w:sz w:val="16"/>
                            <w:szCs w:val="16"/>
                          </w:rPr>
                        </w:pPr>
                        <w:r>
                          <w:rPr>
                            <w:b/>
                            <w:bCs/>
                            <w:sz w:val="16"/>
                            <w:szCs w:val="16"/>
                          </w:rPr>
                          <w:t>Late</w:t>
                        </w:r>
                        <w:r>
                          <w:rPr>
                            <w:b/>
                            <w:bCs/>
                            <w:sz w:val="16"/>
                            <w:szCs w:val="16"/>
                          </w:rPr>
                          <w:br/>
                          <w:t>Neonatal</w:t>
                        </w:r>
                        <w:r>
                          <w:rPr>
                            <w:b/>
                            <w:bCs/>
                            <w:sz w:val="16"/>
                            <w:szCs w:val="16"/>
                          </w:rPr>
                          <w:br/>
                          <w:t>deaths</w:t>
                        </w:r>
                      </w:p>
                    </w:txbxContent>
                  </v:textbox>
                </v:shape>
                <v:shape id="Text Box 53" o:spid="_x0000_s1047" type="#_x0000_t202" style="position:absolute;left:4245;top:7102;width:930;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" fillcolor="white [3212]" stroked="f">
                  <v:textbox inset="1mm,,1mm">
                    <w:txbxContent>
                      <w:p w14:paraId="5A4D2EB8" w14:textId="689D5C8D" w:rsidR="00384455" w:rsidRDefault="00384455" w:rsidP="006950D8">
                        <w:pPr>
                          <w:jc w:val="center"/>
                          <w:rPr>
                            <w:b/>
                            <w:bCs/>
                            <w:sz w:val="16"/>
                            <w:szCs w:val="16"/>
                          </w:rPr>
                        </w:pPr>
                        <w:r>
                          <w:rPr>
                            <w:b/>
                            <w:bCs/>
                            <w:sz w:val="16"/>
                            <w:szCs w:val="16"/>
                          </w:rPr>
                          <w:t>Early</w:t>
                        </w:r>
                        <w:r>
                          <w:rPr>
                            <w:b/>
                            <w:bCs/>
                            <w:sz w:val="16"/>
                            <w:szCs w:val="16"/>
                          </w:rPr>
                          <w:br/>
                          <w:t>Neonatal</w:t>
                        </w:r>
                        <w:r>
                          <w:rPr>
                            <w:b/>
                            <w:bCs/>
                            <w:sz w:val="16"/>
                            <w:szCs w:val="16"/>
                          </w:rPr>
                          <w:br/>
                          <w:t>deaths</w:t>
                        </w:r>
                      </w:p>
                    </w:txbxContent>
                  </v:textbox>
                </v:shape>
                <v:shape id="Text Box 54" o:spid="_x0000_s1048" type="#_x0000_t202" style="position:absolute;left:8100;top:7132;width:885;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" fillcolor="white [3212]" stroked="f">
                  <v:textbox inset="1mm,,1mm">
                    <w:txbxContent>
                      <w:p w14:paraId="2CD200B9" w14:textId="60BB94D4" w:rsidR="00384455" w:rsidRDefault="00384455" w:rsidP="006950D8">
                        <w:pPr>
                          <w:jc w:val="center"/>
                          <w:rPr>
                            <w:b/>
                            <w:bCs/>
                            <w:sz w:val="16"/>
                            <w:szCs w:val="16"/>
                          </w:rPr>
                        </w:pPr>
                        <w:r>
                          <w:rPr>
                            <w:b/>
                            <w:bCs/>
                            <w:sz w:val="16"/>
                            <w:szCs w:val="16"/>
                          </w:rPr>
                          <w:t>Post-neonatal</w:t>
                        </w:r>
                        <w:r>
                          <w:rPr>
                            <w:b/>
                            <w:bCs/>
                            <w:sz w:val="16"/>
                            <w:szCs w:val="16"/>
                          </w:rPr>
                          <w:br/>
                          <w:t>deaths</w:t>
                        </w:r>
                      </w:p>
                    </w:txbxContent>
                  </v:textbox>
                </v:shape>
                <v:shape id="Text Box 52" o:spid="_x0000_s1049" type="#_x0000_t202" style="position:absolute;left:2430;top:7252;width:765;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" fillcolor="white [3212]" stroked="f">
                  <v:textbox inset="1mm,,1mm">
                    <w:txbxContent>
                      <w:p w14:paraId="0F727574" w14:textId="77777777" w:rsidR="00384455" w:rsidRDefault="00384455" w:rsidP="006950D8">
                        <w:pPr>
                          <w:spacing w:after="80"/>
                          <w:jc w:val="center"/>
                          <w:rPr>
                            <w:b/>
                            <w:bCs/>
                            <w:sz w:val="16"/>
                            <w:szCs w:val="16"/>
                          </w:rPr>
                        </w:pPr>
                        <w:r>
                          <w:rPr>
                            <w:b/>
                            <w:bCs/>
                            <w:sz w:val="16"/>
                            <w:szCs w:val="16"/>
                          </w:rPr>
                          <w:t>Fetal deaths</w:t>
                        </w:r>
                      </w:p>
                    </w:txbxContent>
                  </v:textbox>
                </v:shape>
                <v:shape id="Text Box 75" o:spid="_x0000_s1050" type="#_x0000_t202" style="position:absolute;left:2887;top:7881;width:1583;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" fillcolor="white [3212]" stroked="f">
                  <v:textbox>
                    <w:txbxContent>
                      <w:p w14:paraId="3510981E" w14:textId="77777777" w:rsidR="00384455" w:rsidRDefault="00384455" w:rsidP="006950D8">
                        <w:pPr>
                          <w:rPr>
                            <w:b/>
                            <w:bCs/>
                            <w:sz w:val="16"/>
                            <w:szCs w:val="16"/>
                          </w:rPr>
                        </w:pPr>
                        <w:r>
                          <w:rPr>
                            <w:b/>
                            <w:bCs/>
                            <w:sz w:val="16"/>
                            <w:szCs w:val="16"/>
                          </w:rPr>
                          <w:t>Perinatal deaths</w:t>
                        </w:r>
                      </w:p>
                    </w:txbxContent>
                  </v:textbox>
                </v:shape>
                <v:shape id="Text Box 51" o:spid="_x0000_s1051" type="#_x0000_t202" style="position:absolute;left:3859;top:8219;width:2174;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" fillcolor="white [3212]" stroked="f">
                  <v:textbox>
                    <w:txbxContent>
                      <w:p w14:paraId="58A87A7C" w14:textId="77777777" w:rsidR="00384455" w:rsidRDefault="00384455" w:rsidP="006950D8">
                        <w:pPr>
                          <w:rPr>
                            <w:b/>
                            <w:bCs/>
                            <w:sz w:val="16"/>
                            <w:szCs w:val="16"/>
                          </w:rPr>
                        </w:pPr>
                        <w:r w:rsidRPr="003970E0">
                          <w:rPr>
                            <w:b/>
                            <w:bCs/>
                            <w:sz w:val="16"/>
                            <w:szCs w:val="16"/>
                          </w:rPr>
                          <w:t xml:space="preserve">Perinatal related </w:t>
                        </w:r>
                        <w:r>
                          <w:rPr>
                            <w:b/>
                            <w:bCs/>
                            <w:sz w:val="16"/>
                            <w:szCs w:val="16"/>
                          </w:rPr>
                          <w:t>deaths</w:t>
                        </w:r>
                      </w:p>
                    </w:txbxContent>
                  </v:textbox>
                </v:shape>
                <v:shape id="Text Box 83" o:spid="_x0000_s1052" type="#_x0000_t202" style="position:absolute;left:4934;top:8525;width:159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" fillcolor="white [3212]" stroked="f">
                  <v:textbox>
                    <w:txbxContent>
                      <w:p w14:paraId="526FBABE" w14:textId="77777777" w:rsidR="00384455" w:rsidRDefault="00384455" w:rsidP="006950D8">
                        <w:pPr>
                          <w:jc w:val="both"/>
                          <w:rPr>
                            <w:b/>
                            <w:bCs/>
                            <w:sz w:val="16"/>
                            <w:szCs w:val="16"/>
                          </w:rPr>
                        </w:pPr>
                        <w:r>
                          <w:rPr>
                            <w:b/>
                            <w:bCs/>
                            <w:sz w:val="16"/>
                            <w:szCs w:val="16"/>
                          </w:rPr>
                          <w:t>Neonatal deaths</w:t>
                        </w:r>
                      </w:p>
                    </w:txbxContent>
                  </v:textbox>
                </v:shape>
                <v:shape id="Text Box 80" o:spid="_x0000_s1053" type="#_x0000_t202" style="position:absolute;left:5897;top:8816;width:1318;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" fillcolor="white [3212]" stroked="f">
                  <v:textbox>
                    <w:txbxContent>
                      <w:p w14:paraId="235BE0BE" w14:textId="77777777" w:rsidR="00384455" w:rsidRDefault="00384455" w:rsidP="006950D8">
                        <w:pPr>
                          <w:rPr>
                            <w:b/>
                            <w:bCs/>
                            <w:sz w:val="16"/>
                            <w:szCs w:val="16"/>
                          </w:rPr>
                        </w:pPr>
                        <w:r>
                          <w:rPr>
                            <w:b/>
                            <w:bCs/>
                            <w:sz w:val="16"/>
                            <w:szCs w:val="16"/>
                          </w:rPr>
                          <w:t>Infant deaths</w:t>
                        </w:r>
                      </w:p>
                    </w:txbxContent>
                  </v:textbox>
                </v:shape>
                <w10:anchorlock/>
              </v:group>
            </w:pict>
          </mc:Fallback>
        </mc:AlternateContent>
      </w:r>
    </w:p>
    <w:p w14:paraId="17728FBC" w14:textId="77777777" w:rsidR="009327A9" w:rsidRPr="009F63CE" w:rsidRDefault="009327A9" w:rsidP="0089040F">
      <w:pPr>
        <w:spacing w:after="0"/>
        <w:rPr>
          <w:rFonts w:cs="Arial"/>
          <w:sz w:val="18"/>
          <w:szCs w:val="18"/>
        </w:rPr>
      </w:pPr>
      <w:r w:rsidRPr="009F63CE">
        <w:rPr>
          <w:rFonts w:cs="Arial"/>
          <w:sz w:val="18"/>
          <w:szCs w:val="18"/>
        </w:rPr>
        <w:t xml:space="preserve">(Adapted from </w:t>
      </w:r>
      <w:hyperlink r:id="rId15" w:history="1">
        <w:r w:rsidRPr="009F63CE">
          <w:rPr>
            <w:rStyle w:val="Hyperlink"/>
            <w:rFonts w:cs="Arial"/>
            <w:color w:val="auto"/>
            <w:sz w:val="18"/>
            <w:szCs w:val="18"/>
            <w:u w:val="none"/>
          </w:rPr>
          <w:t>New Zealand Health Information Service 2007</w:t>
        </w:r>
      </w:hyperlink>
      <w:r w:rsidRPr="009F63CE">
        <w:rPr>
          <w:rFonts w:cs="Arial"/>
          <w:sz w:val="18"/>
          <w:szCs w:val="18"/>
        </w:rPr>
        <w:t xml:space="preserve"> and</w:t>
      </w:r>
      <w:r w:rsidRPr="009F63CE">
        <w:rPr>
          <w:rFonts w:cs="Arial"/>
          <w:color w:val="auto"/>
          <w:sz w:val="18"/>
          <w:szCs w:val="18"/>
        </w:rPr>
        <w:t xml:space="preserve"> </w:t>
      </w:r>
      <w:hyperlink r:id="rId16" w:history="1">
        <w:r w:rsidRPr="009F63CE">
          <w:rPr>
            <w:rStyle w:val="Hyperlink"/>
            <w:rFonts w:cs="Arial"/>
            <w:color w:val="auto"/>
            <w:sz w:val="18"/>
            <w:szCs w:val="18"/>
            <w:u w:val="none"/>
          </w:rPr>
          <w:t>Ministry of Health 2010</w:t>
        </w:r>
      </w:hyperlink>
      <w:r w:rsidRPr="009F63CE">
        <w:rPr>
          <w:rFonts w:cs="Arial"/>
          <w:sz w:val="18"/>
          <w:szCs w:val="18"/>
        </w:rPr>
        <w:t>.)</w:t>
      </w:r>
    </w:p>
    <w:p w14:paraId="395D73B0" w14:textId="77777777" w:rsidR="009327A9" w:rsidRPr="009F63CE" w:rsidRDefault="009327A9" w:rsidP="00E5751D">
      <w:pPr>
        <w:pStyle w:val="H4"/>
      </w:pPr>
      <w:r w:rsidRPr="009F63CE">
        <w:t>Fetal death</w:t>
      </w:r>
    </w:p>
    <w:p w14:paraId="512BEB7F" w14:textId="52BD4E08" w:rsidR="009327A9" w:rsidRPr="009F63CE" w:rsidRDefault="009327A9" w:rsidP="00526787">
      <w:pPr>
        <w:pStyle w:val="TeThHauorabodytext"/>
      </w:pPr>
      <w:r w:rsidRPr="009F63CE">
        <w:t>Fetal death is the death of a fetus at 20 weeks</w:t>
      </w:r>
      <w:r w:rsidR="0095432A">
        <w:t>’</w:t>
      </w:r>
      <w:r w:rsidRPr="009F63CE">
        <w:t xml:space="preserve"> gestation or beyond (≥20 weeks) or weighing at least 400</w:t>
      </w:r>
      <w:r w:rsidR="00672996">
        <w:t xml:space="preserve"> </w:t>
      </w:r>
      <w:r w:rsidRPr="009F63CE">
        <w:t>g if gestation is unknown. Fetal death includes stillbirth and termination of pregnancy. Note that the term ‘stillbirth’ does not include terminations in this report. Where a termination of pregnancy died after birth, the pregnancy is included as a termination of pregnancy and therefore as a fetal death rather than as a neonatal death.</w:t>
      </w:r>
    </w:p>
    <w:p w14:paraId="1CF648B2" w14:textId="77777777" w:rsidR="008C4ED4" w:rsidRPr="009F63CE" w:rsidRDefault="008C4ED4" w:rsidP="00E5751D">
      <w:pPr>
        <w:pStyle w:val="H4"/>
      </w:pPr>
      <w:r w:rsidRPr="009F63CE">
        <w:t>Stillbirth</w:t>
      </w:r>
    </w:p>
    <w:p w14:paraId="2F4F9B2C" w14:textId="2C0ADBC3" w:rsidR="000B0DFA" w:rsidRPr="009F63CE" w:rsidRDefault="000B0DFA" w:rsidP="00526787">
      <w:pPr>
        <w:pStyle w:val="TeThHauorabodytext"/>
      </w:pPr>
      <w:r w:rsidRPr="009F63CE">
        <w:t>Stillbirth is the birth of a fetus showing no signs of life at 20 weeks</w:t>
      </w:r>
      <w:r w:rsidR="0095432A">
        <w:t>’</w:t>
      </w:r>
      <w:r w:rsidRPr="009F63CE">
        <w:t xml:space="preserve"> gestation or beyond (≥20 weeks) or weighing at least 400</w:t>
      </w:r>
      <w:r w:rsidR="006256F1">
        <w:t xml:space="preserve"> </w:t>
      </w:r>
      <w:r w:rsidRPr="009F63CE">
        <w:t>g if gestation is unknown.</w:t>
      </w:r>
    </w:p>
    <w:p w14:paraId="1C00BDE7" w14:textId="77777777" w:rsidR="009327A9" w:rsidRPr="009F63CE" w:rsidRDefault="009327A9" w:rsidP="00E5751D">
      <w:pPr>
        <w:pStyle w:val="H4"/>
      </w:pPr>
      <w:r w:rsidRPr="009F63CE">
        <w:t>Termination of pregnancy</w:t>
      </w:r>
    </w:p>
    <w:p w14:paraId="6382155E" w14:textId="73E74CE5" w:rsidR="009327A9" w:rsidRPr="009F63CE" w:rsidRDefault="009327A9" w:rsidP="00526787">
      <w:pPr>
        <w:pStyle w:val="TeThHauorabodytext"/>
      </w:pPr>
      <w:r w:rsidRPr="009F63CE">
        <w:t>Termination of pregnancy is the interruption of an ongoing pregnancy (whether the baby was stillborn or live born). This report only includes termination of pregnancy from 20 weeks</w:t>
      </w:r>
      <w:r w:rsidR="0095432A">
        <w:t>’</w:t>
      </w:r>
      <w:r w:rsidRPr="009F63CE">
        <w:t xml:space="preserve"> gestation. </w:t>
      </w:r>
    </w:p>
    <w:p w14:paraId="107A97CF" w14:textId="77777777" w:rsidR="009327A9" w:rsidRPr="009F63CE" w:rsidRDefault="009327A9" w:rsidP="00E5751D">
      <w:pPr>
        <w:pStyle w:val="H4"/>
      </w:pPr>
      <w:r w:rsidRPr="009F63CE">
        <w:t>Fetal death rate</w:t>
      </w:r>
    </w:p>
    <w:p w14:paraId="4A1E9FD0" w14:textId="379DA3ED" w:rsidR="009327A9" w:rsidRPr="009F63CE" w:rsidRDefault="009327A9" w:rsidP="00526787">
      <w:pPr>
        <w:pStyle w:val="TeThHauorabodytext"/>
      </w:pPr>
      <w:r w:rsidRPr="009F63CE">
        <w:t>Fetal death rate is calculated as fetal deaths per 1</w:t>
      </w:r>
      <w:r w:rsidR="00B64450">
        <w:t>,</w:t>
      </w:r>
      <w:r w:rsidRPr="009F63CE">
        <w:t>000 babies born at 20 weeks</w:t>
      </w:r>
      <w:r w:rsidR="0095432A">
        <w:t>’</w:t>
      </w:r>
      <w:r w:rsidRPr="009F63CE">
        <w:t xml:space="preserve"> gestation or beyond or weighing at least 400</w:t>
      </w:r>
      <w:r w:rsidR="006256F1">
        <w:t xml:space="preserve"> </w:t>
      </w:r>
      <w:r w:rsidRPr="009F63CE">
        <w:t>g if gestation is unknown.</w:t>
      </w:r>
    </w:p>
    <w:p w14:paraId="13E5D092" w14:textId="77777777" w:rsidR="009327A9" w:rsidRPr="009F63CE" w:rsidRDefault="009327A9" w:rsidP="00E5751D">
      <w:pPr>
        <w:pStyle w:val="H4"/>
      </w:pPr>
      <w:r w:rsidRPr="009F63CE">
        <w:t>Neonatal death</w:t>
      </w:r>
    </w:p>
    <w:p w14:paraId="727F3AFE" w14:textId="0F5D218B" w:rsidR="009327A9" w:rsidRPr="009F63CE" w:rsidRDefault="009327A9" w:rsidP="00526787">
      <w:pPr>
        <w:pStyle w:val="TeThHauorabodytext"/>
      </w:pPr>
      <w:r w:rsidRPr="009F63CE">
        <w:t>Neonatal death is the death of any baby showing signs of life at 20 weeks</w:t>
      </w:r>
      <w:r w:rsidR="0095432A">
        <w:t>’</w:t>
      </w:r>
      <w:r w:rsidRPr="009F63CE">
        <w:t xml:space="preserve"> gestation or beyond (for the purposes of this </w:t>
      </w:r>
      <w:r w:rsidR="0084439B" w:rsidRPr="0084439B">
        <w:t xml:space="preserve">Perinatal and Maternal Mortality Review Committee </w:t>
      </w:r>
      <w:r w:rsidR="006256F1">
        <w:t>[</w:t>
      </w:r>
      <w:r w:rsidRPr="009F63CE">
        <w:t>PMMRC</w:t>
      </w:r>
      <w:r w:rsidR="006256F1">
        <w:t>]</w:t>
      </w:r>
      <w:r w:rsidRPr="009F63CE">
        <w:t xml:space="preserve"> </w:t>
      </w:r>
      <w:r w:rsidR="009F63CE" w:rsidRPr="009F63CE">
        <w:t>data set</w:t>
      </w:r>
      <w:r w:rsidRPr="009F63CE">
        <w:t>)</w:t>
      </w:r>
      <w:r w:rsidR="00D0512A">
        <w:t>,</w:t>
      </w:r>
      <w:r w:rsidRPr="009F63CE">
        <w:t xml:space="preserve"> or weighing at least 400</w:t>
      </w:r>
      <w:r w:rsidR="006256F1">
        <w:t xml:space="preserve"> </w:t>
      </w:r>
      <w:r w:rsidRPr="009F63CE">
        <w:t>g if gestation is unknown</w:t>
      </w:r>
      <w:r w:rsidR="00D0512A">
        <w:t>,</w:t>
      </w:r>
      <w:r w:rsidRPr="009F63CE">
        <w:t xml:space="preserve"> that occurs up until midnight of the 27th day of life. Early neonatal death is a death that occurs up until midnight of the </w:t>
      </w:r>
      <w:r w:rsidR="001702F0">
        <w:t>6</w:t>
      </w:r>
      <w:r w:rsidR="001702F0" w:rsidRPr="009F63CE">
        <w:t xml:space="preserve">th </w:t>
      </w:r>
      <w:r w:rsidRPr="009F63CE">
        <w:t xml:space="preserve">day of life. Late neonatal death is a death that occurs between the </w:t>
      </w:r>
      <w:r w:rsidR="001702F0">
        <w:t>7</w:t>
      </w:r>
      <w:r w:rsidR="001702F0" w:rsidRPr="009F63CE">
        <w:t xml:space="preserve">th </w:t>
      </w:r>
      <w:r w:rsidRPr="009F63CE">
        <w:t>day and midnight of the 27th day of life.</w:t>
      </w:r>
    </w:p>
    <w:p w14:paraId="160706D5" w14:textId="77777777" w:rsidR="009327A9" w:rsidRPr="009F63CE" w:rsidRDefault="009327A9" w:rsidP="00E5751D">
      <w:pPr>
        <w:pStyle w:val="H4"/>
      </w:pPr>
      <w:r w:rsidRPr="009F63CE">
        <w:lastRenderedPageBreak/>
        <w:t>Neonatal death rate</w:t>
      </w:r>
    </w:p>
    <w:p w14:paraId="269DC3DD" w14:textId="20D75ADC" w:rsidR="009327A9" w:rsidRPr="009F63CE" w:rsidRDefault="00B46023" w:rsidP="00526787">
      <w:pPr>
        <w:pStyle w:val="TeThHauorabodytext"/>
      </w:pPr>
      <w:r>
        <w:t>The n</w:t>
      </w:r>
      <w:r w:rsidR="009327A9" w:rsidRPr="009F63CE">
        <w:t>eonatal death rate is calculated as neonatal deaths per 1</w:t>
      </w:r>
      <w:r w:rsidR="00B64450">
        <w:t>,</w:t>
      </w:r>
      <w:r w:rsidR="009327A9" w:rsidRPr="009F63CE">
        <w:t>000 live born babies at 20 weeks</w:t>
      </w:r>
      <w:r w:rsidR="0095432A">
        <w:t>’</w:t>
      </w:r>
      <w:r w:rsidR="009327A9" w:rsidRPr="009F63CE">
        <w:t xml:space="preserve"> gestation or beyond or weighing at least 400</w:t>
      </w:r>
      <w:r w:rsidR="00B3668B">
        <w:t xml:space="preserve"> </w:t>
      </w:r>
      <w:r w:rsidR="009327A9" w:rsidRPr="009F63CE">
        <w:t>g if gestation is unknown.</w:t>
      </w:r>
    </w:p>
    <w:p w14:paraId="0D6FCEC1" w14:textId="77777777" w:rsidR="009327A9" w:rsidRPr="009F63CE" w:rsidRDefault="009327A9" w:rsidP="00E5751D">
      <w:pPr>
        <w:pStyle w:val="H4"/>
      </w:pPr>
      <w:r w:rsidRPr="009F63CE">
        <w:t>Perinatal mortality rate</w:t>
      </w:r>
    </w:p>
    <w:p w14:paraId="155B70F2" w14:textId="1811E020" w:rsidR="009327A9" w:rsidRPr="009F63CE" w:rsidRDefault="00100745" w:rsidP="00526787">
      <w:pPr>
        <w:pStyle w:val="TeThHauorabodytext"/>
      </w:pPr>
      <w:r>
        <w:t>I</w:t>
      </w:r>
      <w:r w:rsidRPr="009F63CE">
        <w:t xml:space="preserve">n </w:t>
      </w:r>
      <w:r w:rsidR="004816C9">
        <w:t>Aotearoa</w:t>
      </w:r>
      <w:r w:rsidR="009955DC">
        <w:t xml:space="preserve"> </w:t>
      </w:r>
      <w:r w:rsidRPr="009F63CE">
        <w:t>New Zealand</w:t>
      </w:r>
      <w:r>
        <w:t>, the p</w:t>
      </w:r>
      <w:r w:rsidR="009327A9" w:rsidRPr="009F63CE">
        <w:t>erinatal mortality rate is calculated as fetal deaths and early neonatal deaths per 1</w:t>
      </w:r>
      <w:r w:rsidR="00B64450">
        <w:t>,</w:t>
      </w:r>
      <w:r w:rsidR="009327A9" w:rsidRPr="009F63CE">
        <w:t>000 total babies born alive or born dead at 20 weeks</w:t>
      </w:r>
      <w:r w:rsidR="0095432A">
        <w:t>’</w:t>
      </w:r>
      <w:r w:rsidR="009327A9" w:rsidRPr="009F63CE">
        <w:t xml:space="preserve"> gestation or beyond, or weighing at least 400</w:t>
      </w:r>
      <w:r w:rsidR="00B3668B">
        <w:t xml:space="preserve"> </w:t>
      </w:r>
      <w:r w:rsidR="009327A9" w:rsidRPr="009F63CE">
        <w:t>g if gestation is unknown.</w:t>
      </w:r>
      <w:r w:rsidR="00613E2D">
        <w:t xml:space="preserve"> This is in line with the legal definition in </w:t>
      </w:r>
      <w:r w:rsidR="00B3668B">
        <w:t xml:space="preserve">Aotearoa </w:t>
      </w:r>
      <w:r w:rsidR="00613E2D">
        <w:t>for stillbirth</w:t>
      </w:r>
      <w:r w:rsidR="00B3668B">
        <w:t>.</w:t>
      </w:r>
      <w:r w:rsidR="00EA27B9">
        <w:rPr>
          <w:rStyle w:val="FootnoteReference"/>
        </w:rPr>
        <w:footnoteReference w:id="2"/>
      </w:r>
    </w:p>
    <w:p w14:paraId="1A0FB637" w14:textId="77777777" w:rsidR="009327A9" w:rsidRPr="009F63CE" w:rsidRDefault="009327A9" w:rsidP="00E5751D">
      <w:pPr>
        <w:pStyle w:val="H4"/>
      </w:pPr>
      <w:r w:rsidRPr="009F63CE">
        <w:t>Perinatal related mortality rate</w:t>
      </w:r>
    </w:p>
    <w:p w14:paraId="67CE130D" w14:textId="1F967BCD" w:rsidR="009327A9" w:rsidRPr="009F63CE" w:rsidRDefault="00B46023" w:rsidP="00526787">
      <w:pPr>
        <w:pStyle w:val="TeThHauorabodytext"/>
      </w:pPr>
      <w:r>
        <w:t>The p</w:t>
      </w:r>
      <w:r w:rsidR="009327A9" w:rsidRPr="009F63CE">
        <w:t>erinatal related mortality rate refers to fetal deaths and early and late neonatal deaths per 1</w:t>
      </w:r>
      <w:r w:rsidR="00B64450">
        <w:t>,</w:t>
      </w:r>
      <w:r w:rsidR="009327A9" w:rsidRPr="009F63CE">
        <w:t>000 total babies born at 20 weeks</w:t>
      </w:r>
      <w:r w:rsidR="0095432A">
        <w:t>’</w:t>
      </w:r>
      <w:r w:rsidR="009327A9" w:rsidRPr="009F63CE">
        <w:t xml:space="preserve"> gestation or beyond or weighing at least 400</w:t>
      </w:r>
      <w:r w:rsidR="001A6021">
        <w:t xml:space="preserve"> </w:t>
      </w:r>
      <w:r w:rsidR="009327A9" w:rsidRPr="009F63CE">
        <w:t>g if gestation is unknown.</w:t>
      </w:r>
    </w:p>
    <w:p w14:paraId="67BDC6F7" w14:textId="00CFE89F" w:rsidR="009327A9" w:rsidRPr="009F63CE" w:rsidRDefault="009327A9" w:rsidP="00E5751D">
      <w:pPr>
        <w:pStyle w:val="H4"/>
      </w:pPr>
      <w:r w:rsidRPr="009F63CE">
        <w:t>International perinatal mortality rates</w:t>
      </w:r>
    </w:p>
    <w:p w14:paraId="7686EB7C" w14:textId="552026CD" w:rsidR="009327A9" w:rsidRDefault="005E1099" w:rsidP="00526787">
      <w:pPr>
        <w:pStyle w:val="TeThHauorabodytext"/>
      </w:pPr>
      <w:r w:rsidRPr="009F63CE">
        <w:t xml:space="preserve">The </w:t>
      </w:r>
      <w:r w:rsidR="00ED44FE" w:rsidRPr="009F63CE">
        <w:t>World Health Organization (WHO)</w:t>
      </w:r>
      <w:r w:rsidRPr="009F63CE">
        <w:t xml:space="preserve"> recommend</w:t>
      </w:r>
      <w:r w:rsidR="00ED44FE" w:rsidRPr="009F63CE">
        <w:t>s</w:t>
      </w:r>
      <w:r w:rsidR="003A0B6F">
        <w:t xml:space="preserve"> the use of </w:t>
      </w:r>
      <w:r w:rsidRPr="009F63CE">
        <w:t>international perinatal mortality rate</w:t>
      </w:r>
      <w:r w:rsidR="003A0B6F">
        <w:t xml:space="preserve"> definitions</w:t>
      </w:r>
      <w:r w:rsidRPr="009F63CE">
        <w:t xml:space="preserve"> to facilitate international </w:t>
      </w:r>
      <w:r w:rsidRPr="001E5065">
        <w:t>comparison</w:t>
      </w:r>
      <w:r w:rsidR="00ED44FE" w:rsidRPr="001E5065">
        <w:t xml:space="preserve"> (WHO</w:t>
      </w:r>
      <w:r w:rsidR="001E5065" w:rsidRPr="001E5065">
        <w:t xml:space="preserve"> 2021</w:t>
      </w:r>
      <w:r w:rsidR="00ED44FE" w:rsidRPr="001E5065">
        <w:t>)</w:t>
      </w:r>
      <w:r w:rsidRPr="001E5065">
        <w:t>.</w:t>
      </w:r>
      <w:r w:rsidRPr="009F63CE">
        <w:t xml:space="preserve"> </w:t>
      </w:r>
      <w:r w:rsidR="009327A9" w:rsidRPr="009F63CE">
        <w:t>These are rates of fetal death, neonatal death, perinatal mortality and perinatal related</w:t>
      </w:r>
      <w:r w:rsidR="00B64450">
        <w:t xml:space="preserve"> mortality of babies weighing ≥1,</w:t>
      </w:r>
      <w:r w:rsidR="009327A9" w:rsidRPr="009F63CE">
        <w:t>000</w:t>
      </w:r>
      <w:r w:rsidR="00DB7B16">
        <w:t xml:space="preserve"> </w:t>
      </w:r>
      <w:r w:rsidR="009327A9" w:rsidRPr="009F63CE">
        <w:t>g, or ≥28</w:t>
      </w:r>
      <w:r w:rsidR="006950D8">
        <w:t> </w:t>
      </w:r>
      <w:r w:rsidR="009327A9" w:rsidRPr="009F63CE">
        <w:t>weeks if birthweight is unknown, per 1</w:t>
      </w:r>
      <w:r w:rsidR="00B64450">
        <w:t>,</w:t>
      </w:r>
      <w:r w:rsidR="009327A9" w:rsidRPr="009F63CE">
        <w:t>000 total births of babies ≥1</w:t>
      </w:r>
      <w:r w:rsidR="00B64450">
        <w:t>,</w:t>
      </w:r>
      <w:r w:rsidR="009327A9" w:rsidRPr="009F63CE">
        <w:t>000</w:t>
      </w:r>
      <w:r w:rsidR="00DB7B16">
        <w:t xml:space="preserve"> </w:t>
      </w:r>
      <w:r w:rsidR="009327A9" w:rsidRPr="009F63CE">
        <w:t>g, or ≥28 weeks if birthweight is unknown. Babies without birthweight or gestation are to be included if they have been registered</w:t>
      </w:r>
      <w:r w:rsidR="003A0B6F">
        <w:t xml:space="preserve"> as a birth or a death in accordance with a country’s own legislation</w:t>
      </w:r>
      <w:r w:rsidR="009327A9" w:rsidRPr="009F63CE">
        <w:t>.</w:t>
      </w:r>
    </w:p>
    <w:p w14:paraId="4D141903" w14:textId="06DFCCF4" w:rsidR="001E5065" w:rsidRPr="009F63CE" w:rsidRDefault="001E5065" w:rsidP="00526787">
      <w:pPr>
        <w:pStyle w:val="TeThHauorabodytext"/>
      </w:pPr>
      <w:r>
        <w:t>The number of fetal deaths of at least 28 weeks</w:t>
      </w:r>
      <w:r w:rsidR="00DB7B16">
        <w:t>’</w:t>
      </w:r>
      <w:r>
        <w:t xml:space="preserve"> gestation and/or 1</w:t>
      </w:r>
      <w:r w:rsidR="00E96ECD">
        <w:t>,</w:t>
      </w:r>
      <w:r>
        <w:t xml:space="preserve">000 g in weight and newborn deaths (up to and including the first </w:t>
      </w:r>
      <w:r w:rsidR="00DB7B16">
        <w:t xml:space="preserve">7 </w:t>
      </w:r>
      <w:r>
        <w:t>days after birth).</w:t>
      </w:r>
    </w:p>
    <w:p w14:paraId="3104FA9F" w14:textId="570BC1EC" w:rsidR="009327A9" w:rsidRPr="009F63CE" w:rsidRDefault="009327A9" w:rsidP="00E5751D">
      <w:pPr>
        <w:pStyle w:val="H4"/>
      </w:pPr>
      <w:r w:rsidRPr="009F63CE">
        <w:t xml:space="preserve">Lethal and terminated fetal </w:t>
      </w:r>
      <w:r w:rsidR="00B46023">
        <w:t>anomalies</w:t>
      </w:r>
    </w:p>
    <w:p w14:paraId="270F61EE" w14:textId="6819F683" w:rsidR="009327A9" w:rsidRPr="009F63CE" w:rsidRDefault="009327A9" w:rsidP="00526787">
      <w:pPr>
        <w:pStyle w:val="TeThHauorabodytext"/>
      </w:pPr>
      <w:r w:rsidRPr="009F63CE">
        <w:t xml:space="preserve">Lethal and terminated fetal </w:t>
      </w:r>
      <w:r w:rsidR="00B46023">
        <w:t>anomalies</w:t>
      </w:r>
      <w:r w:rsidRPr="009F63CE">
        <w:t xml:space="preserve"> are all perinatal related deaths classified by the </w:t>
      </w:r>
      <w:r w:rsidR="00753AAC" w:rsidRPr="009F63CE">
        <w:t>Perinatal Society of Australia and New Zealand</w:t>
      </w:r>
      <w:r w:rsidR="004301DB" w:rsidRPr="009F63CE">
        <w:t xml:space="preserve"> </w:t>
      </w:r>
      <w:r w:rsidR="00906B7A" w:rsidRPr="009F63CE">
        <w:t xml:space="preserve">Perinatal Death Classification </w:t>
      </w:r>
      <w:r w:rsidR="00753AAC" w:rsidRPr="009F63CE">
        <w:t>(</w:t>
      </w:r>
      <w:bookmarkStart w:id="13" w:name="_Hlk17292582"/>
      <w:r w:rsidR="0089040F" w:rsidRPr="009F63CE">
        <w:t>PSANZ-</w:t>
      </w:r>
      <w:r w:rsidR="00753AAC" w:rsidRPr="009F63CE">
        <w:t>PDC</w:t>
      </w:r>
      <w:bookmarkEnd w:id="13"/>
      <w:r w:rsidR="00753AAC" w:rsidRPr="009F63CE">
        <w:t xml:space="preserve">) </w:t>
      </w:r>
      <w:r w:rsidRPr="009F63CE">
        <w:t xml:space="preserve">system as PSANZ-PDC 1 (congenital </w:t>
      </w:r>
      <w:r w:rsidR="00B46023">
        <w:t>anomaly</w:t>
      </w:r>
      <w:r w:rsidRPr="009F63CE">
        <w:t xml:space="preserve">) and neonatal deaths classified by the PSANZ </w:t>
      </w:r>
      <w:r w:rsidR="00906B7A" w:rsidRPr="009F63CE">
        <w:t xml:space="preserve">Neonatal Death Classification </w:t>
      </w:r>
      <w:r w:rsidR="00753AAC" w:rsidRPr="009F63CE">
        <w:t>(</w:t>
      </w:r>
      <w:bookmarkStart w:id="14" w:name="_Hlk17292589"/>
      <w:r w:rsidR="00753AAC" w:rsidRPr="009F63CE">
        <w:t>PSANZ-NDC</w:t>
      </w:r>
      <w:bookmarkEnd w:id="14"/>
      <w:r w:rsidR="00753AAC" w:rsidRPr="009F63CE">
        <w:t xml:space="preserve">) </w:t>
      </w:r>
      <w:r w:rsidRPr="009F63CE">
        <w:t xml:space="preserve">system as PSANZ-NDC 1 (congenital </w:t>
      </w:r>
      <w:r w:rsidR="00B46023">
        <w:t>anomaly</w:t>
      </w:r>
      <w:r w:rsidRPr="009F63CE">
        <w:t>).</w:t>
      </w:r>
    </w:p>
    <w:p w14:paraId="142CBBD5" w14:textId="77777777" w:rsidR="009327A9" w:rsidRPr="009F63CE" w:rsidRDefault="009327A9" w:rsidP="00E5751D">
      <w:pPr>
        <w:pStyle w:val="H4"/>
      </w:pPr>
      <w:r w:rsidRPr="009F63CE">
        <w:t>Intrapartum stillbirth rate</w:t>
      </w:r>
    </w:p>
    <w:p w14:paraId="132EA217" w14:textId="6ECE17D9" w:rsidR="009327A9" w:rsidRPr="009F63CE" w:rsidRDefault="00B46023" w:rsidP="00526787">
      <w:pPr>
        <w:pStyle w:val="TeThHauorabodytext"/>
      </w:pPr>
      <w:r>
        <w:t>The i</w:t>
      </w:r>
      <w:r w:rsidR="009327A9" w:rsidRPr="009F63CE">
        <w:t>ntrapartum stillbirth rate calculates deaths of babies of at least 24 weeks</w:t>
      </w:r>
      <w:r w:rsidR="0095432A">
        <w:t>’</w:t>
      </w:r>
      <w:r w:rsidR="009327A9" w:rsidRPr="009F63CE">
        <w:t xml:space="preserve"> gestation without congenital </w:t>
      </w:r>
      <w:r>
        <w:t>anomaly</w:t>
      </w:r>
      <w:r w:rsidR="009327A9" w:rsidRPr="009F63CE">
        <w:t xml:space="preserve"> who entered labour alive but then died during labour</w:t>
      </w:r>
      <w:r>
        <w:t>,</w:t>
      </w:r>
      <w:r w:rsidR="009327A9" w:rsidRPr="009F63CE">
        <w:t xml:space="preserve"> as a rate per 1</w:t>
      </w:r>
      <w:r w:rsidR="00B64450">
        <w:t>,</w:t>
      </w:r>
      <w:r w:rsidR="009327A9" w:rsidRPr="009F63CE">
        <w:t xml:space="preserve">000 </w:t>
      </w:r>
      <w:r w:rsidR="009327A9" w:rsidRPr="003A0B6F">
        <w:t>births</w:t>
      </w:r>
      <w:r w:rsidR="003A0B6F" w:rsidRPr="003A0B6F">
        <w:t xml:space="preserve"> </w:t>
      </w:r>
      <w:r w:rsidR="003A0B6F" w:rsidRPr="003A0B6F">
        <w:rPr>
          <w:rStyle w:val="cf01"/>
          <w:rFonts w:ascii="Arial" w:hAnsi="Arial" w:cs="Arial"/>
          <w:sz w:val="22"/>
          <w:szCs w:val="22"/>
          <w:lang w:val="en"/>
        </w:rPr>
        <w:t>≥</w:t>
      </w:r>
      <w:r w:rsidR="009327A9" w:rsidRPr="009F63CE">
        <w:t>24 weeks</w:t>
      </w:r>
      <w:r w:rsidR="00127C4B">
        <w:t>.</w:t>
      </w:r>
    </w:p>
    <w:p w14:paraId="7F0CF94F" w14:textId="77777777" w:rsidR="001C7828" w:rsidRPr="009F63CE" w:rsidRDefault="004A2CB2" w:rsidP="00E5751D">
      <w:pPr>
        <w:pStyle w:val="H4"/>
      </w:pPr>
      <w:r w:rsidRPr="009F63CE">
        <w:t>Maternal death</w:t>
      </w:r>
      <w:r w:rsidR="00115CC8" w:rsidRPr="009F63CE">
        <w:t xml:space="preserve"> </w:t>
      </w:r>
    </w:p>
    <w:p w14:paraId="2FC54B4E" w14:textId="06D6ABFF" w:rsidR="004A2CB2" w:rsidRPr="009F63CE" w:rsidRDefault="001C7828" w:rsidP="00526787">
      <w:pPr>
        <w:pStyle w:val="TeThHauorabodytext"/>
      </w:pPr>
      <w:r w:rsidRPr="009F63CE">
        <w:t xml:space="preserve">Maternal death </w:t>
      </w:r>
      <w:r w:rsidR="00115CC8" w:rsidRPr="009F63CE">
        <w:t>is the</w:t>
      </w:r>
      <w:r w:rsidR="004A2CB2" w:rsidRPr="009F63CE">
        <w:t xml:space="preserve"> death of a </w:t>
      </w:r>
      <w:r w:rsidR="00F76CD9">
        <w:t>person</w:t>
      </w:r>
      <w:r w:rsidR="00F76CD9" w:rsidRPr="009F63CE">
        <w:t xml:space="preserve"> </w:t>
      </w:r>
      <w:r w:rsidR="004A2CB2" w:rsidRPr="009F63CE">
        <w:t xml:space="preserve">while pregnant or within 42 days of </w:t>
      </w:r>
      <w:r w:rsidR="00243343">
        <w:t>the end</w:t>
      </w:r>
      <w:r w:rsidR="004A2CB2" w:rsidRPr="009F63CE">
        <w:t xml:space="preserve"> of pregnancy </w:t>
      </w:r>
      <w:r w:rsidR="00115CC8" w:rsidRPr="009F63CE">
        <w:t xml:space="preserve">(miscarriage, termination or birth), </w:t>
      </w:r>
      <w:r w:rsidR="004A2CB2" w:rsidRPr="009F63CE">
        <w:t xml:space="preserve">irrespective of the duration and site of the pregnancy, from any cause related to or aggravated by the pregnancy or its management, but not from accidental </w:t>
      </w:r>
      <w:r w:rsidR="00115CC8" w:rsidRPr="009F63CE">
        <w:t>or incidental causes (</w:t>
      </w:r>
      <w:hyperlink r:id="rId17" w:history="1">
        <w:r w:rsidR="00115CC8" w:rsidRPr="009F63CE">
          <w:rPr>
            <w:rStyle w:val="Hyperlink"/>
            <w:color w:val="auto"/>
            <w:u w:val="none"/>
          </w:rPr>
          <w:t>WHO nd</w:t>
        </w:r>
      </w:hyperlink>
      <w:r w:rsidR="00115CC8" w:rsidRPr="009F63CE">
        <w:t>)</w:t>
      </w:r>
      <w:r w:rsidRPr="009F63CE">
        <w:t>.</w:t>
      </w:r>
    </w:p>
    <w:p w14:paraId="3EE6AFB3" w14:textId="574F7033" w:rsidR="00115CC8" w:rsidRPr="009F63CE" w:rsidRDefault="00115CC8" w:rsidP="00526787">
      <w:pPr>
        <w:pStyle w:val="TeThHauorabodytext"/>
      </w:pPr>
      <w:r w:rsidRPr="009F63CE">
        <w:lastRenderedPageBreak/>
        <w:t xml:space="preserve">The cause of maternal death is sub-classified </w:t>
      </w:r>
      <w:r w:rsidR="0096181D" w:rsidRPr="009F63CE">
        <w:t xml:space="preserve">into the following categories </w:t>
      </w:r>
      <w:r w:rsidRPr="009F63CE">
        <w:t xml:space="preserve">based on </w:t>
      </w:r>
      <w:r w:rsidRPr="009F63CE">
        <w:rPr>
          <w:i/>
        </w:rPr>
        <w:t>The WHO Application of ICD-10 to Deaths during Pregnancy, Childbirth and Puerperium: ICD MM</w:t>
      </w:r>
      <w:r w:rsidRPr="009F63CE">
        <w:t xml:space="preserve"> (</w:t>
      </w:r>
      <w:hyperlink r:id="rId18" w:history="1">
        <w:r w:rsidRPr="009F63CE">
          <w:t>WHO 2012</w:t>
        </w:r>
      </w:hyperlink>
      <w:r w:rsidRPr="009F63CE">
        <w:t>).</w:t>
      </w:r>
    </w:p>
    <w:p w14:paraId="32EF40FE" w14:textId="13BFA8E1" w:rsidR="0023448B" w:rsidRPr="009F63CE" w:rsidRDefault="004A2CB2" w:rsidP="00287837">
      <w:pPr>
        <w:pStyle w:val="ListBullet"/>
        <w:spacing w:before="0" w:after="60"/>
        <w:ind w:left="357" w:hanging="357"/>
        <w:rPr>
          <w:rFonts w:cs="Arial"/>
        </w:rPr>
      </w:pPr>
      <w:r w:rsidRPr="009F63CE">
        <w:rPr>
          <w:rFonts w:cs="Arial"/>
          <w:b/>
        </w:rPr>
        <w:t>Direct maternal deaths</w:t>
      </w:r>
      <w:r w:rsidRPr="0052003C">
        <w:rPr>
          <w:rFonts w:cs="Arial"/>
          <w:b/>
          <w:bCs/>
        </w:rPr>
        <w:t>:</w:t>
      </w:r>
      <w:r w:rsidRPr="009F63CE">
        <w:rPr>
          <w:rFonts w:cs="Arial"/>
        </w:rPr>
        <w:t xml:space="preserve"> those resulting from obstetric complications of the pregnant state (pregnancy, labour or puerperium</w:t>
      </w:r>
      <w:r w:rsidR="00E1122C">
        <w:rPr>
          <w:rStyle w:val="FootnoteReference"/>
          <w:rFonts w:cs="Arial"/>
        </w:rPr>
        <w:footnoteReference w:id="3"/>
      </w:r>
      <w:r w:rsidRPr="009F63CE">
        <w:rPr>
          <w:rFonts w:cs="Arial"/>
        </w:rPr>
        <w:t>), from interventions, omissions, incorrect treatment or from a chain of events resulting from the above.</w:t>
      </w:r>
      <w:r w:rsidR="0023448B" w:rsidRPr="009F63CE">
        <w:rPr>
          <w:rFonts w:cs="Arial"/>
        </w:rPr>
        <w:t xml:space="preserve"> In 2018, the PMMRC adopted the WHO revision to include deaths by suicide with direct maternal deaths.</w:t>
      </w:r>
      <w:r w:rsidR="00A65593" w:rsidRPr="009F63CE">
        <w:rPr>
          <w:rFonts w:cs="Arial"/>
        </w:rPr>
        <w:t xml:space="preserve"> This was then applied retrospectively to data from previous years. </w:t>
      </w:r>
    </w:p>
    <w:p w14:paraId="1F9D1762" w14:textId="77777777" w:rsidR="004A2CB2" w:rsidRPr="009F63CE" w:rsidRDefault="004A2CB2" w:rsidP="00287837">
      <w:pPr>
        <w:pStyle w:val="ListBullet"/>
        <w:spacing w:before="0" w:after="60"/>
        <w:ind w:left="357" w:hanging="357"/>
        <w:rPr>
          <w:rFonts w:cs="Arial"/>
        </w:rPr>
      </w:pPr>
      <w:r w:rsidRPr="009F63CE">
        <w:rPr>
          <w:rFonts w:cs="Arial"/>
          <w:b/>
        </w:rPr>
        <w:t>Indirect maternal deaths</w:t>
      </w:r>
      <w:r w:rsidRPr="0052003C">
        <w:rPr>
          <w:rFonts w:cs="Arial"/>
          <w:b/>
          <w:bCs/>
        </w:rPr>
        <w:t>:</w:t>
      </w:r>
      <w:r w:rsidRPr="009F63CE">
        <w:rPr>
          <w:rFonts w:cs="Arial"/>
        </w:rPr>
        <w:t xml:space="preserve"> those resulting from previous existing disease or disease that developed during pregnancy and was not due to direct obstetric causes but that was aggravated by the physiologic effects of pregnancy.</w:t>
      </w:r>
      <w:r w:rsidR="00365A61" w:rsidRPr="009F63CE">
        <w:rPr>
          <w:rFonts w:cs="Arial"/>
        </w:rPr>
        <w:t xml:space="preserve"> </w:t>
      </w:r>
    </w:p>
    <w:p w14:paraId="6896CC89" w14:textId="78A8839F" w:rsidR="00E06C74" w:rsidRPr="009F63CE" w:rsidRDefault="0024243B" w:rsidP="00287837">
      <w:pPr>
        <w:pStyle w:val="ListBullet"/>
        <w:spacing w:before="0" w:after="60"/>
        <w:ind w:left="357" w:hanging="357"/>
        <w:rPr>
          <w:rFonts w:cs="Arial"/>
        </w:rPr>
      </w:pPr>
      <w:r w:rsidRPr="009F63CE">
        <w:rPr>
          <w:rFonts w:cs="Arial"/>
          <w:b/>
        </w:rPr>
        <w:t>Unknown/</w:t>
      </w:r>
      <w:r w:rsidR="0052003C">
        <w:rPr>
          <w:rFonts w:cs="Arial"/>
          <w:b/>
        </w:rPr>
        <w:t>u</w:t>
      </w:r>
      <w:r w:rsidRPr="009F63CE">
        <w:rPr>
          <w:rFonts w:cs="Arial"/>
          <w:b/>
        </w:rPr>
        <w:t xml:space="preserve">ndetermined </w:t>
      </w:r>
      <w:r w:rsidR="004A3A44" w:rsidRPr="009F63CE">
        <w:rPr>
          <w:rFonts w:cs="Arial"/>
          <w:b/>
        </w:rPr>
        <w:t xml:space="preserve">(or </w:t>
      </w:r>
      <w:r w:rsidR="0052003C">
        <w:rPr>
          <w:rFonts w:cs="Arial"/>
          <w:b/>
        </w:rPr>
        <w:t>u</w:t>
      </w:r>
      <w:r w:rsidR="000B186C" w:rsidRPr="009F63CE">
        <w:rPr>
          <w:rFonts w:cs="Arial"/>
          <w:b/>
        </w:rPr>
        <w:t>nclassifiable</w:t>
      </w:r>
      <w:r w:rsidR="004A3A44" w:rsidRPr="009F63CE">
        <w:rPr>
          <w:rFonts w:cs="Arial"/>
          <w:b/>
        </w:rPr>
        <w:t>)</w:t>
      </w:r>
      <w:r w:rsidR="000C6DCD" w:rsidRPr="009F63CE">
        <w:rPr>
          <w:rFonts w:cs="Arial"/>
          <w:b/>
        </w:rPr>
        <w:t xml:space="preserve"> maternal death</w:t>
      </w:r>
      <w:r w:rsidR="000C6DCD" w:rsidRPr="009F63CE">
        <w:rPr>
          <w:rFonts w:cs="Arial"/>
        </w:rPr>
        <w:t xml:space="preserve"> is a</w:t>
      </w:r>
      <w:r w:rsidR="000B0DFA" w:rsidRPr="009F63CE">
        <w:rPr>
          <w:rFonts w:cs="Arial"/>
        </w:rPr>
        <w:t xml:space="preserve"> death during pregnancy, childbirth and the puerperium where the underlying cause is unknown or was not determined. </w:t>
      </w:r>
    </w:p>
    <w:p w14:paraId="7C319DF9" w14:textId="0AB26E80" w:rsidR="004A2CB2" w:rsidRPr="009F63CE" w:rsidRDefault="004A2CB2" w:rsidP="00287837">
      <w:pPr>
        <w:pStyle w:val="ListBullet"/>
        <w:spacing w:before="0" w:after="60"/>
        <w:ind w:left="357" w:hanging="357"/>
        <w:rPr>
          <w:rFonts w:cs="Arial"/>
        </w:rPr>
      </w:pPr>
      <w:r w:rsidRPr="009F63CE">
        <w:rPr>
          <w:rFonts w:cs="Arial"/>
          <w:b/>
        </w:rPr>
        <w:t>Coincidental maternal deaths</w:t>
      </w:r>
      <w:r w:rsidRPr="0052003C">
        <w:rPr>
          <w:rFonts w:cs="Arial"/>
          <w:b/>
          <w:bCs/>
        </w:rPr>
        <w:t>:</w:t>
      </w:r>
      <w:r w:rsidRPr="009F63CE">
        <w:rPr>
          <w:rFonts w:cs="Arial"/>
        </w:rPr>
        <w:t xml:space="preserve"> deaths from unrelated causes that happen to occur in pregnancy or the puerperium.</w:t>
      </w:r>
      <w:r w:rsidR="009A6055">
        <w:rPr>
          <w:rFonts w:cs="Arial"/>
        </w:rPr>
        <w:t xml:space="preserve"> Coincidental maternal deaths are not included in maternal death analyses.</w:t>
      </w:r>
    </w:p>
    <w:p w14:paraId="1686637A" w14:textId="77777777" w:rsidR="004C33EF" w:rsidRPr="009F63CE" w:rsidRDefault="00BE7DF4" w:rsidP="00E5751D">
      <w:pPr>
        <w:pStyle w:val="H4"/>
      </w:pPr>
      <w:r w:rsidRPr="009F63CE">
        <w:t xml:space="preserve">Maternal mortality ratio </w:t>
      </w:r>
    </w:p>
    <w:p w14:paraId="3CA30946" w14:textId="3B7A182C" w:rsidR="00BE7DF4" w:rsidRPr="009F63CE" w:rsidRDefault="004C33EF" w:rsidP="00526787">
      <w:pPr>
        <w:pStyle w:val="TeThHauorabodytext"/>
      </w:pPr>
      <w:r w:rsidRPr="009F63CE">
        <w:t xml:space="preserve">Maternal mortality ratio </w:t>
      </w:r>
      <w:r w:rsidR="00BE7DF4" w:rsidRPr="009F63CE">
        <w:t xml:space="preserve">is the number of maternal deaths per 100,000 </w:t>
      </w:r>
      <w:bookmarkStart w:id="15" w:name="_Hlk114647252"/>
      <w:r w:rsidR="00BE7DF4" w:rsidRPr="009F63CE">
        <w:t>maternities</w:t>
      </w:r>
      <w:r w:rsidR="0094142B">
        <w:t xml:space="preserve"> as per WHO recommendations (see maternities below)</w:t>
      </w:r>
      <w:bookmarkEnd w:id="15"/>
      <w:r w:rsidR="00BE7DF4" w:rsidRPr="009F63CE">
        <w:t xml:space="preserve">. </w:t>
      </w:r>
    </w:p>
    <w:p w14:paraId="55A7A6FC" w14:textId="6892DA91" w:rsidR="0023448B" w:rsidRPr="009F63CE" w:rsidRDefault="0023448B" w:rsidP="00526787">
      <w:pPr>
        <w:pStyle w:val="TeThHauorabodytext"/>
      </w:pPr>
      <w:r w:rsidRPr="009F63CE">
        <w:t xml:space="preserve">The term ‘ratio’ is used to describe ‘incidence’ of maternal mortality because cases included in the numerator may arise from pregnancies that end before 20 weeks. As the total number of pregnancies ending before 20 weeks is unknown, the denominator cannot include all </w:t>
      </w:r>
      <w:r w:rsidR="0040677C">
        <w:t>those</w:t>
      </w:r>
      <w:r w:rsidR="003F0E8E" w:rsidRPr="009F63CE">
        <w:t xml:space="preserve"> </w:t>
      </w:r>
      <w:r w:rsidRPr="009F63CE">
        <w:t>at risk and thus the estimate cannot truly be called a ‘rate’.</w:t>
      </w:r>
    </w:p>
    <w:p w14:paraId="1BBDE23F" w14:textId="77777777" w:rsidR="0096181D" w:rsidRPr="009F63CE" w:rsidRDefault="00BE7DF4" w:rsidP="00E5751D">
      <w:pPr>
        <w:pStyle w:val="H4"/>
      </w:pPr>
      <w:r w:rsidRPr="009F63CE">
        <w:t xml:space="preserve">Maternities </w:t>
      </w:r>
    </w:p>
    <w:p w14:paraId="5E9D566A" w14:textId="4942D7E5" w:rsidR="00BE7DF4" w:rsidRPr="009F63CE" w:rsidRDefault="0096181D" w:rsidP="00526787">
      <w:pPr>
        <w:pStyle w:val="TeThHauorabodytext"/>
      </w:pPr>
      <w:r w:rsidRPr="009F63CE">
        <w:t xml:space="preserve">Maternities </w:t>
      </w:r>
      <w:r w:rsidR="00BE7DF4" w:rsidRPr="009F63CE">
        <w:t xml:space="preserve">are defined here as all </w:t>
      </w:r>
      <w:r w:rsidR="00710814">
        <w:t xml:space="preserve">live </w:t>
      </w:r>
      <w:r w:rsidR="00BE7DF4" w:rsidRPr="009F63CE">
        <w:t xml:space="preserve">births </w:t>
      </w:r>
      <w:r w:rsidR="00710814">
        <w:t xml:space="preserve">and all fetal deaths </w:t>
      </w:r>
      <w:r w:rsidR="00BE7DF4" w:rsidRPr="009F63CE">
        <w:t>at 20 weeks</w:t>
      </w:r>
      <w:r w:rsidR="00710814">
        <w:t>’ gestation</w:t>
      </w:r>
      <w:r w:rsidR="00BE7DF4" w:rsidRPr="009F63CE">
        <w:t xml:space="preserve"> or beyond or weighing 400</w:t>
      </w:r>
      <w:r w:rsidR="00E17D69">
        <w:t xml:space="preserve"> </w:t>
      </w:r>
      <w:r w:rsidR="00BE7DF4" w:rsidRPr="009F63CE">
        <w:t>g or more if gestation was unknown. Pregnancies ending before 20</w:t>
      </w:r>
      <w:r w:rsidR="0094142B">
        <w:t xml:space="preserve"> </w:t>
      </w:r>
      <w:r w:rsidR="00BE7DF4" w:rsidRPr="009F63CE">
        <w:t>weeks are not included in this working definition because the absolute number of pregnancies ending before this time is unknown.</w:t>
      </w:r>
    </w:p>
    <w:p w14:paraId="5508FDF1" w14:textId="57B4C7E7" w:rsidR="0023448B" w:rsidRPr="009F63CE" w:rsidRDefault="0023448B" w:rsidP="00526787">
      <w:pPr>
        <w:pStyle w:val="TeThHauorabodytext"/>
      </w:pPr>
      <w:r w:rsidRPr="009F63CE">
        <w:t xml:space="preserve">The variable definition of ‘maternities’ creates unnecessary confusion when making international comparisons. The WHO recommends 100,000 live births as the most available denominator in countries with limited </w:t>
      </w:r>
      <w:r w:rsidR="00E17D69">
        <w:t xml:space="preserve">collection of </w:t>
      </w:r>
      <w:r w:rsidRPr="009F63CE">
        <w:t xml:space="preserve">vital statistics. In countries where fetal deaths are also collected, the WHO recommends the denominator be 100,000 live births plus fetal deaths of </w:t>
      </w:r>
      <w:r w:rsidR="00A21298">
        <w:t>≥</w:t>
      </w:r>
      <w:r w:rsidRPr="009F63CE">
        <w:t>20 weeks</w:t>
      </w:r>
      <w:r w:rsidR="00A21298">
        <w:t>’</w:t>
      </w:r>
      <w:r w:rsidRPr="009F63CE">
        <w:t xml:space="preserve"> gestation. </w:t>
      </w:r>
    </w:p>
    <w:p w14:paraId="5502F3CC" w14:textId="4D65C6A7" w:rsidR="0023448B" w:rsidRPr="009F63CE" w:rsidRDefault="0023448B" w:rsidP="001A6289">
      <w:pPr>
        <w:pStyle w:val="ListBullet"/>
        <w:spacing w:before="0" w:after="60"/>
        <w:ind w:left="357" w:hanging="357"/>
        <w:rPr>
          <w:rFonts w:cs="Arial"/>
        </w:rPr>
      </w:pPr>
      <w:r w:rsidRPr="009F63CE">
        <w:rPr>
          <w:rFonts w:cs="Arial"/>
        </w:rPr>
        <w:t>The UK uses the number of pregnancies that result in a live birth at any gestation or a stillbirth at or after 24 completed weeks</w:t>
      </w:r>
      <w:r w:rsidR="0095432A">
        <w:rPr>
          <w:rFonts w:cs="Arial"/>
        </w:rPr>
        <w:t>’</w:t>
      </w:r>
      <w:r w:rsidRPr="009F63CE">
        <w:rPr>
          <w:rFonts w:cs="Arial"/>
        </w:rPr>
        <w:t xml:space="preserve"> gestation (as only stillbirths at </w:t>
      </w:r>
      <w:r w:rsidR="00A21298">
        <w:rPr>
          <w:rFonts w:cs="Arial"/>
        </w:rPr>
        <w:t>≥</w:t>
      </w:r>
      <w:r w:rsidRPr="009F63CE">
        <w:rPr>
          <w:rFonts w:cs="Arial"/>
        </w:rPr>
        <w:t>24 weeks</w:t>
      </w:r>
      <w:r w:rsidR="0095432A">
        <w:rPr>
          <w:rFonts w:cs="Arial"/>
        </w:rPr>
        <w:t>’</w:t>
      </w:r>
      <w:r w:rsidRPr="009F63CE">
        <w:rPr>
          <w:rFonts w:cs="Arial"/>
        </w:rPr>
        <w:t xml:space="preserve"> gestation are required to be notified by law) (</w:t>
      </w:r>
      <w:r w:rsidR="00B66F3F" w:rsidRPr="00B66F3F">
        <w:t>National Perinatal Epidemiology Unit</w:t>
      </w:r>
      <w:r w:rsidR="00B66F3F">
        <w:t xml:space="preserve"> 2023</w:t>
      </w:r>
      <w:r w:rsidRPr="009F63CE">
        <w:rPr>
          <w:rFonts w:cs="Arial"/>
        </w:rPr>
        <w:t xml:space="preserve">). </w:t>
      </w:r>
    </w:p>
    <w:p w14:paraId="6D4FAC81" w14:textId="4C922552" w:rsidR="0023448B" w:rsidRDefault="0023448B" w:rsidP="001A6289">
      <w:pPr>
        <w:pStyle w:val="ListBullet"/>
        <w:spacing w:before="0" w:after="60"/>
        <w:ind w:left="357" w:hanging="357"/>
        <w:rPr>
          <w:rFonts w:cs="Arial"/>
        </w:rPr>
      </w:pPr>
      <w:r w:rsidRPr="00B66F3F">
        <w:rPr>
          <w:rFonts w:cs="Arial"/>
        </w:rPr>
        <w:t xml:space="preserve">Australia reports </w:t>
      </w:r>
      <w:r w:rsidR="00C22518" w:rsidRPr="00B66F3F">
        <w:rPr>
          <w:rFonts w:cs="Arial"/>
        </w:rPr>
        <w:t xml:space="preserve">information on both </w:t>
      </w:r>
      <w:r w:rsidR="00C22518" w:rsidRPr="00B66F3F">
        <w:rPr>
          <w:rFonts w:cs="Arial"/>
          <w:color w:val="212529"/>
          <w:shd w:val="clear" w:color="auto" w:fill="FFFFFF"/>
        </w:rPr>
        <w:t xml:space="preserve">live births and stillbirths where gestational age is </w:t>
      </w:r>
      <w:r w:rsidR="00A21298">
        <w:rPr>
          <w:rFonts w:cs="Arial"/>
          <w:color w:val="212529"/>
          <w:shd w:val="clear" w:color="auto" w:fill="FFFFFF"/>
        </w:rPr>
        <w:t>≥</w:t>
      </w:r>
      <w:r w:rsidR="00C22518" w:rsidRPr="00B66F3F">
        <w:rPr>
          <w:rFonts w:cs="Arial"/>
          <w:color w:val="212529"/>
          <w:shd w:val="clear" w:color="auto" w:fill="FFFFFF"/>
        </w:rPr>
        <w:t xml:space="preserve">20 weeks or birthweight is </w:t>
      </w:r>
      <w:r w:rsidR="00A21298">
        <w:rPr>
          <w:rFonts w:cs="Arial"/>
          <w:color w:val="212529"/>
          <w:shd w:val="clear" w:color="auto" w:fill="FFFFFF"/>
        </w:rPr>
        <w:t>≥</w:t>
      </w:r>
      <w:r w:rsidR="00C22518" w:rsidRPr="00B66F3F">
        <w:rPr>
          <w:rFonts w:cs="Arial"/>
          <w:color w:val="212529"/>
          <w:shd w:val="clear" w:color="auto" w:fill="FFFFFF"/>
        </w:rPr>
        <w:t xml:space="preserve">400 g, except in Victoria and Western Australia, where births are included if gestational age is </w:t>
      </w:r>
      <w:r w:rsidR="00A21298">
        <w:rPr>
          <w:rFonts w:cs="Arial"/>
          <w:color w:val="212529"/>
          <w:shd w:val="clear" w:color="auto" w:fill="FFFFFF"/>
        </w:rPr>
        <w:t>≥</w:t>
      </w:r>
      <w:r w:rsidR="00C22518" w:rsidRPr="00B66F3F">
        <w:rPr>
          <w:rFonts w:cs="Arial"/>
          <w:color w:val="212529"/>
          <w:shd w:val="clear" w:color="auto" w:fill="FFFFFF"/>
        </w:rPr>
        <w:t xml:space="preserve">20 weeks or, if gestation is unknown, birthweight is </w:t>
      </w:r>
      <w:r w:rsidR="00A21298">
        <w:rPr>
          <w:rFonts w:cs="Arial"/>
          <w:color w:val="212529"/>
          <w:shd w:val="clear" w:color="auto" w:fill="FFFFFF"/>
        </w:rPr>
        <w:t>≥</w:t>
      </w:r>
      <w:r w:rsidR="00C22518" w:rsidRPr="00B66F3F">
        <w:rPr>
          <w:rFonts w:cs="Arial"/>
          <w:color w:val="212529"/>
          <w:shd w:val="clear" w:color="auto" w:fill="FFFFFF"/>
        </w:rPr>
        <w:t>400 g</w:t>
      </w:r>
      <w:r w:rsidRPr="00B66F3F">
        <w:rPr>
          <w:rFonts w:cs="Arial"/>
        </w:rPr>
        <w:t xml:space="preserve"> (</w:t>
      </w:r>
      <w:r w:rsidR="00B66F3F" w:rsidRPr="00B66F3F">
        <w:rPr>
          <w:rFonts w:cs="Arial"/>
        </w:rPr>
        <w:t>Australian Institute of Health and Welfare 2021</w:t>
      </w:r>
      <w:r w:rsidRPr="00B66F3F">
        <w:rPr>
          <w:rFonts w:cs="Arial"/>
        </w:rPr>
        <w:t>).</w:t>
      </w:r>
    </w:p>
    <w:p w14:paraId="2499B113" w14:textId="77777777" w:rsidR="008C4ED4" w:rsidRPr="009F63CE" w:rsidRDefault="008C4ED4" w:rsidP="00877C39">
      <w:pPr>
        <w:pStyle w:val="TeThHauorahead2"/>
      </w:pPr>
      <w:bookmarkStart w:id="16" w:name="_Toc169524775"/>
      <w:r w:rsidRPr="009F63CE">
        <w:lastRenderedPageBreak/>
        <w:t>Other definitions</w:t>
      </w:r>
      <w:bookmarkEnd w:id="16"/>
    </w:p>
    <w:p w14:paraId="1A41F477" w14:textId="77777777" w:rsidR="009327A9" w:rsidRPr="009F63CE" w:rsidRDefault="009327A9" w:rsidP="00877C39">
      <w:pPr>
        <w:pStyle w:val="TeThHauorahead3"/>
      </w:pPr>
      <w:r w:rsidRPr="009F63CE">
        <w:t>Customised birthweight centiles</w:t>
      </w:r>
    </w:p>
    <w:p w14:paraId="3384E0EF" w14:textId="3470BB89" w:rsidR="009A1B3C" w:rsidRDefault="00935107" w:rsidP="00526787">
      <w:pPr>
        <w:pStyle w:val="TeThHauorabodytext"/>
      </w:pPr>
      <w:r w:rsidRPr="00935107">
        <w:rPr>
          <w:color w:val="242424"/>
          <w:shd w:val="clear" w:color="auto" w:fill="FFFFFF"/>
        </w:rPr>
        <w:t xml:space="preserve">The </w:t>
      </w:r>
      <w:r w:rsidR="00773013">
        <w:rPr>
          <w:color w:val="242424"/>
          <w:shd w:val="clear" w:color="auto" w:fill="FFFFFF"/>
        </w:rPr>
        <w:t>c</w:t>
      </w:r>
      <w:r w:rsidRPr="00935107">
        <w:rPr>
          <w:color w:val="242424"/>
          <w:shd w:val="clear" w:color="auto" w:fill="FFFFFF"/>
        </w:rPr>
        <w:t>ustomised birthweight centiles (</w:t>
      </w:r>
      <w:r w:rsidR="009F2160">
        <w:rPr>
          <w:color w:val="242424"/>
          <w:shd w:val="clear" w:color="auto" w:fill="FFFFFF"/>
        </w:rPr>
        <w:t>CBWCs</w:t>
      </w:r>
      <w:r w:rsidRPr="00935107">
        <w:rPr>
          <w:color w:val="242424"/>
          <w:shd w:val="clear" w:color="auto" w:fill="FFFFFF"/>
        </w:rPr>
        <w:t xml:space="preserve">) are calculated using the bulk </w:t>
      </w:r>
      <w:r w:rsidRPr="00526787">
        <w:t>calculator</w:t>
      </w:r>
      <w:r w:rsidRPr="00935107">
        <w:rPr>
          <w:color w:val="242424"/>
          <w:shd w:val="clear" w:color="auto" w:fill="FFFFFF"/>
        </w:rPr>
        <w:t xml:space="preserve"> available from the Gestation Network (</w:t>
      </w:r>
      <w:hyperlink r:id="rId19" w:history="1">
        <w:r w:rsidRPr="00935107">
          <w:rPr>
            <w:rStyle w:val="Hyperlink"/>
            <w:bdr w:val="none" w:sz="0" w:space="0" w:color="auto" w:frame="1"/>
            <w:shd w:val="clear" w:color="auto" w:fill="FFFFFF"/>
          </w:rPr>
          <w:t>www.gestation.net</w:t>
        </w:r>
      </w:hyperlink>
      <w:r w:rsidRPr="00935107">
        <w:rPr>
          <w:color w:val="242424"/>
          <w:shd w:val="clear" w:color="auto" w:fill="FFFFFF"/>
        </w:rPr>
        <w:t>).</w:t>
      </w:r>
      <w:r w:rsidRPr="009A1B3C">
        <w:t xml:space="preserve"> </w:t>
      </w:r>
      <w:r w:rsidR="009A1B3C" w:rsidRPr="009A1B3C">
        <w:t>The calculator takes as input the maternal height, maternal weight, maternal ethnicity (prioritised), parity, sex, gestation at birth and birthweight.</w:t>
      </w:r>
    </w:p>
    <w:p w14:paraId="707C1FE9" w14:textId="77777777" w:rsidR="009A1B3C" w:rsidRPr="009A1B3C" w:rsidRDefault="009A1B3C" w:rsidP="00877C39">
      <w:pPr>
        <w:pStyle w:val="TeThHauorahead3"/>
        <w:rPr>
          <w:rFonts w:ascii="Calibri" w:hAnsi="Calibri" w:cs="Calibri"/>
          <w:color w:val="242424"/>
        </w:rPr>
      </w:pPr>
      <w:r w:rsidRPr="009A1B3C">
        <w:t>Variations for</w:t>
      </w:r>
      <w:r w:rsidR="008C4ED4" w:rsidRPr="009A1B3C">
        <w:t xml:space="preserve"> PMMRC numerator </w:t>
      </w:r>
      <w:r w:rsidR="009F63CE" w:rsidRPr="009A1B3C">
        <w:t xml:space="preserve">data </w:t>
      </w:r>
    </w:p>
    <w:p w14:paraId="79962395" w14:textId="62DDC284" w:rsidR="009A1B3C" w:rsidRPr="009A1B3C" w:rsidRDefault="009A1B3C" w:rsidP="001A6289">
      <w:pPr>
        <w:pStyle w:val="ListParagraph"/>
        <w:numPr>
          <w:ilvl w:val="0"/>
          <w:numId w:val="33"/>
        </w:numPr>
        <w:shd w:val="clear" w:color="auto" w:fill="FFFFFF"/>
        <w:spacing w:after="60"/>
        <w:ind w:left="357" w:hanging="357"/>
        <w:rPr>
          <w:rFonts w:cs="Arial"/>
          <w:color w:val="242424"/>
        </w:rPr>
      </w:pPr>
      <w:r w:rsidRPr="009A1B3C">
        <w:rPr>
          <w:rFonts w:cs="Arial"/>
          <w:color w:val="242424"/>
        </w:rPr>
        <w:t>Gestation according to birth state:</w:t>
      </w:r>
    </w:p>
    <w:p w14:paraId="0FE009E9" w14:textId="63D74FC8" w:rsidR="009A1B3C" w:rsidRPr="009A1B3C" w:rsidRDefault="009A1B3C" w:rsidP="001A6289">
      <w:pPr>
        <w:pStyle w:val="xmsolistparagraph"/>
        <w:numPr>
          <w:ilvl w:val="1"/>
          <w:numId w:val="33"/>
        </w:numPr>
        <w:shd w:val="clear" w:color="auto" w:fill="FFFFFF"/>
        <w:spacing w:before="0" w:beforeAutospacing="0" w:after="60" w:afterAutospacing="0" w:line="276" w:lineRule="auto"/>
        <w:ind w:left="714" w:hanging="357"/>
        <w:rPr>
          <w:rFonts w:ascii="Arial" w:hAnsi="Arial" w:cs="Arial"/>
          <w:color w:val="242424"/>
          <w:sz w:val="22"/>
          <w:szCs w:val="22"/>
        </w:rPr>
      </w:pPr>
      <w:r w:rsidRPr="009A1B3C">
        <w:rPr>
          <w:rFonts w:ascii="Arial" w:hAnsi="Arial" w:cs="Arial"/>
          <w:color w:val="242424"/>
          <w:sz w:val="22"/>
          <w:szCs w:val="22"/>
        </w:rPr>
        <w:t>If it</w:t>
      </w:r>
      <w:r w:rsidR="00FF67A8">
        <w:rPr>
          <w:rFonts w:ascii="Arial" w:hAnsi="Arial" w:cs="Arial"/>
          <w:color w:val="242424"/>
          <w:sz w:val="22"/>
          <w:szCs w:val="22"/>
        </w:rPr>
        <w:t xml:space="preserve"> i</w:t>
      </w:r>
      <w:r w:rsidRPr="009A1B3C">
        <w:rPr>
          <w:rFonts w:ascii="Arial" w:hAnsi="Arial" w:cs="Arial"/>
          <w:color w:val="242424"/>
          <w:sz w:val="22"/>
          <w:szCs w:val="22"/>
        </w:rPr>
        <w:t>s a live birth, gestation at birth is used.</w:t>
      </w:r>
    </w:p>
    <w:p w14:paraId="20E8F003" w14:textId="561CA3C4" w:rsidR="009A1B3C" w:rsidRPr="009A1B3C" w:rsidRDefault="009A1B3C" w:rsidP="001A6289">
      <w:pPr>
        <w:pStyle w:val="xmsolistparagraph"/>
        <w:numPr>
          <w:ilvl w:val="1"/>
          <w:numId w:val="33"/>
        </w:numPr>
        <w:shd w:val="clear" w:color="auto" w:fill="FFFFFF"/>
        <w:spacing w:before="0" w:beforeAutospacing="0" w:after="60" w:afterAutospacing="0" w:line="276" w:lineRule="auto"/>
        <w:ind w:left="714" w:hanging="357"/>
        <w:rPr>
          <w:rFonts w:ascii="Arial" w:hAnsi="Arial" w:cs="Arial"/>
          <w:color w:val="242424"/>
          <w:sz w:val="22"/>
          <w:szCs w:val="22"/>
        </w:rPr>
      </w:pPr>
      <w:r w:rsidRPr="009A1B3C">
        <w:rPr>
          <w:rFonts w:ascii="Arial" w:hAnsi="Arial" w:cs="Arial"/>
          <w:color w:val="242424"/>
          <w:sz w:val="22"/>
          <w:szCs w:val="22"/>
        </w:rPr>
        <w:t>If it</w:t>
      </w:r>
      <w:r w:rsidR="00FF67A8">
        <w:rPr>
          <w:rFonts w:ascii="Arial" w:hAnsi="Arial" w:cs="Arial"/>
          <w:color w:val="242424"/>
          <w:sz w:val="22"/>
          <w:szCs w:val="22"/>
        </w:rPr>
        <w:t xml:space="preserve"> i</w:t>
      </w:r>
      <w:r w:rsidRPr="009A1B3C">
        <w:rPr>
          <w:rFonts w:ascii="Arial" w:hAnsi="Arial" w:cs="Arial"/>
          <w:color w:val="242424"/>
          <w:sz w:val="22"/>
          <w:szCs w:val="22"/>
        </w:rPr>
        <w:t>s a stillbirth, gestation at fetal death is used. </w:t>
      </w:r>
    </w:p>
    <w:p w14:paraId="234C57B1" w14:textId="77777777" w:rsidR="009A1B3C" w:rsidRPr="009A1B3C" w:rsidRDefault="009A1B3C" w:rsidP="001A6289">
      <w:pPr>
        <w:pStyle w:val="xmsolistparagraph"/>
        <w:numPr>
          <w:ilvl w:val="0"/>
          <w:numId w:val="33"/>
        </w:numPr>
        <w:shd w:val="clear" w:color="auto" w:fill="FFFFFF"/>
        <w:spacing w:before="0" w:beforeAutospacing="0" w:after="60" w:afterAutospacing="0" w:line="276" w:lineRule="auto"/>
        <w:ind w:left="357" w:hanging="357"/>
        <w:rPr>
          <w:rFonts w:ascii="Arial" w:hAnsi="Arial" w:cs="Arial"/>
          <w:color w:val="242424"/>
          <w:sz w:val="22"/>
          <w:szCs w:val="22"/>
        </w:rPr>
      </w:pPr>
      <w:r w:rsidRPr="009A1B3C">
        <w:rPr>
          <w:rFonts w:ascii="Arial" w:hAnsi="Arial" w:cs="Arial"/>
          <w:color w:val="242424"/>
          <w:sz w:val="22"/>
          <w:szCs w:val="22"/>
        </w:rPr>
        <w:t>Exclusions:</w:t>
      </w:r>
    </w:p>
    <w:p w14:paraId="42CCE868" w14:textId="23C37690" w:rsidR="009A1B3C" w:rsidRPr="009A1B3C" w:rsidRDefault="009A1B3C" w:rsidP="001A6289">
      <w:pPr>
        <w:pStyle w:val="xmsolistparagraph"/>
        <w:numPr>
          <w:ilvl w:val="1"/>
          <w:numId w:val="33"/>
        </w:numPr>
        <w:shd w:val="clear" w:color="auto" w:fill="FFFFFF"/>
        <w:spacing w:before="0" w:beforeAutospacing="0" w:after="60" w:afterAutospacing="0" w:line="276" w:lineRule="auto"/>
        <w:ind w:left="714" w:hanging="357"/>
        <w:rPr>
          <w:rFonts w:ascii="Arial" w:hAnsi="Arial" w:cs="Arial"/>
          <w:color w:val="242424"/>
          <w:sz w:val="22"/>
          <w:szCs w:val="22"/>
        </w:rPr>
      </w:pPr>
      <w:r w:rsidRPr="009A1B3C">
        <w:rPr>
          <w:rFonts w:ascii="Arial" w:hAnsi="Arial" w:cs="Arial"/>
          <w:color w:val="242424"/>
          <w:sz w:val="22"/>
          <w:szCs w:val="22"/>
        </w:rPr>
        <w:t xml:space="preserve">CBWC is not calculated if gestation at fetal death was </w:t>
      </w:r>
      <w:r w:rsidR="00773013">
        <w:rPr>
          <w:rFonts w:ascii="Arial" w:hAnsi="Arial" w:cs="Arial"/>
          <w:color w:val="242424"/>
          <w:sz w:val="22"/>
          <w:szCs w:val="22"/>
        </w:rPr>
        <w:t>&lt;</w:t>
      </w:r>
      <w:r w:rsidRPr="009A1B3C">
        <w:rPr>
          <w:rFonts w:ascii="Arial" w:hAnsi="Arial" w:cs="Arial"/>
          <w:color w:val="242424"/>
          <w:sz w:val="22"/>
          <w:szCs w:val="22"/>
        </w:rPr>
        <w:t>20 weeks, was unknown or if a week or more had elapsed between fetal death and birth (because of the unknown effect on birthweight of prolonged time in utero after known fetal death) as it may be invalid.</w:t>
      </w:r>
    </w:p>
    <w:p w14:paraId="49FCC615" w14:textId="77777777" w:rsidR="009A1B3C" w:rsidRPr="009A1B3C" w:rsidRDefault="009A1B3C" w:rsidP="001A6289">
      <w:pPr>
        <w:pStyle w:val="xmsolistparagraph"/>
        <w:numPr>
          <w:ilvl w:val="0"/>
          <w:numId w:val="33"/>
        </w:numPr>
        <w:shd w:val="clear" w:color="auto" w:fill="FFFFFF"/>
        <w:spacing w:before="0" w:beforeAutospacing="0" w:after="60" w:afterAutospacing="0" w:line="276" w:lineRule="auto"/>
        <w:ind w:left="357" w:hanging="357"/>
        <w:rPr>
          <w:rFonts w:ascii="Arial" w:hAnsi="Arial" w:cs="Arial"/>
          <w:color w:val="242424"/>
          <w:sz w:val="22"/>
          <w:szCs w:val="22"/>
        </w:rPr>
      </w:pPr>
      <w:r w:rsidRPr="009A1B3C">
        <w:rPr>
          <w:rFonts w:ascii="Arial" w:hAnsi="Arial" w:cs="Arial"/>
          <w:color w:val="242424"/>
          <w:sz w:val="22"/>
          <w:szCs w:val="22"/>
        </w:rPr>
        <w:t>Gestation accuracy:</w:t>
      </w:r>
    </w:p>
    <w:p w14:paraId="0147E77A" w14:textId="1CA83C6B" w:rsidR="009A1B3C" w:rsidRPr="009A1B3C" w:rsidRDefault="009A1B3C" w:rsidP="001A6289">
      <w:pPr>
        <w:pStyle w:val="xmsolistparagraph"/>
        <w:numPr>
          <w:ilvl w:val="1"/>
          <w:numId w:val="33"/>
        </w:numPr>
        <w:shd w:val="clear" w:color="auto" w:fill="FFFFFF"/>
        <w:spacing w:before="0" w:beforeAutospacing="0" w:after="60" w:afterAutospacing="0" w:line="276" w:lineRule="auto"/>
        <w:ind w:left="714" w:hanging="357"/>
        <w:rPr>
          <w:rFonts w:ascii="Arial" w:hAnsi="Arial" w:cs="Arial"/>
          <w:color w:val="242424"/>
          <w:sz w:val="22"/>
          <w:szCs w:val="22"/>
        </w:rPr>
      </w:pPr>
      <w:r w:rsidRPr="009A1B3C">
        <w:rPr>
          <w:rFonts w:ascii="Arial" w:hAnsi="Arial" w:cs="Arial"/>
          <w:color w:val="242424"/>
          <w:sz w:val="22"/>
          <w:szCs w:val="22"/>
        </w:rPr>
        <w:t>PMMRC data has gestation (birth/fetal death) weeks and days recorded</w:t>
      </w:r>
      <w:r w:rsidR="00227265">
        <w:rPr>
          <w:rFonts w:ascii="Arial" w:hAnsi="Arial" w:cs="Arial"/>
          <w:color w:val="242424"/>
          <w:sz w:val="22"/>
          <w:szCs w:val="22"/>
        </w:rPr>
        <w:t>,</w:t>
      </w:r>
      <w:r w:rsidRPr="009A1B3C">
        <w:rPr>
          <w:rFonts w:ascii="Arial" w:hAnsi="Arial" w:cs="Arial"/>
          <w:color w:val="242424"/>
          <w:sz w:val="22"/>
          <w:szCs w:val="22"/>
        </w:rPr>
        <w:t xml:space="preserve"> and two </w:t>
      </w:r>
      <w:r w:rsidR="00227265">
        <w:rPr>
          <w:rFonts w:ascii="Arial" w:hAnsi="Arial" w:cs="Arial"/>
          <w:color w:val="242424"/>
          <w:sz w:val="22"/>
          <w:szCs w:val="22"/>
        </w:rPr>
        <w:t>CBWC</w:t>
      </w:r>
      <w:r w:rsidRPr="009A1B3C">
        <w:rPr>
          <w:rFonts w:ascii="Arial" w:hAnsi="Arial" w:cs="Arial"/>
          <w:color w:val="242424"/>
          <w:sz w:val="22"/>
          <w:szCs w:val="22"/>
        </w:rPr>
        <w:t xml:space="preserve"> values are recorded: one using weeks only and the other using weeks and days.</w:t>
      </w:r>
    </w:p>
    <w:p w14:paraId="3028C9A2" w14:textId="68DBC64D" w:rsidR="009A1B3C" w:rsidRPr="00D51C52" w:rsidRDefault="009A1B3C" w:rsidP="00D51C52">
      <w:pPr>
        <w:pStyle w:val="xmsolistparagraph"/>
        <w:numPr>
          <w:ilvl w:val="2"/>
          <w:numId w:val="33"/>
        </w:numPr>
        <w:shd w:val="clear" w:color="auto" w:fill="FFFFFF"/>
        <w:spacing w:before="0" w:beforeAutospacing="0" w:after="60" w:afterAutospacing="0" w:line="276" w:lineRule="auto"/>
        <w:ind w:left="1037" w:hanging="357"/>
        <w:rPr>
          <w:rFonts w:ascii="Arial" w:hAnsi="Arial" w:cs="Arial"/>
          <w:color w:val="242424"/>
          <w:sz w:val="22"/>
          <w:szCs w:val="22"/>
        </w:rPr>
      </w:pPr>
      <w:r w:rsidRPr="009A1B3C">
        <w:rPr>
          <w:rFonts w:ascii="Arial" w:hAnsi="Arial" w:cs="Arial"/>
          <w:color w:val="242424"/>
          <w:sz w:val="22"/>
          <w:szCs w:val="22"/>
        </w:rPr>
        <w:t>The weeks</w:t>
      </w:r>
      <w:r w:rsidR="00227265">
        <w:rPr>
          <w:rFonts w:ascii="Arial" w:hAnsi="Arial" w:cs="Arial"/>
          <w:color w:val="242424"/>
          <w:sz w:val="22"/>
          <w:szCs w:val="22"/>
        </w:rPr>
        <w:t>-</w:t>
      </w:r>
      <w:r w:rsidRPr="009A1B3C">
        <w:rPr>
          <w:rFonts w:ascii="Arial" w:hAnsi="Arial" w:cs="Arial"/>
          <w:color w:val="242424"/>
          <w:sz w:val="22"/>
          <w:szCs w:val="22"/>
        </w:rPr>
        <w:t xml:space="preserve">only </w:t>
      </w:r>
      <w:r w:rsidR="00227265">
        <w:rPr>
          <w:rFonts w:ascii="Arial" w:hAnsi="Arial" w:cs="Arial"/>
          <w:color w:val="242424"/>
          <w:sz w:val="22"/>
          <w:szCs w:val="22"/>
        </w:rPr>
        <w:t>CBWC</w:t>
      </w:r>
      <w:r w:rsidRPr="009A1B3C">
        <w:rPr>
          <w:rFonts w:ascii="Arial" w:hAnsi="Arial" w:cs="Arial"/>
          <w:color w:val="242424"/>
          <w:sz w:val="22"/>
          <w:szCs w:val="22"/>
        </w:rPr>
        <w:t xml:space="preserve"> is used for comparison with the </w:t>
      </w:r>
      <w:r w:rsidR="009D6036">
        <w:rPr>
          <w:rFonts w:ascii="Arial" w:hAnsi="Arial" w:cs="Arial"/>
          <w:color w:val="242424"/>
          <w:sz w:val="22"/>
          <w:szCs w:val="22"/>
        </w:rPr>
        <w:t>New Zealand National Maternity Collection (</w:t>
      </w:r>
      <w:r w:rsidRPr="009A1B3C">
        <w:rPr>
          <w:rFonts w:ascii="Arial" w:hAnsi="Arial" w:cs="Arial"/>
          <w:color w:val="242424"/>
          <w:sz w:val="22"/>
          <w:szCs w:val="22"/>
        </w:rPr>
        <w:t>MAT</w:t>
      </w:r>
      <w:r w:rsidR="009D6036">
        <w:rPr>
          <w:rFonts w:ascii="Arial" w:hAnsi="Arial" w:cs="Arial"/>
          <w:color w:val="242424"/>
          <w:sz w:val="22"/>
          <w:szCs w:val="22"/>
        </w:rPr>
        <w:t>)</w:t>
      </w:r>
      <w:r w:rsidRPr="009A1B3C">
        <w:rPr>
          <w:rFonts w:ascii="Arial" w:hAnsi="Arial" w:cs="Arial"/>
          <w:color w:val="242424"/>
          <w:sz w:val="22"/>
          <w:szCs w:val="22"/>
        </w:rPr>
        <w:t xml:space="preserve"> denominator, which only has gestation in weeks.</w:t>
      </w:r>
    </w:p>
    <w:p w14:paraId="28EACB83" w14:textId="22003654" w:rsidR="009A1B3C" w:rsidRPr="009A1B3C" w:rsidRDefault="009A1B3C" w:rsidP="00D51C52">
      <w:pPr>
        <w:pStyle w:val="TeThHauorahead3"/>
      </w:pPr>
      <w:r w:rsidRPr="009A1B3C">
        <w:t>Variations for MAT data</w:t>
      </w:r>
    </w:p>
    <w:p w14:paraId="528E19D6" w14:textId="77777777" w:rsidR="009A1B3C" w:rsidRPr="009A1B3C" w:rsidRDefault="009A1B3C" w:rsidP="001A6289">
      <w:pPr>
        <w:pStyle w:val="xmsolistparagraph"/>
        <w:numPr>
          <w:ilvl w:val="0"/>
          <w:numId w:val="34"/>
        </w:numPr>
        <w:shd w:val="clear" w:color="auto" w:fill="FFFFFF"/>
        <w:spacing w:before="0" w:beforeAutospacing="0" w:after="60" w:afterAutospacing="0" w:line="276" w:lineRule="auto"/>
        <w:ind w:left="357" w:hanging="357"/>
        <w:rPr>
          <w:rFonts w:ascii="Arial" w:hAnsi="Arial" w:cs="Arial"/>
          <w:color w:val="242424"/>
          <w:sz w:val="22"/>
          <w:szCs w:val="22"/>
        </w:rPr>
      </w:pPr>
      <w:r w:rsidRPr="009A1B3C">
        <w:rPr>
          <w:rFonts w:ascii="Arial" w:hAnsi="Arial" w:cs="Arial"/>
          <w:color w:val="242424"/>
          <w:sz w:val="22"/>
          <w:szCs w:val="22"/>
        </w:rPr>
        <w:t>Gestation:</w:t>
      </w:r>
    </w:p>
    <w:p w14:paraId="3081F7E4" w14:textId="77777777" w:rsidR="009A1B3C" w:rsidRPr="009A1B3C" w:rsidRDefault="009A1B3C" w:rsidP="001A6289">
      <w:pPr>
        <w:pStyle w:val="xmsolistparagraph"/>
        <w:numPr>
          <w:ilvl w:val="1"/>
          <w:numId w:val="34"/>
        </w:numPr>
        <w:shd w:val="clear" w:color="auto" w:fill="FFFFFF"/>
        <w:spacing w:before="0" w:beforeAutospacing="0" w:after="60" w:afterAutospacing="0" w:line="276" w:lineRule="auto"/>
        <w:ind w:left="714" w:hanging="357"/>
        <w:rPr>
          <w:rFonts w:ascii="Arial" w:hAnsi="Arial" w:cs="Arial"/>
          <w:color w:val="242424"/>
          <w:sz w:val="22"/>
          <w:szCs w:val="22"/>
        </w:rPr>
      </w:pPr>
      <w:r w:rsidRPr="009A1B3C">
        <w:rPr>
          <w:rFonts w:ascii="Arial" w:hAnsi="Arial" w:cs="Arial"/>
          <w:color w:val="242424"/>
          <w:sz w:val="22"/>
          <w:szCs w:val="22"/>
        </w:rPr>
        <w:t>Gestation data is supplemented with PMMRC data if a link to a PMMRC case is available and follows the PMMRC birth state rules and exclusion rules above.</w:t>
      </w:r>
    </w:p>
    <w:p w14:paraId="050FB4CE" w14:textId="77777777" w:rsidR="009A1B3C" w:rsidRPr="009A1B3C" w:rsidRDefault="009A1B3C" w:rsidP="001A6289">
      <w:pPr>
        <w:pStyle w:val="xmsolistparagraph"/>
        <w:numPr>
          <w:ilvl w:val="1"/>
          <w:numId w:val="34"/>
        </w:numPr>
        <w:shd w:val="clear" w:color="auto" w:fill="FFFFFF"/>
        <w:spacing w:before="0" w:beforeAutospacing="0" w:after="60" w:afterAutospacing="0" w:line="276" w:lineRule="auto"/>
        <w:ind w:left="714" w:hanging="357"/>
        <w:rPr>
          <w:rFonts w:ascii="Arial" w:hAnsi="Arial" w:cs="Arial"/>
          <w:color w:val="242424"/>
          <w:sz w:val="22"/>
          <w:szCs w:val="22"/>
        </w:rPr>
      </w:pPr>
      <w:r w:rsidRPr="009A1B3C">
        <w:rPr>
          <w:rFonts w:ascii="Arial" w:hAnsi="Arial" w:cs="Arial"/>
          <w:color w:val="242424"/>
          <w:sz w:val="22"/>
          <w:szCs w:val="22"/>
        </w:rPr>
        <w:t>If no PMMRC data is available, gestation at birth is used (as MAT does not have gestation at fetal death).</w:t>
      </w:r>
    </w:p>
    <w:p w14:paraId="4698078C" w14:textId="77777777" w:rsidR="009A1B3C" w:rsidRPr="009A1B3C" w:rsidRDefault="009A1B3C" w:rsidP="001A6289">
      <w:pPr>
        <w:pStyle w:val="xmsolistparagraph"/>
        <w:numPr>
          <w:ilvl w:val="0"/>
          <w:numId w:val="34"/>
        </w:numPr>
        <w:shd w:val="clear" w:color="auto" w:fill="FFFFFF"/>
        <w:spacing w:before="0" w:beforeAutospacing="0" w:after="60" w:afterAutospacing="0" w:line="276" w:lineRule="auto"/>
        <w:ind w:left="357" w:hanging="357"/>
        <w:rPr>
          <w:rFonts w:ascii="Arial" w:hAnsi="Arial" w:cs="Arial"/>
          <w:color w:val="242424"/>
          <w:sz w:val="22"/>
          <w:szCs w:val="22"/>
        </w:rPr>
      </w:pPr>
      <w:r w:rsidRPr="009A1B3C">
        <w:rPr>
          <w:rFonts w:ascii="Arial" w:hAnsi="Arial" w:cs="Arial"/>
          <w:color w:val="242424"/>
          <w:sz w:val="22"/>
          <w:szCs w:val="22"/>
        </w:rPr>
        <w:t>Exclusions:</w:t>
      </w:r>
    </w:p>
    <w:p w14:paraId="51664EFD" w14:textId="13B65278" w:rsidR="009A1B3C" w:rsidRPr="009A1B3C" w:rsidRDefault="009A1B3C" w:rsidP="001A6289">
      <w:pPr>
        <w:pStyle w:val="xmsolistparagraph"/>
        <w:numPr>
          <w:ilvl w:val="1"/>
          <w:numId w:val="34"/>
        </w:numPr>
        <w:shd w:val="clear" w:color="auto" w:fill="FFFFFF"/>
        <w:spacing w:before="0" w:beforeAutospacing="0" w:after="60" w:afterAutospacing="0" w:line="276" w:lineRule="auto"/>
        <w:ind w:left="714" w:hanging="357"/>
        <w:rPr>
          <w:rFonts w:ascii="Arial" w:hAnsi="Arial" w:cs="Arial"/>
          <w:color w:val="242424"/>
          <w:sz w:val="22"/>
          <w:szCs w:val="22"/>
        </w:rPr>
      </w:pPr>
      <w:r w:rsidRPr="009A1B3C">
        <w:rPr>
          <w:rFonts w:ascii="Arial" w:hAnsi="Arial" w:cs="Arial"/>
          <w:color w:val="242424"/>
          <w:sz w:val="22"/>
          <w:szCs w:val="22"/>
        </w:rPr>
        <w:t xml:space="preserve">CBWC is not calculated for deliveries </w:t>
      </w:r>
      <w:r w:rsidR="00792872">
        <w:rPr>
          <w:rFonts w:ascii="Arial" w:hAnsi="Arial" w:cs="Arial"/>
          <w:color w:val="242424"/>
          <w:sz w:val="22"/>
          <w:szCs w:val="22"/>
        </w:rPr>
        <w:t xml:space="preserve">in or before </w:t>
      </w:r>
      <w:r w:rsidRPr="009A1B3C">
        <w:rPr>
          <w:rFonts w:ascii="Arial" w:hAnsi="Arial" w:cs="Arial"/>
          <w:color w:val="242424"/>
          <w:sz w:val="22"/>
          <w:szCs w:val="22"/>
        </w:rPr>
        <w:t xml:space="preserve">2007 as too much data </w:t>
      </w:r>
      <w:r w:rsidR="00077D02">
        <w:rPr>
          <w:rFonts w:ascii="Arial" w:hAnsi="Arial" w:cs="Arial"/>
          <w:color w:val="242424"/>
          <w:sz w:val="22"/>
          <w:szCs w:val="22"/>
        </w:rPr>
        <w:t xml:space="preserve">is </w:t>
      </w:r>
      <w:r w:rsidRPr="009A1B3C">
        <w:rPr>
          <w:rFonts w:ascii="Arial" w:hAnsi="Arial" w:cs="Arial"/>
          <w:color w:val="242424"/>
          <w:sz w:val="22"/>
          <w:szCs w:val="22"/>
        </w:rPr>
        <w:t>missing.</w:t>
      </w:r>
    </w:p>
    <w:p w14:paraId="5CF1248A" w14:textId="5B48D736" w:rsidR="009A1B3C" w:rsidRPr="009A1B3C" w:rsidRDefault="009A1B3C" w:rsidP="001A6289">
      <w:pPr>
        <w:pStyle w:val="xmsolistparagraph"/>
        <w:numPr>
          <w:ilvl w:val="1"/>
          <w:numId w:val="34"/>
        </w:numPr>
        <w:shd w:val="clear" w:color="auto" w:fill="FFFFFF"/>
        <w:spacing w:before="0" w:beforeAutospacing="0" w:after="60" w:afterAutospacing="0" w:line="276" w:lineRule="auto"/>
        <w:ind w:left="714" w:hanging="357"/>
        <w:rPr>
          <w:rFonts w:ascii="Arial" w:hAnsi="Arial" w:cs="Arial"/>
          <w:color w:val="242424"/>
          <w:sz w:val="22"/>
          <w:szCs w:val="22"/>
        </w:rPr>
      </w:pPr>
      <w:r w:rsidRPr="009A1B3C">
        <w:rPr>
          <w:rFonts w:ascii="Arial" w:hAnsi="Arial" w:cs="Arial"/>
          <w:color w:val="242424"/>
          <w:sz w:val="22"/>
          <w:szCs w:val="22"/>
        </w:rPr>
        <w:t xml:space="preserve">CBWC is not calculated for </w:t>
      </w:r>
      <w:r w:rsidR="00077D02">
        <w:rPr>
          <w:rFonts w:ascii="Arial" w:hAnsi="Arial" w:cs="Arial"/>
          <w:color w:val="242424"/>
          <w:sz w:val="22"/>
          <w:szCs w:val="22"/>
        </w:rPr>
        <w:t>lead maternity carer (</w:t>
      </w:r>
      <w:r w:rsidRPr="009A1B3C">
        <w:rPr>
          <w:rFonts w:ascii="Arial" w:hAnsi="Arial" w:cs="Arial"/>
          <w:color w:val="242424"/>
          <w:sz w:val="22"/>
          <w:szCs w:val="22"/>
        </w:rPr>
        <w:t>LMC</w:t>
      </w:r>
      <w:r w:rsidR="00077D02">
        <w:rPr>
          <w:rFonts w:ascii="Arial" w:hAnsi="Arial" w:cs="Arial"/>
          <w:color w:val="242424"/>
          <w:sz w:val="22"/>
          <w:szCs w:val="22"/>
        </w:rPr>
        <w:t>)</w:t>
      </w:r>
      <w:r w:rsidRPr="009A1B3C">
        <w:rPr>
          <w:rFonts w:ascii="Arial" w:hAnsi="Arial" w:cs="Arial"/>
          <w:color w:val="242424"/>
          <w:sz w:val="22"/>
          <w:szCs w:val="22"/>
        </w:rPr>
        <w:t xml:space="preserve"> types of </w:t>
      </w:r>
      <w:r w:rsidR="00077D02">
        <w:rPr>
          <w:rFonts w:ascii="Arial" w:hAnsi="Arial" w:cs="Arial"/>
          <w:color w:val="242424"/>
          <w:sz w:val="22"/>
          <w:szCs w:val="22"/>
        </w:rPr>
        <w:t>‘n</w:t>
      </w:r>
      <w:r w:rsidRPr="009A1B3C">
        <w:rPr>
          <w:rFonts w:ascii="Arial" w:hAnsi="Arial" w:cs="Arial"/>
          <w:color w:val="242424"/>
          <w:sz w:val="22"/>
          <w:szCs w:val="22"/>
        </w:rPr>
        <w:t>o LMC</w:t>
      </w:r>
      <w:r w:rsidR="00077D02">
        <w:rPr>
          <w:rFonts w:ascii="Arial" w:hAnsi="Arial" w:cs="Arial"/>
          <w:color w:val="242424"/>
          <w:sz w:val="22"/>
          <w:szCs w:val="22"/>
        </w:rPr>
        <w:t>’</w:t>
      </w:r>
      <w:r w:rsidRPr="009A1B3C">
        <w:rPr>
          <w:rFonts w:ascii="Arial" w:hAnsi="Arial" w:cs="Arial"/>
          <w:color w:val="242424"/>
          <w:sz w:val="22"/>
          <w:szCs w:val="22"/>
        </w:rPr>
        <w:t xml:space="preserve">, </w:t>
      </w:r>
      <w:r w:rsidR="00077D02">
        <w:rPr>
          <w:rFonts w:ascii="Arial" w:hAnsi="Arial" w:cs="Arial"/>
          <w:color w:val="242424"/>
          <w:sz w:val="22"/>
          <w:szCs w:val="22"/>
        </w:rPr>
        <w:t>‘</w:t>
      </w:r>
      <w:r w:rsidRPr="009A1B3C">
        <w:rPr>
          <w:rFonts w:ascii="Arial" w:hAnsi="Arial" w:cs="Arial"/>
          <w:color w:val="242424"/>
          <w:sz w:val="22"/>
          <w:szCs w:val="22"/>
        </w:rPr>
        <w:t>DHB</w:t>
      </w:r>
      <w:r w:rsidR="00077D02">
        <w:rPr>
          <w:rFonts w:ascii="Arial" w:hAnsi="Arial" w:cs="Arial"/>
          <w:color w:val="242424"/>
          <w:sz w:val="22"/>
          <w:szCs w:val="22"/>
        </w:rPr>
        <w:t>’</w:t>
      </w:r>
      <w:r w:rsidRPr="009A1B3C">
        <w:rPr>
          <w:rFonts w:ascii="Arial" w:hAnsi="Arial" w:cs="Arial"/>
          <w:color w:val="242424"/>
          <w:sz w:val="22"/>
          <w:szCs w:val="22"/>
        </w:rPr>
        <w:t xml:space="preserve"> </w:t>
      </w:r>
      <w:r w:rsidR="00077D02">
        <w:rPr>
          <w:rFonts w:ascii="Arial" w:hAnsi="Arial" w:cs="Arial"/>
          <w:color w:val="242424"/>
          <w:sz w:val="22"/>
          <w:szCs w:val="22"/>
        </w:rPr>
        <w:t>or ‘other’</w:t>
      </w:r>
      <w:r w:rsidRPr="009A1B3C">
        <w:rPr>
          <w:rFonts w:ascii="Arial" w:hAnsi="Arial" w:cs="Arial"/>
          <w:color w:val="242424"/>
          <w:sz w:val="22"/>
          <w:szCs w:val="22"/>
        </w:rPr>
        <w:t xml:space="preserve"> as too much data </w:t>
      </w:r>
      <w:r w:rsidR="00077D02">
        <w:rPr>
          <w:rFonts w:ascii="Arial" w:hAnsi="Arial" w:cs="Arial"/>
          <w:color w:val="242424"/>
          <w:sz w:val="22"/>
          <w:szCs w:val="22"/>
        </w:rPr>
        <w:t xml:space="preserve">is </w:t>
      </w:r>
      <w:r w:rsidRPr="009A1B3C">
        <w:rPr>
          <w:rFonts w:ascii="Arial" w:hAnsi="Arial" w:cs="Arial"/>
          <w:color w:val="242424"/>
          <w:sz w:val="22"/>
          <w:szCs w:val="22"/>
        </w:rPr>
        <w:t>missing (height, weight, parity).</w:t>
      </w:r>
    </w:p>
    <w:p w14:paraId="2A1399CD" w14:textId="77777777" w:rsidR="009A1B3C" w:rsidRPr="009A1B3C" w:rsidRDefault="009A1B3C" w:rsidP="001A6289">
      <w:pPr>
        <w:pStyle w:val="xmsolistparagraph"/>
        <w:numPr>
          <w:ilvl w:val="0"/>
          <w:numId w:val="34"/>
        </w:numPr>
        <w:shd w:val="clear" w:color="auto" w:fill="FFFFFF"/>
        <w:spacing w:before="0" w:beforeAutospacing="0" w:after="60" w:afterAutospacing="0" w:line="276" w:lineRule="auto"/>
        <w:ind w:left="357" w:hanging="357"/>
        <w:rPr>
          <w:rFonts w:ascii="Arial" w:hAnsi="Arial" w:cs="Arial"/>
          <w:color w:val="242424"/>
          <w:sz w:val="22"/>
          <w:szCs w:val="22"/>
        </w:rPr>
      </w:pPr>
      <w:r w:rsidRPr="009A1B3C">
        <w:rPr>
          <w:rFonts w:ascii="Arial" w:hAnsi="Arial" w:cs="Arial"/>
          <w:color w:val="242424"/>
          <w:sz w:val="22"/>
          <w:szCs w:val="22"/>
        </w:rPr>
        <w:t>Gestation accuracy:</w:t>
      </w:r>
    </w:p>
    <w:p w14:paraId="36C14B3B" w14:textId="2CA3BA30" w:rsidR="008C4ED4" w:rsidRPr="009A1B3C" w:rsidRDefault="009A1B3C" w:rsidP="001A6289">
      <w:pPr>
        <w:pStyle w:val="xmsolistparagraph"/>
        <w:numPr>
          <w:ilvl w:val="1"/>
          <w:numId w:val="34"/>
        </w:numPr>
        <w:shd w:val="clear" w:color="auto" w:fill="FFFFFF"/>
        <w:spacing w:before="0" w:beforeAutospacing="0" w:after="60" w:afterAutospacing="0" w:line="276" w:lineRule="auto"/>
        <w:ind w:left="714" w:hanging="357"/>
        <w:rPr>
          <w:rFonts w:ascii="Arial" w:hAnsi="Arial" w:cs="Arial"/>
          <w:color w:val="242424"/>
          <w:sz w:val="22"/>
          <w:szCs w:val="22"/>
        </w:rPr>
      </w:pPr>
      <w:r w:rsidRPr="009A1B3C">
        <w:rPr>
          <w:rFonts w:ascii="Arial" w:hAnsi="Arial" w:cs="Arial"/>
          <w:color w:val="242424"/>
          <w:sz w:val="22"/>
          <w:szCs w:val="22"/>
        </w:rPr>
        <w:t>MAT data only has gestation in weeks.</w:t>
      </w:r>
    </w:p>
    <w:p w14:paraId="388CF1E2" w14:textId="612F5D5B" w:rsidR="009151C3" w:rsidRDefault="009151C3" w:rsidP="00D51C52">
      <w:pPr>
        <w:pStyle w:val="TeThHauorahead3"/>
      </w:pPr>
      <w:r>
        <w:t xml:space="preserve">District </w:t>
      </w:r>
      <w:r w:rsidR="00E24763">
        <w:t>health board</w:t>
      </w:r>
    </w:p>
    <w:p w14:paraId="4B376942" w14:textId="11FEBF76" w:rsidR="009151C3" w:rsidRDefault="009151C3" w:rsidP="00526787">
      <w:pPr>
        <w:pStyle w:val="TeThHauorabodytext"/>
      </w:pPr>
      <w:r>
        <w:t>In 2022</w:t>
      </w:r>
      <w:r w:rsidR="00F23C8F">
        <w:t>,</w:t>
      </w:r>
      <w:r w:rsidRPr="009151C3">
        <w:t xml:space="preserve"> </w:t>
      </w:r>
      <w:r w:rsidR="00F23C8F">
        <w:t>d</w:t>
      </w:r>
      <w:r>
        <w:t xml:space="preserve">istrict </w:t>
      </w:r>
      <w:r w:rsidR="00F23C8F">
        <w:t>h</w:t>
      </w:r>
      <w:r>
        <w:t xml:space="preserve">ealth </w:t>
      </w:r>
      <w:r w:rsidR="00F23C8F">
        <w:t>b</w:t>
      </w:r>
      <w:r>
        <w:t xml:space="preserve">oards (DHBs) </w:t>
      </w:r>
      <w:r w:rsidRPr="009151C3">
        <w:t xml:space="preserve">transitioned to </w:t>
      </w:r>
      <w:r w:rsidR="00F23C8F">
        <w:t xml:space="preserve">Health New Zealand – </w:t>
      </w:r>
      <w:r w:rsidRPr="009151C3">
        <w:t xml:space="preserve">Te Whatu Ora </w:t>
      </w:r>
      <w:r w:rsidR="00956DB0">
        <w:t xml:space="preserve">(Health New Zealand) </w:t>
      </w:r>
      <w:r w:rsidRPr="009151C3">
        <w:t xml:space="preserve">when the Pae Ora </w:t>
      </w:r>
      <w:r w:rsidR="00F23C8F">
        <w:t>(</w:t>
      </w:r>
      <w:r w:rsidRPr="009151C3">
        <w:t>Healthy Futures</w:t>
      </w:r>
      <w:r w:rsidR="00F23C8F">
        <w:t>)</w:t>
      </w:r>
      <w:r w:rsidRPr="009151C3">
        <w:t xml:space="preserve"> Act </w:t>
      </w:r>
      <w:r w:rsidR="00F23C8F">
        <w:t xml:space="preserve">2022 </w:t>
      </w:r>
      <w:r>
        <w:t xml:space="preserve">came into law. Health New Zealand was established to run the health system across </w:t>
      </w:r>
      <w:r w:rsidR="00AF421A">
        <w:t>Aotearoa</w:t>
      </w:r>
      <w:r>
        <w:t>, with functions delivered at local, regional and national levels. As this 16</w:t>
      </w:r>
      <w:r w:rsidRPr="009151C3">
        <w:rPr>
          <w:vertAlign w:val="superscript"/>
        </w:rPr>
        <w:t>th</w:t>
      </w:r>
      <w:r>
        <w:t xml:space="preserve"> report covers data up to 2021</w:t>
      </w:r>
      <w:r w:rsidR="00724B43">
        <w:t xml:space="preserve">, the </w:t>
      </w:r>
      <w:r w:rsidR="00724B43">
        <w:lastRenderedPageBreak/>
        <w:t>DHB system was still in place and the report is written in line with this. Future reports will reflect these system changes.</w:t>
      </w:r>
    </w:p>
    <w:p w14:paraId="306FD453" w14:textId="140EBBE3" w:rsidR="009327A9" w:rsidRPr="009F63CE" w:rsidRDefault="009327A9" w:rsidP="00D51C52">
      <w:pPr>
        <w:pStyle w:val="TeThHauorahead3"/>
      </w:pPr>
      <w:r w:rsidRPr="004816C9">
        <w:t>Ethnicity</w:t>
      </w:r>
    </w:p>
    <w:p w14:paraId="4D314F57" w14:textId="7535843C" w:rsidR="009327A9" w:rsidRPr="009F63CE" w:rsidRDefault="00D1779E" w:rsidP="00526787">
      <w:pPr>
        <w:pStyle w:val="TeThHauorabodytext"/>
      </w:pPr>
      <w:r>
        <w:t>E</w:t>
      </w:r>
      <w:r w:rsidR="009327A9" w:rsidRPr="009F63CE">
        <w:t xml:space="preserve">thnicities </w:t>
      </w:r>
      <w:r>
        <w:t xml:space="preserve">of </w:t>
      </w:r>
      <w:r w:rsidR="00235C8E">
        <w:t xml:space="preserve">women and </w:t>
      </w:r>
      <w:r>
        <w:t xml:space="preserve">birthing people and babies </w:t>
      </w:r>
      <w:r w:rsidR="009327A9" w:rsidRPr="009F63CE">
        <w:t xml:space="preserve">for </w:t>
      </w:r>
      <w:bookmarkStart w:id="17" w:name="_Hlk114647532"/>
      <w:r w:rsidR="009327A9" w:rsidRPr="009F63CE">
        <w:t xml:space="preserve">perinatal related </w:t>
      </w:r>
      <w:r w:rsidR="0022764A">
        <w:t xml:space="preserve">deaths and maternal deaths </w:t>
      </w:r>
      <w:bookmarkEnd w:id="17"/>
      <w:r w:rsidR="009327A9" w:rsidRPr="009F63CE">
        <w:t xml:space="preserve">were collected from two sources: from information supplied to the </w:t>
      </w:r>
      <w:r w:rsidR="00E04691" w:rsidRPr="009F63CE">
        <w:t>Births, Deaths</w:t>
      </w:r>
      <w:r w:rsidR="00AA435D">
        <w:t>,</w:t>
      </w:r>
      <w:r w:rsidR="00E04691" w:rsidRPr="009F63CE">
        <w:t xml:space="preserve"> and Marriages (</w:t>
      </w:r>
      <w:r w:rsidR="009327A9" w:rsidRPr="009F63CE">
        <w:t>BDM</w:t>
      </w:r>
      <w:r w:rsidR="00E04691" w:rsidRPr="009F63CE">
        <w:t>)</w:t>
      </w:r>
      <w:r w:rsidR="009327A9" w:rsidRPr="009F63CE">
        <w:t xml:space="preserve"> </w:t>
      </w:r>
      <w:r w:rsidR="00AA435D">
        <w:t>r</w:t>
      </w:r>
      <w:r w:rsidR="009327A9" w:rsidRPr="009F63CE">
        <w:t xml:space="preserve">egistrar (with priority given to information in the birth registration over information in the death registration) and from rapid reporting forms completed by LMCs (eg, in cases where the death had not been registered by the time of analysis), with information from BDM taking priority over data from rapid reporting forms. In both instances, ethnicity </w:t>
      </w:r>
      <w:r w:rsidR="00A65593" w:rsidRPr="009F63CE">
        <w:t>should be</w:t>
      </w:r>
      <w:r w:rsidR="009327A9" w:rsidRPr="009F63CE">
        <w:t xml:space="preserve"> identified by the </w:t>
      </w:r>
      <w:r w:rsidR="008D2948">
        <w:t>woman</w:t>
      </w:r>
      <w:r w:rsidR="002E66FA">
        <w:t>/</w:t>
      </w:r>
      <w:r w:rsidR="00803AE0">
        <w:t>birthing person</w:t>
      </w:r>
      <w:r w:rsidR="00C37F3E">
        <w:t xml:space="preserve"> and</w:t>
      </w:r>
      <w:r w:rsidR="009327A9" w:rsidRPr="009F63CE">
        <w:t>/</w:t>
      </w:r>
      <w:r w:rsidR="00C37F3E">
        <w:t xml:space="preserve">or </w:t>
      </w:r>
      <w:r w:rsidR="009327A9" w:rsidRPr="009F63CE">
        <w:t>parents. Death registration forms are usually completed by either the parents or a funeral director</w:t>
      </w:r>
      <w:r w:rsidR="0094142B">
        <w:t xml:space="preserve"> </w:t>
      </w:r>
      <w:bookmarkStart w:id="18" w:name="_Hlk114647417"/>
      <w:r w:rsidR="0094142B" w:rsidRPr="0022764A">
        <w:t xml:space="preserve">and </w:t>
      </w:r>
      <w:r w:rsidR="008C0DFA">
        <w:t xml:space="preserve">are </w:t>
      </w:r>
      <w:r w:rsidR="0094142B" w:rsidRPr="0022764A">
        <w:t xml:space="preserve">therefore largely </w:t>
      </w:r>
      <w:bookmarkEnd w:id="18"/>
      <w:r w:rsidR="005A6B89" w:rsidRPr="0022764A">
        <w:t>self-reported</w:t>
      </w:r>
      <w:r w:rsidR="009327A9" w:rsidRPr="009F63CE">
        <w:t>.</w:t>
      </w:r>
    </w:p>
    <w:p w14:paraId="3F94C156" w14:textId="37373AC8" w:rsidR="009327A9" w:rsidRPr="009F63CE" w:rsidRDefault="00803AE0" w:rsidP="00526787">
      <w:pPr>
        <w:pStyle w:val="TeThHauorabodytext"/>
      </w:pPr>
      <w:r>
        <w:t>E</w:t>
      </w:r>
      <w:r w:rsidR="009327A9" w:rsidRPr="009F63CE">
        <w:t xml:space="preserve">thnicities </w:t>
      </w:r>
      <w:r>
        <w:t xml:space="preserve">of </w:t>
      </w:r>
      <w:r w:rsidR="008A2C66">
        <w:t xml:space="preserve">women and </w:t>
      </w:r>
      <w:r>
        <w:t xml:space="preserve">birthing people and babies </w:t>
      </w:r>
      <w:r w:rsidR="009327A9" w:rsidRPr="009F63CE">
        <w:t>in the MAT denominator</w:t>
      </w:r>
      <w:r w:rsidR="00BC67EF" w:rsidRPr="009F63CE">
        <w:t xml:space="preserve"> </w:t>
      </w:r>
      <w:r w:rsidR="009F63CE" w:rsidRPr="009F63CE">
        <w:t>data set</w:t>
      </w:r>
      <w:r w:rsidR="009327A9" w:rsidRPr="009F63CE">
        <w:t xml:space="preserve"> are derived from ethnic codes reported to </w:t>
      </w:r>
      <w:r w:rsidR="008C0DFA">
        <w:t xml:space="preserve">the </w:t>
      </w:r>
      <w:r w:rsidR="00665064" w:rsidRPr="009F63CE">
        <w:t>National Minimum Dataset</w:t>
      </w:r>
      <w:r w:rsidR="008C0DFA">
        <w:t xml:space="preserve"> (NMD</w:t>
      </w:r>
      <w:r w:rsidR="00705C0A">
        <w:t>S</w:t>
      </w:r>
      <w:r w:rsidR="00D01E2F">
        <w:t xml:space="preserve">) </w:t>
      </w:r>
      <w:r w:rsidR="009327A9" w:rsidRPr="009F63CE">
        <w:t xml:space="preserve">birth and postnatal events, LMC </w:t>
      </w:r>
      <w:r w:rsidR="00650BAC">
        <w:t>l</w:t>
      </w:r>
      <w:r w:rsidR="009327A9" w:rsidRPr="009F63CE">
        <w:t xml:space="preserve">abour </w:t>
      </w:r>
      <w:r w:rsidR="00650BAC">
        <w:t>and</w:t>
      </w:r>
      <w:r w:rsidR="009327A9" w:rsidRPr="009F63CE">
        <w:t xml:space="preserve"> </w:t>
      </w:r>
      <w:r w:rsidR="00650BAC">
        <w:t>b</w:t>
      </w:r>
      <w:r w:rsidR="009327A9" w:rsidRPr="009F63CE">
        <w:t>irth claims and</w:t>
      </w:r>
      <w:r w:rsidR="0036562E" w:rsidRPr="009F63CE">
        <w:t xml:space="preserve"> </w:t>
      </w:r>
      <w:r w:rsidR="005E56BB">
        <w:t>n</w:t>
      </w:r>
      <w:r w:rsidR="00665064" w:rsidRPr="009F63CE">
        <w:t xml:space="preserve">ational </w:t>
      </w:r>
      <w:r w:rsidR="005E56BB">
        <w:t>h</w:t>
      </w:r>
      <w:r w:rsidR="00665064" w:rsidRPr="009F63CE">
        <w:t xml:space="preserve">ealth </w:t>
      </w:r>
      <w:r w:rsidR="005E56BB">
        <w:t>i</w:t>
      </w:r>
      <w:r w:rsidR="00665064" w:rsidRPr="009F63CE">
        <w:t>ndex</w:t>
      </w:r>
      <w:r w:rsidR="005E56BB">
        <w:t xml:space="preserve"> (NHI</w:t>
      </w:r>
      <w:r w:rsidR="00D01E2F">
        <w:t>)</w:t>
      </w:r>
      <w:r w:rsidR="005E56BB">
        <w:t xml:space="preserve"> number</w:t>
      </w:r>
      <w:r w:rsidR="008C4E27">
        <w:t xml:space="preserve"> at time of delivery. </w:t>
      </w:r>
      <w:bookmarkStart w:id="19" w:name="_Hlk114647633"/>
      <w:r w:rsidR="0022764A">
        <w:t>These should also be self-reported</w:t>
      </w:r>
      <w:bookmarkEnd w:id="19"/>
      <w:r w:rsidR="0022764A">
        <w:t>.</w:t>
      </w:r>
    </w:p>
    <w:p w14:paraId="48C9D549" w14:textId="42D098DD" w:rsidR="009327A9" w:rsidRPr="009F63CE" w:rsidRDefault="009327A9" w:rsidP="00526787">
      <w:pPr>
        <w:pStyle w:val="TeThHauorabodytext"/>
      </w:pPr>
      <w:r w:rsidRPr="009F63CE">
        <w:t xml:space="preserve">Ethnicity has been reported as prioritised ethnicity. This method is frequently used in health statistics in </w:t>
      </w:r>
      <w:r w:rsidR="001E04AE">
        <w:t>Aotearoa</w:t>
      </w:r>
      <w:r w:rsidRPr="009F63CE">
        <w:t xml:space="preserve">. Multiple ethnicities can be identified for both </w:t>
      </w:r>
      <w:r w:rsidR="00B01E03">
        <w:t>woman/</w:t>
      </w:r>
      <w:r w:rsidR="00803AE0">
        <w:t>birthing person</w:t>
      </w:r>
      <w:r w:rsidR="00803AE0" w:rsidRPr="009F63CE">
        <w:t xml:space="preserve"> </w:t>
      </w:r>
      <w:r w:rsidRPr="009F63CE">
        <w:t xml:space="preserve">and baby. The PMMRC follows the guidelines in </w:t>
      </w:r>
      <w:r w:rsidR="00123738" w:rsidRPr="009F63CE">
        <w:rPr>
          <w:i/>
        </w:rPr>
        <w:t xml:space="preserve">Health Information Standards Organisation (HISO) </w:t>
      </w:r>
      <w:r w:rsidR="007B5AED" w:rsidRPr="009F63CE">
        <w:rPr>
          <w:i/>
        </w:rPr>
        <w:t xml:space="preserve">10001:2017 </w:t>
      </w:r>
      <w:r w:rsidR="00123738" w:rsidRPr="009F63CE">
        <w:rPr>
          <w:i/>
        </w:rPr>
        <w:t>Ethnicity Data Protocols</w:t>
      </w:r>
      <w:r w:rsidR="00123738" w:rsidRPr="009F63CE">
        <w:t xml:space="preserve"> (</w:t>
      </w:r>
      <w:hyperlink r:id="rId20" w:history="1">
        <w:r w:rsidR="00123738" w:rsidRPr="009F63CE">
          <w:rPr>
            <w:rStyle w:val="Hyperlink"/>
            <w:color w:val="auto"/>
            <w:u w:val="none"/>
          </w:rPr>
          <w:t>Ministry of Health 2017</w:t>
        </w:r>
      </w:hyperlink>
      <w:r w:rsidR="00123738" w:rsidRPr="009F63CE">
        <w:t xml:space="preserve">) </w:t>
      </w:r>
      <w:r w:rsidRPr="009F63CE">
        <w:t>for prioritising ethnicity. These protocols prioritise ethnicity into the following hierarchy: Māori</w:t>
      </w:r>
      <w:r w:rsidR="00E04691" w:rsidRPr="009F63CE">
        <w:t>;</w:t>
      </w:r>
      <w:r w:rsidRPr="009F63CE">
        <w:t xml:space="preserve"> Pacific</w:t>
      </w:r>
      <w:r w:rsidR="00E04691" w:rsidRPr="009F63CE">
        <w:t>;</w:t>
      </w:r>
      <w:r w:rsidRPr="009F63CE">
        <w:t xml:space="preserve"> Indian</w:t>
      </w:r>
      <w:r w:rsidR="00E04691" w:rsidRPr="009F63CE">
        <w:t>;</w:t>
      </w:r>
      <w:r w:rsidRPr="009F63CE">
        <w:t xml:space="preserve"> </w:t>
      </w:r>
      <w:r w:rsidR="005E56BB">
        <w:t>o</w:t>
      </w:r>
      <w:r w:rsidRPr="009F63CE">
        <w:t>ther Asian</w:t>
      </w:r>
      <w:r w:rsidR="00E04691" w:rsidRPr="009F63CE">
        <w:t>;</w:t>
      </w:r>
      <w:r w:rsidRPr="009F63CE">
        <w:t xml:space="preserve"> </w:t>
      </w:r>
      <w:r w:rsidR="009767B2" w:rsidRPr="009F63CE">
        <w:t xml:space="preserve">Middle Eastern, Latin American </w:t>
      </w:r>
      <w:r w:rsidR="00E04691" w:rsidRPr="009F63CE">
        <w:t xml:space="preserve">or </w:t>
      </w:r>
      <w:r w:rsidR="009767B2" w:rsidRPr="009F63CE">
        <w:t>African</w:t>
      </w:r>
      <w:r w:rsidR="00790445" w:rsidRPr="009F63CE">
        <w:t xml:space="preserve"> (MELAA);</w:t>
      </w:r>
      <w:r w:rsidR="009767B2" w:rsidRPr="009F63CE">
        <w:t xml:space="preserve"> </w:t>
      </w:r>
      <w:r w:rsidR="005E56BB">
        <w:t>o</w:t>
      </w:r>
      <w:r w:rsidR="00D85F15">
        <w:t xml:space="preserve">ther; </w:t>
      </w:r>
      <w:r w:rsidR="005E56BB">
        <w:t>o</w:t>
      </w:r>
      <w:r w:rsidRPr="009F63CE">
        <w:t>ther</w:t>
      </w:r>
      <w:r w:rsidR="009767B2" w:rsidRPr="009F63CE">
        <w:t xml:space="preserve"> European</w:t>
      </w:r>
      <w:r w:rsidR="00790445" w:rsidRPr="009F63CE">
        <w:t>;</w:t>
      </w:r>
      <w:r w:rsidRPr="009F63CE">
        <w:t xml:space="preserve"> New Zealand European</w:t>
      </w:r>
      <w:r w:rsidR="00D85F15">
        <w:t>/New Zealander</w:t>
      </w:r>
      <w:r w:rsidR="005E56BB">
        <w:t>;</w:t>
      </w:r>
      <w:r w:rsidR="00D85F15">
        <w:t xml:space="preserve"> and </w:t>
      </w:r>
      <w:r w:rsidR="005E56BB">
        <w:t>u</w:t>
      </w:r>
      <w:r w:rsidR="00D85F15">
        <w:t>nknown</w:t>
      </w:r>
      <w:r w:rsidRPr="009F63CE">
        <w:t>. Indian has been identified as a</w:t>
      </w:r>
      <w:r w:rsidR="006A5C76">
        <w:t>n</w:t>
      </w:r>
      <w:r w:rsidRPr="009F63CE">
        <w:t xml:space="preserve"> ethnicity </w:t>
      </w:r>
      <w:r w:rsidR="006A5C76">
        <w:t xml:space="preserve">separate </w:t>
      </w:r>
      <w:r w:rsidRPr="009F63CE">
        <w:t xml:space="preserve">from </w:t>
      </w:r>
      <w:r w:rsidR="005E56BB">
        <w:t>‘o</w:t>
      </w:r>
      <w:r w:rsidRPr="009F63CE">
        <w:t>ther Asian</w:t>
      </w:r>
      <w:r w:rsidR="005E56BB">
        <w:t>’</w:t>
      </w:r>
      <w:r w:rsidRPr="009F63CE">
        <w:t xml:space="preserve"> because </w:t>
      </w:r>
      <w:r w:rsidR="001E04AE">
        <w:t xml:space="preserve">Aotearoa </w:t>
      </w:r>
      <w:r w:rsidRPr="009F63CE">
        <w:t>data suggest</w:t>
      </w:r>
      <w:r w:rsidR="005E56BB">
        <w:t>s</w:t>
      </w:r>
      <w:r w:rsidRPr="009F63CE">
        <w:t xml:space="preserve"> that pregnancies of Indian women </w:t>
      </w:r>
      <w:r w:rsidR="00C51137">
        <w:t>and</w:t>
      </w:r>
      <w:r w:rsidR="006F19FA">
        <w:t xml:space="preserve"> </w:t>
      </w:r>
      <w:r w:rsidR="003F0E8E">
        <w:t>birthing people</w:t>
      </w:r>
      <w:r w:rsidR="003F0E8E" w:rsidRPr="009F63CE">
        <w:t xml:space="preserve"> </w:t>
      </w:r>
      <w:r w:rsidRPr="009F63CE">
        <w:t xml:space="preserve">are at higher risk than those of </w:t>
      </w:r>
      <w:r w:rsidR="005E56BB">
        <w:t>o</w:t>
      </w:r>
      <w:r w:rsidRPr="009F63CE">
        <w:t>ther Asian women</w:t>
      </w:r>
      <w:r w:rsidR="000462D6">
        <w:t xml:space="preserve"> </w:t>
      </w:r>
      <w:r w:rsidR="00C51137">
        <w:t>and</w:t>
      </w:r>
      <w:r w:rsidR="000462D6">
        <w:t xml:space="preserve"> </w:t>
      </w:r>
      <w:r w:rsidR="003F0E8E">
        <w:t>birthing people</w:t>
      </w:r>
      <w:r w:rsidRPr="009F63CE">
        <w:t>.</w:t>
      </w:r>
      <w:r w:rsidR="00A65593" w:rsidRPr="009F63CE">
        <w:t xml:space="preserve"> In the PMMRC reports, most analyses use these ethnic groups, but ethnic groups are </w:t>
      </w:r>
      <w:r w:rsidR="00B2545A">
        <w:t xml:space="preserve">sometimes </w:t>
      </w:r>
      <w:r w:rsidR="00A65593" w:rsidRPr="009F63CE">
        <w:t>aggregated.</w:t>
      </w:r>
    </w:p>
    <w:p w14:paraId="02083195" w14:textId="2720E303" w:rsidR="009327A9" w:rsidRDefault="009327A9" w:rsidP="00526787">
      <w:pPr>
        <w:pStyle w:val="TeThHauorabodytext"/>
      </w:pPr>
      <w:r w:rsidRPr="009F63CE">
        <w:t>Where multiple ethnic groups are recorded for an individual</w:t>
      </w:r>
      <w:r w:rsidR="00F54AFF" w:rsidRPr="009F63CE">
        <w:t>,</w:t>
      </w:r>
      <w:r w:rsidRPr="009F63CE">
        <w:t xml:space="preserve"> the process prioritises minority ethnic groups that might otherwise be swamped by New Zealand European. In doing so, it does not allow individuals to identify a group with which they most feel affinity. It is a simple system that results in relatively few groups for analysis and, when used across different </w:t>
      </w:r>
      <w:r w:rsidR="009F63CE" w:rsidRPr="009F63CE">
        <w:t>data set</w:t>
      </w:r>
      <w:r w:rsidRPr="009F63CE">
        <w:t>s, ensures a standardised process is used.</w:t>
      </w:r>
    </w:p>
    <w:p w14:paraId="33B1AA74" w14:textId="7375DFA8" w:rsidR="001973EA" w:rsidRPr="009F63CE" w:rsidRDefault="00B2545A" w:rsidP="00526787">
      <w:pPr>
        <w:pStyle w:val="TeThHauorabodytext"/>
      </w:pPr>
      <w:r>
        <w:t>Although</w:t>
      </w:r>
      <w:r w:rsidRPr="00F73EB8">
        <w:t xml:space="preserve"> </w:t>
      </w:r>
      <w:r w:rsidR="00F73EB8" w:rsidRPr="00F73EB8">
        <w:t xml:space="preserve">StatsNZ does recommend total response ethnicity reporting rather than prioritisation, currently </w:t>
      </w:r>
      <w:r>
        <w:t xml:space="preserve">Manatū Hauora </w:t>
      </w:r>
      <w:r w:rsidR="00F73EB8" w:rsidRPr="00F73EB8">
        <w:t xml:space="preserve">Ministry of Health and other health reports in Aotearoa largely </w:t>
      </w:r>
      <w:r w:rsidR="00271B47">
        <w:t>use</w:t>
      </w:r>
      <w:r w:rsidR="00271B47" w:rsidRPr="00F73EB8">
        <w:t xml:space="preserve"> </w:t>
      </w:r>
      <w:r w:rsidR="00F73EB8" w:rsidRPr="00F73EB8">
        <w:t>prioritised ethnicity</w:t>
      </w:r>
      <w:r w:rsidR="00271B47">
        <w:t>,</w:t>
      </w:r>
      <w:r w:rsidR="00F73EB8" w:rsidRPr="00F73EB8">
        <w:t xml:space="preserve"> and this includes annual maternity reporting. The PMMRC continues to use the prioritised method for ease of comparison </w:t>
      </w:r>
      <w:r w:rsidR="00271B47">
        <w:t xml:space="preserve">with </w:t>
      </w:r>
      <w:r w:rsidR="00F73EB8" w:rsidRPr="00F73EB8">
        <w:t>these sources</w:t>
      </w:r>
      <w:r w:rsidR="00F73EB8" w:rsidRPr="00D80A05">
        <w:t>. The implications for monitoring Māori health th</w:t>
      </w:r>
      <w:r w:rsidR="004734AB">
        <w:t>r</w:t>
      </w:r>
      <w:r w:rsidR="00F73EB8" w:rsidRPr="00D80A05">
        <w:t>ough changes to total response reporting of</w:t>
      </w:r>
      <w:r w:rsidR="00F73EB8" w:rsidRPr="00F73EB8">
        <w:t xml:space="preserve"> ethnicity are discussed by Cormack &amp; Robson (2010). </w:t>
      </w:r>
      <w:r w:rsidR="00271B47">
        <w:t>P</w:t>
      </w:r>
      <w:r w:rsidR="00F73EB8" w:rsidRPr="00F73EB8">
        <w:t>rioritisation may undercount some ethnic groups (particularly Pacific peoples)</w:t>
      </w:r>
      <w:r w:rsidR="00271B47">
        <w:t>, but</w:t>
      </w:r>
      <w:r w:rsidR="00F73EB8" w:rsidRPr="00F73EB8">
        <w:t xml:space="preserve"> it does ensure Māori are always counted</w:t>
      </w:r>
      <w:r w:rsidR="001973EA">
        <w:t>.</w:t>
      </w:r>
    </w:p>
    <w:p w14:paraId="0F62CF5D" w14:textId="08BDF8FE" w:rsidR="009327A9" w:rsidRPr="009F63CE" w:rsidRDefault="009327A9" w:rsidP="00D51C52">
      <w:pPr>
        <w:pStyle w:val="TeThHauorahead3"/>
      </w:pPr>
      <w:r w:rsidRPr="009F63CE">
        <w:t>Lead maternity carer</w:t>
      </w:r>
    </w:p>
    <w:p w14:paraId="5CB9D909" w14:textId="2ADEF572" w:rsidR="009327A9" w:rsidRPr="009F63CE" w:rsidRDefault="009327A9" w:rsidP="00526787">
      <w:pPr>
        <w:pStyle w:val="TeThHauorabodytext"/>
      </w:pPr>
      <w:r w:rsidRPr="009F63CE">
        <w:t xml:space="preserve">LMC is defined as the practitioner or caregiver who provides a </w:t>
      </w:r>
      <w:r w:rsidR="00C8221F">
        <w:t>birthing person</w:t>
      </w:r>
      <w:r w:rsidRPr="009F63CE">
        <w:t xml:space="preserve"> and </w:t>
      </w:r>
      <w:r w:rsidR="00C8221F">
        <w:t xml:space="preserve">their </w:t>
      </w:r>
      <w:r w:rsidRPr="009F63CE">
        <w:t>baby with continuity of care throughout pregnancy, labour</w:t>
      </w:r>
      <w:r w:rsidR="00DE68AB">
        <w:t>,</w:t>
      </w:r>
      <w:r w:rsidRPr="009F63CE">
        <w:t xml:space="preserve"> birth and the postnatal period as </w:t>
      </w:r>
      <w:r w:rsidRPr="009F63CE">
        <w:lastRenderedPageBreak/>
        <w:t>described in the</w:t>
      </w:r>
      <w:r w:rsidR="00D80A05">
        <w:t xml:space="preserve"> P</w:t>
      </w:r>
      <w:r w:rsidR="00D80A05" w:rsidRPr="00D80A05">
        <w:t xml:space="preserve">rimary </w:t>
      </w:r>
      <w:r w:rsidR="00D80A05">
        <w:t>M</w:t>
      </w:r>
      <w:r w:rsidR="00D80A05" w:rsidRPr="00D80A05">
        <w:t>aternity</w:t>
      </w:r>
      <w:r w:rsidR="00D80A05">
        <w:t xml:space="preserve"> </w:t>
      </w:r>
      <w:r w:rsidR="00D80A05" w:rsidRPr="00D80A05">
        <w:t>Services</w:t>
      </w:r>
      <w:r w:rsidR="00D80A05">
        <w:t xml:space="preserve"> </w:t>
      </w:r>
      <w:r w:rsidR="00D80A05" w:rsidRPr="00D80A05">
        <w:t xml:space="preserve">Notice pursuant to </w:t>
      </w:r>
      <w:r w:rsidR="00D80A05">
        <w:t>Se</w:t>
      </w:r>
      <w:r w:rsidR="00D80A05" w:rsidRPr="00D80A05">
        <w:t>ction 88 of</w:t>
      </w:r>
      <w:r w:rsidR="00D80A05">
        <w:t xml:space="preserve"> </w:t>
      </w:r>
      <w:r w:rsidR="00835D03">
        <w:t>t</w:t>
      </w:r>
      <w:r w:rsidR="00D80A05" w:rsidRPr="00D80A05">
        <w:t xml:space="preserve">he </w:t>
      </w:r>
      <w:r w:rsidR="00D80A05">
        <w:t>N</w:t>
      </w:r>
      <w:r w:rsidR="00D80A05" w:rsidRPr="00D80A05">
        <w:t xml:space="preserve">ew </w:t>
      </w:r>
      <w:r w:rsidR="00D80A05">
        <w:t>Z</w:t>
      </w:r>
      <w:r w:rsidR="00D80A05" w:rsidRPr="00D80A05">
        <w:t xml:space="preserve">ealand </w:t>
      </w:r>
      <w:r w:rsidR="005A3979">
        <w:t>P</w:t>
      </w:r>
      <w:r w:rsidR="00D80A05" w:rsidRPr="00D80A05">
        <w:t xml:space="preserve">ublic </w:t>
      </w:r>
      <w:r w:rsidR="00D80A05">
        <w:t>H</w:t>
      </w:r>
      <w:r w:rsidR="00D80A05" w:rsidRPr="00D80A05">
        <w:t>ealth</w:t>
      </w:r>
      <w:r w:rsidR="00D80A05">
        <w:t xml:space="preserve"> a</w:t>
      </w:r>
      <w:r w:rsidR="00D80A05" w:rsidRPr="00D80A05">
        <w:t xml:space="preserve">nd </w:t>
      </w:r>
      <w:r w:rsidR="00D80A05">
        <w:t>D</w:t>
      </w:r>
      <w:r w:rsidR="00D80A05" w:rsidRPr="00D80A05">
        <w:t xml:space="preserve">isability </w:t>
      </w:r>
      <w:r w:rsidR="00B60469">
        <w:t>A</w:t>
      </w:r>
      <w:r w:rsidR="00D80A05" w:rsidRPr="00D80A05">
        <w:t>ct 2000</w:t>
      </w:r>
      <w:r w:rsidR="005A3979">
        <w:t xml:space="preserve"> (amended 2022)</w:t>
      </w:r>
      <w:r w:rsidR="00D80A05">
        <w:t>.</w:t>
      </w:r>
    </w:p>
    <w:p w14:paraId="60C80C3A" w14:textId="329EE7D8" w:rsidR="009327A9" w:rsidRPr="009F63CE" w:rsidRDefault="009327A9" w:rsidP="00D51C52">
      <w:pPr>
        <w:pStyle w:val="TeThHauorahead3"/>
      </w:pPr>
      <w:r w:rsidRPr="009F63CE">
        <w:t xml:space="preserve">Maternity care in </w:t>
      </w:r>
      <w:r w:rsidR="00FF75DA">
        <w:t>Aotearoa</w:t>
      </w:r>
      <w:r w:rsidR="001E04AE">
        <w:t xml:space="preserve"> </w:t>
      </w:r>
    </w:p>
    <w:p w14:paraId="758A04BA" w14:textId="6A73ABE0" w:rsidR="009327A9" w:rsidRPr="009F63CE" w:rsidRDefault="009327A9" w:rsidP="00526787">
      <w:pPr>
        <w:pStyle w:val="TeThHauorabodytext"/>
      </w:pPr>
      <w:r w:rsidRPr="009F63CE">
        <w:t xml:space="preserve">In </w:t>
      </w:r>
      <w:r w:rsidR="001E04AE">
        <w:t>Aotearoa</w:t>
      </w:r>
      <w:r w:rsidRPr="009F63CE">
        <w:t xml:space="preserve">, maternity care is funded by </w:t>
      </w:r>
      <w:r w:rsidR="00DE68AB">
        <w:t xml:space="preserve">Manatū Hauora </w:t>
      </w:r>
      <w:r w:rsidRPr="009F63CE">
        <w:t>Ministry of Health</w:t>
      </w:r>
      <w:r w:rsidR="005A3979">
        <w:t>/</w:t>
      </w:r>
      <w:r w:rsidR="00DE68AB">
        <w:t>Health New Zealand</w:t>
      </w:r>
      <w:r w:rsidRPr="00D80A05">
        <w:t xml:space="preserve">. </w:t>
      </w:r>
      <w:r w:rsidR="003F7CBE" w:rsidRPr="00D80A05">
        <w:t>During the period this report covers (to 2021</w:t>
      </w:r>
      <w:r w:rsidR="00D80A05" w:rsidRPr="00D80A05">
        <w:t>)</w:t>
      </w:r>
      <w:r w:rsidR="003F7CBE" w:rsidRPr="00D80A05">
        <w:t>, m</w:t>
      </w:r>
      <w:r w:rsidRPr="00D80A05">
        <w:t xml:space="preserve">aternity care </w:t>
      </w:r>
      <w:r w:rsidR="003F7CBE" w:rsidRPr="00D80A05">
        <w:t>was</w:t>
      </w:r>
      <w:r w:rsidRPr="00D80A05">
        <w:t xml:space="preserve"> provided by 20 DHBs </w:t>
      </w:r>
      <w:r w:rsidRPr="009F63CE">
        <w:t xml:space="preserve">nationally and by LMCs, who receive funding from </w:t>
      </w:r>
      <w:r w:rsidR="00DE68AB">
        <w:t xml:space="preserve">Manatū Hauora </w:t>
      </w:r>
      <w:r w:rsidRPr="009F63CE">
        <w:t xml:space="preserve">Ministry of Health. LMCs may be self-employed midwives, </w:t>
      </w:r>
      <w:r w:rsidR="00DE68AB">
        <w:t>general practitioners (</w:t>
      </w:r>
      <w:r w:rsidRPr="009F63CE">
        <w:t>GPs</w:t>
      </w:r>
      <w:r w:rsidR="00DE68AB">
        <w:t>)</w:t>
      </w:r>
      <w:r w:rsidRPr="009F63CE">
        <w:t xml:space="preserve">, private obstetricians or hospital-based midwives and obstetricians. Their services are free for eligible </w:t>
      </w:r>
      <w:r w:rsidR="003F0E8E">
        <w:t>people</w:t>
      </w:r>
      <w:r w:rsidRPr="009F63CE">
        <w:t>, except in the case of private obstetricians, who have the right to charge co-payments for their services.</w:t>
      </w:r>
    </w:p>
    <w:p w14:paraId="4AE456D8" w14:textId="467AE6E3" w:rsidR="009327A9" w:rsidRPr="009F63CE" w:rsidRDefault="009327A9" w:rsidP="00526787">
      <w:pPr>
        <w:pStyle w:val="TeThHauorabodytext"/>
      </w:pPr>
      <w:r w:rsidRPr="009F63CE">
        <w:t xml:space="preserve">LMCs are required to sign access agreements with any maternity facility where they intend to provide care. Women </w:t>
      </w:r>
      <w:r w:rsidR="00C51137">
        <w:t>and</w:t>
      </w:r>
      <w:r w:rsidR="002C58F9">
        <w:t xml:space="preserve"> b</w:t>
      </w:r>
      <w:r w:rsidR="00C8221F">
        <w:t>irthing people</w:t>
      </w:r>
      <w:r w:rsidR="00C8221F" w:rsidRPr="009F63CE">
        <w:t xml:space="preserve"> </w:t>
      </w:r>
      <w:r w:rsidRPr="009F63CE">
        <w:t xml:space="preserve">have the right to choose whom they engage as their LMC. However, professional colleges and </w:t>
      </w:r>
      <w:r w:rsidR="00E06648">
        <w:t xml:space="preserve">Manatū Hauora </w:t>
      </w:r>
      <w:r w:rsidRPr="009F63CE">
        <w:t xml:space="preserve">Ministry of Health provide guidelines about appropriate care for </w:t>
      </w:r>
      <w:r w:rsidR="0040677C">
        <w:t>those</w:t>
      </w:r>
      <w:r w:rsidR="00C8221F" w:rsidRPr="009F63CE">
        <w:t xml:space="preserve"> </w:t>
      </w:r>
      <w:r w:rsidRPr="009F63CE">
        <w:t>with risk factors.</w:t>
      </w:r>
    </w:p>
    <w:p w14:paraId="34E47F4D" w14:textId="44B4E039" w:rsidR="009327A9" w:rsidRPr="009F63CE" w:rsidRDefault="009327A9" w:rsidP="00526787">
      <w:pPr>
        <w:pStyle w:val="TeThHauorabodytext"/>
      </w:pPr>
      <w:r w:rsidRPr="009F63CE">
        <w:t xml:space="preserve">The </w:t>
      </w:r>
      <w:r w:rsidR="003F7CBE" w:rsidRPr="003F7CBE">
        <w:rPr>
          <w:i/>
        </w:rPr>
        <w:t xml:space="preserve">Guidelines for Consultation with Obstetric and Related Medical Services (Referral </w:t>
      </w:r>
      <w:r w:rsidR="003F7CBE" w:rsidRPr="00526787">
        <w:t>Guidelines</w:t>
      </w:r>
      <w:r w:rsidR="003F7CBE" w:rsidRPr="003F7CBE">
        <w:rPr>
          <w:i/>
        </w:rPr>
        <w:t xml:space="preserve">) </w:t>
      </w:r>
      <w:r w:rsidRPr="009F63CE">
        <w:t xml:space="preserve">provide information about referring pregnant </w:t>
      </w:r>
      <w:r w:rsidR="00C8221F">
        <w:t>people</w:t>
      </w:r>
      <w:r w:rsidRPr="009F63CE">
        <w:t>, transferring clinical responsibility and transferring care in emergencies (</w:t>
      </w:r>
      <w:hyperlink r:id="rId21" w:history="1">
        <w:r w:rsidR="003F7CBE">
          <w:rPr>
            <w:rStyle w:val="Hyperlink"/>
            <w:color w:val="auto"/>
            <w:u w:val="none"/>
          </w:rPr>
          <w:t>Te</w:t>
        </w:r>
      </w:hyperlink>
      <w:r w:rsidR="003F7CBE">
        <w:rPr>
          <w:rStyle w:val="Hyperlink"/>
          <w:color w:val="auto"/>
          <w:u w:val="none"/>
        </w:rPr>
        <w:t xml:space="preserve"> Whatu Ora 2023</w:t>
      </w:r>
      <w:r w:rsidRPr="009F63CE">
        <w:t>).</w:t>
      </w:r>
    </w:p>
    <w:p w14:paraId="1307D880" w14:textId="7C4388C6" w:rsidR="009327A9" w:rsidRPr="009F63CE" w:rsidRDefault="009327A9" w:rsidP="00D51C52">
      <w:pPr>
        <w:pStyle w:val="TeThHauorahead3"/>
      </w:pPr>
      <w:bookmarkStart w:id="20" w:name="_Hlk17706768"/>
      <w:r w:rsidRPr="009F63CE">
        <w:t xml:space="preserve">New Zealand Index of Deprivation </w:t>
      </w:r>
      <w:r w:rsidR="00B64450">
        <w:t>(NZDep)</w:t>
      </w:r>
    </w:p>
    <w:p w14:paraId="2F0951A9" w14:textId="3A5E0637" w:rsidR="009327A9" w:rsidRPr="009F63CE" w:rsidRDefault="009327A9" w:rsidP="00526787">
      <w:pPr>
        <w:pStyle w:val="TeThHauorabodytext"/>
      </w:pPr>
      <w:r w:rsidRPr="009F63CE">
        <w:t>The NZDep is an area-based measure of socioeconomic deprivation based on variables from the Census of Population and Dwellings</w:t>
      </w:r>
      <w:r w:rsidR="00266A58">
        <w:t xml:space="preserve"> </w:t>
      </w:r>
      <w:r w:rsidR="00266A58" w:rsidRPr="009F63CE">
        <w:t>(</w:t>
      </w:r>
      <w:hyperlink r:id="rId22" w:history="1">
        <w:r w:rsidR="00266A58" w:rsidRPr="009F63CE">
          <w:rPr>
            <w:rStyle w:val="Hyperlink"/>
            <w:color w:val="auto"/>
            <w:u w:val="none"/>
          </w:rPr>
          <w:t>Atkinson et al 2014</w:t>
        </w:r>
      </w:hyperlink>
      <w:r w:rsidR="00266A58" w:rsidRPr="009F63CE">
        <w:t xml:space="preserve">; </w:t>
      </w:r>
      <w:hyperlink r:id="rId23" w:history="1">
        <w:r w:rsidR="00266A58" w:rsidRPr="009F63CE">
          <w:rPr>
            <w:rStyle w:val="Hyperlink"/>
            <w:color w:val="auto"/>
            <w:u w:val="none"/>
          </w:rPr>
          <w:t>Salmond et al 2007</w:t>
        </w:r>
      </w:hyperlink>
      <w:r w:rsidR="00266A58" w:rsidRPr="009F63CE">
        <w:t>).</w:t>
      </w:r>
      <w:r w:rsidR="00B64450">
        <w:t xml:space="preserve"> NZDep06</w:t>
      </w:r>
      <w:r w:rsidR="00282106">
        <w:t>,</w:t>
      </w:r>
      <w:r w:rsidR="00B64450">
        <w:t xml:space="preserve"> NZDep13 </w:t>
      </w:r>
      <w:r w:rsidR="00282106">
        <w:t xml:space="preserve">and NZDep18 </w:t>
      </w:r>
      <w:r w:rsidR="00B64450">
        <w:t>are used in th</w:t>
      </w:r>
      <w:r w:rsidR="00DD23BC">
        <w:t>is report and are derived from</w:t>
      </w:r>
      <w:r w:rsidR="00B64450">
        <w:t xml:space="preserve"> the</w:t>
      </w:r>
      <w:r w:rsidRPr="009F63CE">
        <w:t xml:space="preserve"> 2006</w:t>
      </w:r>
      <w:r w:rsidR="00282106">
        <w:t>,</w:t>
      </w:r>
      <w:r w:rsidRPr="009F63CE">
        <w:t xml:space="preserve"> 2013 </w:t>
      </w:r>
      <w:r w:rsidR="00282106">
        <w:t xml:space="preserve">and 2018 </w:t>
      </w:r>
      <w:r w:rsidR="00B64450">
        <w:t xml:space="preserve">censuses </w:t>
      </w:r>
      <w:r w:rsidRPr="009F63CE">
        <w:t xml:space="preserve">in </w:t>
      </w:r>
      <w:r w:rsidR="00B64450">
        <w:t>Aotearoa</w:t>
      </w:r>
      <w:r w:rsidR="00625EFA">
        <w:t>, respectively</w:t>
      </w:r>
      <w:r w:rsidR="00266A58">
        <w:t>.</w:t>
      </w:r>
      <w:r w:rsidRPr="009F63CE">
        <w:t xml:space="preserve"> </w:t>
      </w:r>
    </w:p>
    <w:bookmarkEnd w:id="20"/>
    <w:p w14:paraId="138E8BDA" w14:textId="76E45BC4" w:rsidR="009327A9" w:rsidRPr="009F63CE" w:rsidRDefault="009327A9" w:rsidP="00526787">
      <w:pPr>
        <w:pStyle w:val="TeThHauorabodytext"/>
      </w:pPr>
      <w:r w:rsidRPr="009F63CE">
        <w:t>The score is assigned according to maternal place of residence and is presented as a decile or quintile. Increasing deciles of deprivation, from least deprived at decile 1 to most deprived at decile 10, are associated with higher mortality and rates of many diseases (</w:t>
      </w:r>
      <w:hyperlink r:id="rId24" w:history="1">
        <w:r w:rsidR="00E758ED" w:rsidRPr="009F63CE">
          <w:rPr>
            <w:rStyle w:val="Hyperlink"/>
            <w:color w:val="auto"/>
            <w:u w:val="none"/>
          </w:rPr>
          <w:t>Atkinson et al 2014</w:t>
        </w:r>
      </w:hyperlink>
      <w:r w:rsidR="00E758ED" w:rsidRPr="009F63CE">
        <w:t xml:space="preserve">; </w:t>
      </w:r>
      <w:hyperlink r:id="rId25" w:history="1">
        <w:r w:rsidR="00E758ED" w:rsidRPr="009F63CE">
          <w:rPr>
            <w:rStyle w:val="Hyperlink"/>
            <w:color w:val="auto"/>
            <w:u w:val="none"/>
          </w:rPr>
          <w:t>Salmond et al 2007</w:t>
        </w:r>
      </w:hyperlink>
      <w:r w:rsidRPr="009F63CE">
        <w:t xml:space="preserve">). Census area unit-level data </w:t>
      </w:r>
      <w:r w:rsidR="00282106">
        <w:t>were</w:t>
      </w:r>
      <w:r w:rsidRPr="009F63CE">
        <w:t xml:space="preserve"> used </w:t>
      </w:r>
      <w:r w:rsidR="00282106">
        <w:t>for</w:t>
      </w:r>
      <w:r w:rsidR="00641ACD" w:rsidRPr="009F63CE">
        <w:t xml:space="preserve"> the</w:t>
      </w:r>
      <w:r w:rsidRPr="009F63CE">
        <w:t xml:space="preserve"> 11</w:t>
      </w:r>
      <w:r w:rsidRPr="00282106">
        <w:rPr>
          <w:vertAlign w:val="superscript"/>
        </w:rPr>
        <w:t>th</w:t>
      </w:r>
      <w:r w:rsidR="00282106">
        <w:t>–14</w:t>
      </w:r>
      <w:r w:rsidR="00282106" w:rsidRPr="00282106">
        <w:rPr>
          <w:vertAlign w:val="superscript"/>
        </w:rPr>
        <w:t>th</w:t>
      </w:r>
      <w:r w:rsidR="00282106">
        <w:t xml:space="preserve"> </w:t>
      </w:r>
      <w:r w:rsidR="004F7A0B" w:rsidRPr="009F63CE">
        <w:t xml:space="preserve">PMMRC </w:t>
      </w:r>
      <w:r w:rsidRPr="009F63CE">
        <w:t>report</w:t>
      </w:r>
      <w:r w:rsidR="00282106">
        <w:t>s</w:t>
      </w:r>
      <w:r w:rsidRPr="009F63CE">
        <w:t xml:space="preserve"> (in previous reports</w:t>
      </w:r>
      <w:r w:rsidR="008831B7">
        <w:t>,</w:t>
      </w:r>
      <w:r w:rsidRPr="009F63CE">
        <w:t xml:space="preserve"> meshblock unit</w:t>
      </w:r>
      <w:r w:rsidR="008831B7">
        <w:t>-</w:t>
      </w:r>
      <w:r w:rsidRPr="009F63CE">
        <w:t xml:space="preserve">level data </w:t>
      </w:r>
      <w:r w:rsidR="008831B7">
        <w:t xml:space="preserve">was </w:t>
      </w:r>
      <w:r w:rsidRPr="009F63CE">
        <w:t>used</w:t>
      </w:r>
      <w:r w:rsidR="00641ACD" w:rsidRPr="009F63CE">
        <w:t xml:space="preserve"> to assign a deprivation score</w:t>
      </w:r>
      <w:r w:rsidRPr="009F63CE">
        <w:t xml:space="preserve">). </w:t>
      </w:r>
      <w:r w:rsidR="00282106">
        <w:t>For NZDep18, Statistical Area</w:t>
      </w:r>
      <w:r w:rsidR="0018176F">
        <w:t xml:space="preserve"> (SA)</w:t>
      </w:r>
      <w:r w:rsidR="00282106">
        <w:t xml:space="preserve"> 1 </w:t>
      </w:r>
      <w:r w:rsidR="002023C9">
        <w:t>was</w:t>
      </w:r>
      <w:r w:rsidR="00282106">
        <w:t xml:space="preserve"> used </w:t>
      </w:r>
      <w:r w:rsidR="00A47EFB">
        <w:t>(Atkinson et al 2019)</w:t>
      </w:r>
      <w:r w:rsidR="00282106">
        <w:t xml:space="preserve">. </w:t>
      </w:r>
      <w:r w:rsidRPr="009F63CE">
        <w:t xml:space="preserve">Generally, data </w:t>
      </w:r>
      <w:r w:rsidR="002023C9">
        <w:t>is</w:t>
      </w:r>
      <w:r w:rsidR="002023C9" w:rsidRPr="009F63CE">
        <w:t xml:space="preserve"> </w:t>
      </w:r>
      <w:r w:rsidRPr="009F63CE">
        <w:t>presented as quintiles rather than deciles so that individual categories are large enough for analysis.</w:t>
      </w:r>
    </w:p>
    <w:p w14:paraId="5E97DA4C" w14:textId="194BFB26" w:rsidR="009327A9" w:rsidRPr="009F63CE" w:rsidRDefault="00282106" w:rsidP="00526787">
      <w:pPr>
        <w:pStyle w:val="TeThHauorabodytext"/>
      </w:pPr>
      <w:r>
        <w:t xml:space="preserve">NZDep18 deciles were </w:t>
      </w:r>
      <w:r w:rsidRPr="009F63CE">
        <w:t xml:space="preserve">assigned to births and deaths </w:t>
      </w:r>
      <w:r>
        <w:t xml:space="preserve">from 2018 to present; </w:t>
      </w:r>
      <w:r w:rsidR="009327A9" w:rsidRPr="009F63CE">
        <w:t xml:space="preserve">NZDep2013 deciles </w:t>
      </w:r>
      <w:r>
        <w:t>were</w:t>
      </w:r>
      <w:r w:rsidR="009327A9" w:rsidRPr="009F63CE">
        <w:t xml:space="preserve"> assigned to births and deaths from 2013</w:t>
      </w:r>
      <w:r w:rsidR="00041DF7">
        <w:t xml:space="preserve"> to </w:t>
      </w:r>
      <w:r>
        <w:t>2017 inclusive and</w:t>
      </w:r>
      <w:r w:rsidR="009327A9" w:rsidRPr="009F63CE">
        <w:t xml:space="preserve"> NZDep2006 </w:t>
      </w:r>
      <w:r>
        <w:t>was</w:t>
      </w:r>
      <w:r w:rsidR="009327A9" w:rsidRPr="009F63CE">
        <w:t xml:space="preserve"> used for previous years. </w:t>
      </w:r>
    </w:p>
    <w:p w14:paraId="029E86FB" w14:textId="67846B43" w:rsidR="00F76130" w:rsidRPr="009F63CE" w:rsidRDefault="00F76130" w:rsidP="00D51C52">
      <w:pPr>
        <w:pStyle w:val="TeThHauorahead3"/>
      </w:pPr>
      <w:r w:rsidRPr="009F63CE">
        <w:t xml:space="preserve">PSANZ </w:t>
      </w:r>
      <w:r w:rsidR="00D85A99" w:rsidRPr="009F63CE">
        <w:t>death classifications</w:t>
      </w:r>
    </w:p>
    <w:p w14:paraId="16ACF7D8" w14:textId="3C6C313F" w:rsidR="00F76130" w:rsidRPr="009F63CE" w:rsidRDefault="00F76130" w:rsidP="00526787">
      <w:pPr>
        <w:pStyle w:val="TeThHauorabodytext"/>
        <w:rPr>
          <w:color w:val="000000"/>
        </w:rPr>
      </w:pPr>
      <w:r w:rsidRPr="009F63CE">
        <w:rPr>
          <w:b/>
          <w:bCs/>
        </w:rPr>
        <w:t xml:space="preserve">PSANZ-PDC </w:t>
      </w:r>
      <w:r w:rsidR="006C622C" w:rsidRPr="009F63CE">
        <w:t>–</w:t>
      </w:r>
      <w:r w:rsidRPr="009F63CE">
        <w:t xml:space="preserve"> the purpose of the PSANZ-PDC is to identify the single most important factor </w:t>
      </w:r>
      <w:r w:rsidR="006C622C" w:rsidRPr="009F63CE">
        <w:t xml:space="preserve">that </w:t>
      </w:r>
      <w:r w:rsidRPr="009F63CE">
        <w:t xml:space="preserve">led to the chain of events </w:t>
      </w:r>
      <w:r w:rsidR="0058794C" w:rsidRPr="009F63CE">
        <w:t xml:space="preserve">that </w:t>
      </w:r>
      <w:r w:rsidRPr="009F63CE">
        <w:t>resulted in the death.</w:t>
      </w:r>
    </w:p>
    <w:p w14:paraId="04ACD6D7" w14:textId="77437B6B" w:rsidR="00F76130" w:rsidRDefault="00F76130" w:rsidP="00526787">
      <w:pPr>
        <w:pStyle w:val="TeThHauorabodytext"/>
      </w:pPr>
      <w:r w:rsidRPr="009F63CE">
        <w:rPr>
          <w:b/>
          <w:bCs/>
        </w:rPr>
        <w:t>PSANZ-NDC</w:t>
      </w:r>
      <w:r w:rsidRPr="009F63CE">
        <w:t xml:space="preserve"> </w:t>
      </w:r>
      <w:r w:rsidR="0058794C" w:rsidRPr="009F63CE">
        <w:t>–</w:t>
      </w:r>
      <w:r w:rsidRPr="009F63CE">
        <w:t xml:space="preserve"> the purpose of the PSANZ-NDC is in addition to the PSANZ-PDC to identify the single most important factor in the neonatal period </w:t>
      </w:r>
      <w:r w:rsidR="0058794C" w:rsidRPr="009F63CE">
        <w:t xml:space="preserve">that </w:t>
      </w:r>
      <w:r w:rsidRPr="009F63CE">
        <w:t>caused the death.</w:t>
      </w:r>
    </w:p>
    <w:p w14:paraId="65E3E493" w14:textId="06C93B87" w:rsidR="00DD69FE" w:rsidRPr="009F63CE" w:rsidRDefault="00DD69FE" w:rsidP="00526787">
      <w:pPr>
        <w:pStyle w:val="TeThHauorabodytext"/>
      </w:pPr>
      <w:r>
        <w:t xml:space="preserve">For this report, the 2018 PSANZ classifications were used. For babies who died </w:t>
      </w:r>
      <w:r w:rsidR="0081767A">
        <w:t>from</w:t>
      </w:r>
      <w:r>
        <w:t xml:space="preserve"> 2018</w:t>
      </w:r>
      <w:r w:rsidR="0081767A">
        <w:t xml:space="preserve"> onwards</w:t>
      </w:r>
      <w:r>
        <w:t xml:space="preserve">, the death classification was coded in the 2018 version. Babies who died during the </w:t>
      </w:r>
      <w:r>
        <w:lastRenderedPageBreak/>
        <w:t>years 2007–</w:t>
      </w:r>
      <w:r w:rsidR="00041DF7">
        <w:t>20</w:t>
      </w:r>
      <w:r>
        <w:t xml:space="preserve">17 </w:t>
      </w:r>
      <w:r w:rsidR="0081767A">
        <w:t>had been</w:t>
      </w:r>
      <w:r>
        <w:t xml:space="preserve"> coded in the 2007 version. For these babies, the primary PDC and NDC </w:t>
      </w:r>
      <w:r w:rsidR="00E43793">
        <w:t xml:space="preserve">category </w:t>
      </w:r>
      <w:r>
        <w:t>codes were mapped to the 2018 version. For NDC codes, the mapping was straightforward</w:t>
      </w:r>
      <w:r w:rsidR="00041DF7">
        <w:t>,</w:t>
      </w:r>
      <w:r>
        <w:t xml:space="preserve"> with </w:t>
      </w:r>
      <w:r w:rsidR="0081767A">
        <w:t>one-to-one</w:t>
      </w:r>
      <w:r>
        <w:t xml:space="preserve"> category mapping. PDC codes required a mix of direct category mapping, selected sub-category mapping and custom (individual) case mapping. One result of the change in death classification schema was that idiopathic hydrops (PDC 6.7 in </w:t>
      </w:r>
      <w:r w:rsidR="007F6DD6">
        <w:t xml:space="preserve">the </w:t>
      </w:r>
      <w:r>
        <w:t xml:space="preserve">2007 version) was moved to idiopathic hydrops fetalis (PDC 1.192 in the 2018 version). This change has increased the number of babies whose death classification is congenital anomaly. </w:t>
      </w:r>
    </w:p>
    <w:p w14:paraId="75BAB784" w14:textId="41D0A0FB" w:rsidR="009327A9" w:rsidRPr="009F63CE" w:rsidRDefault="009327A9" w:rsidP="00D51C52">
      <w:pPr>
        <w:pStyle w:val="TeThHauorahead3"/>
      </w:pPr>
      <w:r w:rsidRPr="009F63CE">
        <w:t>Place of birth</w:t>
      </w:r>
    </w:p>
    <w:p w14:paraId="171F32C0" w14:textId="77777777" w:rsidR="009327A9" w:rsidRPr="009F63CE" w:rsidRDefault="009327A9" w:rsidP="00811AB4">
      <w:pPr>
        <w:pStyle w:val="TeThHauorabodytext"/>
        <w:spacing w:after="60"/>
      </w:pPr>
      <w:r w:rsidRPr="009F63CE">
        <w:t>Place of birth is defined for the data collection as:</w:t>
      </w:r>
    </w:p>
    <w:p w14:paraId="22EAA387" w14:textId="73F86F73" w:rsidR="009327A9" w:rsidRPr="009F63CE" w:rsidRDefault="009327A9" w:rsidP="001A6289">
      <w:pPr>
        <w:pStyle w:val="ListBullet"/>
        <w:spacing w:before="0" w:after="60"/>
        <w:ind w:left="357" w:hanging="357"/>
        <w:rPr>
          <w:rFonts w:cs="Arial"/>
        </w:rPr>
      </w:pPr>
      <w:r w:rsidRPr="009F63CE">
        <w:rPr>
          <w:rFonts w:cs="Arial"/>
        </w:rPr>
        <w:t xml:space="preserve">home: a home environment does not have to be the </w:t>
      </w:r>
      <w:r w:rsidR="007F618D">
        <w:rPr>
          <w:rFonts w:cs="Arial"/>
        </w:rPr>
        <w:t>woman</w:t>
      </w:r>
      <w:r w:rsidR="00A30CA1">
        <w:rPr>
          <w:rFonts w:cs="Arial"/>
        </w:rPr>
        <w:t>/</w:t>
      </w:r>
      <w:r w:rsidR="007A571E">
        <w:rPr>
          <w:rFonts w:cs="Arial"/>
        </w:rPr>
        <w:t>birthing person’s</w:t>
      </w:r>
      <w:r w:rsidR="007A571E" w:rsidRPr="009F63CE">
        <w:rPr>
          <w:rFonts w:cs="Arial"/>
        </w:rPr>
        <w:t xml:space="preserve"> </w:t>
      </w:r>
      <w:r w:rsidRPr="009F63CE">
        <w:rPr>
          <w:rFonts w:cs="Arial"/>
        </w:rPr>
        <w:t>own home</w:t>
      </w:r>
    </w:p>
    <w:p w14:paraId="1E90393A" w14:textId="77777777" w:rsidR="009327A9" w:rsidRPr="009F63CE" w:rsidRDefault="009327A9" w:rsidP="001A6289">
      <w:pPr>
        <w:pStyle w:val="ListBullet"/>
        <w:spacing w:before="0" w:after="60"/>
        <w:ind w:left="357" w:hanging="357"/>
        <w:rPr>
          <w:rFonts w:cs="Arial"/>
        </w:rPr>
      </w:pPr>
      <w:r w:rsidRPr="009F63CE">
        <w:rPr>
          <w:rFonts w:cs="Arial"/>
        </w:rPr>
        <w:t>birthing unit: stand-alone birthing centre</w:t>
      </w:r>
    </w:p>
    <w:p w14:paraId="1DF02EFA" w14:textId="77777777" w:rsidR="009327A9" w:rsidRPr="009F63CE" w:rsidRDefault="009327A9" w:rsidP="001A6289">
      <w:pPr>
        <w:pStyle w:val="ListBullet"/>
        <w:spacing w:before="0" w:after="60"/>
        <w:ind w:left="357" w:hanging="357"/>
        <w:rPr>
          <w:rFonts w:cs="Arial"/>
        </w:rPr>
      </w:pPr>
      <w:r w:rsidRPr="009F63CE">
        <w:rPr>
          <w:rFonts w:cs="Arial"/>
        </w:rPr>
        <w:t>hospital level 1: a hospital with no neonatal or caesarean section facilities</w:t>
      </w:r>
    </w:p>
    <w:p w14:paraId="2246FC8C" w14:textId="77777777" w:rsidR="009327A9" w:rsidRPr="009F63CE" w:rsidRDefault="009327A9" w:rsidP="001A6289">
      <w:pPr>
        <w:pStyle w:val="ListBullet"/>
        <w:spacing w:before="0" w:after="60"/>
        <w:ind w:left="357" w:hanging="357"/>
        <w:rPr>
          <w:rFonts w:cs="Arial"/>
        </w:rPr>
      </w:pPr>
      <w:r w:rsidRPr="009F63CE">
        <w:rPr>
          <w:rFonts w:cs="Arial"/>
        </w:rPr>
        <w:t>hospital level 2: a hospital that is unable to provide long-term ventilation for babies</w:t>
      </w:r>
    </w:p>
    <w:p w14:paraId="18534487" w14:textId="2B533CF9" w:rsidR="009327A9" w:rsidRPr="009F63CE" w:rsidRDefault="009327A9" w:rsidP="001A6289">
      <w:pPr>
        <w:pStyle w:val="ListBullet"/>
        <w:spacing w:before="0" w:after="60"/>
        <w:ind w:left="357" w:hanging="357"/>
        <w:rPr>
          <w:rFonts w:cs="Arial"/>
        </w:rPr>
      </w:pPr>
      <w:r w:rsidRPr="009F63CE">
        <w:rPr>
          <w:rFonts w:cs="Arial"/>
        </w:rPr>
        <w:t>hospital level 3: a hospital with full neonatal intensive care</w:t>
      </w:r>
      <w:r w:rsidR="0097660C">
        <w:rPr>
          <w:rFonts w:cs="Arial"/>
        </w:rPr>
        <w:t>,</w:t>
      </w:r>
      <w:r w:rsidRPr="009F63CE">
        <w:rPr>
          <w:rFonts w:cs="Arial"/>
        </w:rPr>
        <w:t xml:space="preserve"> inc</w:t>
      </w:r>
      <w:r w:rsidR="00312B36" w:rsidRPr="009F63CE">
        <w:rPr>
          <w:rFonts w:cs="Arial"/>
        </w:rPr>
        <w:t xml:space="preserve">luding facilities for long-term </w:t>
      </w:r>
      <w:r w:rsidRPr="009F63CE">
        <w:rPr>
          <w:rFonts w:cs="Arial"/>
        </w:rPr>
        <w:t>ventilation</w:t>
      </w:r>
    </w:p>
    <w:p w14:paraId="4D78B553" w14:textId="77777777" w:rsidR="009327A9" w:rsidRPr="009F63CE" w:rsidRDefault="009327A9" w:rsidP="001A6289">
      <w:pPr>
        <w:pStyle w:val="ListBullet"/>
        <w:spacing w:before="0" w:after="60"/>
        <w:ind w:left="357" w:hanging="357"/>
        <w:rPr>
          <w:rFonts w:cs="Arial"/>
        </w:rPr>
      </w:pPr>
      <w:r w:rsidRPr="009F63CE">
        <w:rPr>
          <w:rFonts w:cs="Arial"/>
        </w:rPr>
        <w:t>other: for example, car, ambulance</w:t>
      </w:r>
    </w:p>
    <w:p w14:paraId="2AD11987" w14:textId="44C7C8D2" w:rsidR="009327A9" w:rsidRPr="00F76CD9" w:rsidRDefault="009327A9" w:rsidP="001A6289">
      <w:pPr>
        <w:pStyle w:val="ListBullet"/>
        <w:spacing w:before="0" w:after="60"/>
        <w:ind w:left="357" w:hanging="357"/>
        <w:rPr>
          <w:rFonts w:cs="Arial"/>
        </w:rPr>
      </w:pPr>
      <w:r w:rsidRPr="009F63CE">
        <w:rPr>
          <w:rFonts w:cs="Arial"/>
        </w:rPr>
        <w:t xml:space="preserve">not registered: </w:t>
      </w:r>
      <w:r w:rsidRPr="00F76CD9">
        <w:rPr>
          <w:rFonts w:cs="Arial"/>
        </w:rPr>
        <w:t>has not registered at any facility.</w:t>
      </w:r>
    </w:p>
    <w:p w14:paraId="32CD2ADB" w14:textId="57D8D29B" w:rsidR="009327A9" w:rsidRPr="009F63CE" w:rsidRDefault="009327A9" w:rsidP="00D51C52">
      <w:pPr>
        <w:pStyle w:val="TeThHauorahead3"/>
      </w:pPr>
      <w:r w:rsidRPr="009F63CE">
        <w:t>Registration with a</w:t>
      </w:r>
      <w:r w:rsidR="007A571E">
        <w:t>n LMC</w:t>
      </w:r>
    </w:p>
    <w:p w14:paraId="03F1F319" w14:textId="1CD87894" w:rsidR="009327A9" w:rsidRDefault="009327A9" w:rsidP="00526787">
      <w:pPr>
        <w:pStyle w:val="TeThHauorabodytext"/>
      </w:pPr>
      <w:r w:rsidRPr="009F63CE">
        <w:t xml:space="preserve">Registration with </w:t>
      </w:r>
      <w:r w:rsidR="0058794C" w:rsidRPr="009F63CE">
        <w:t xml:space="preserve">an </w:t>
      </w:r>
      <w:r w:rsidRPr="009F63CE">
        <w:t xml:space="preserve">LMC is the process by which a </w:t>
      </w:r>
      <w:r w:rsidR="007F618D">
        <w:t>woman</w:t>
      </w:r>
      <w:r w:rsidR="00A30CA1">
        <w:t>/</w:t>
      </w:r>
      <w:r w:rsidR="007A571E">
        <w:t>birthing person</w:t>
      </w:r>
      <w:r w:rsidR="007A571E" w:rsidRPr="009F63CE">
        <w:t xml:space="preserve"> </w:t>
      </w:r>
      <w:r w:rsidRPr="009F63CE">
        <w:t xml:space="preserve">selects </w:t>
      </w:r>
      <w:r w:rsidR="007A571E">
        <w:t xml:space="preserve">their </w:t>
      </w:r>
      <w:r w:rsidRPr="009F63CE">
        <w:t>LMC. This generally occurs at the time of the first antenatal visit with the LMC. Upon registration</w:t>
      </w:r>
      <w:r w:rsidR="00C14FE5">
        <w:t>,</w:t>
      </w:r>
      <w:r w:rsidRPr="009F63CE">
        <w:t xml:space="preserve"> the LMC assumes clinical responsibility for maternity care. Clinical responsibility for care may transfer from the LMC to another service or provider</w:t>
      </w:r>
      <w:r w:rsidR="0058794C" w:rsidRPr="009F63CE">
        <w:t>;</w:t>
      </w:r>
      <w:r w:rsidRPr="009F63CE">
        <w:t xml:space="preserve"> for example, if a </w:t>
      </w:r>
      <w:r w:rsidR="007A571E">
        <w:t>person</w:t>
      </w:r>
      <w:r w:rsidR="007A571E" w:rsidRPr="009F63CE">
        <w:t xml:space="preserve">’s </w:t>
      </w:r>
      <w:r w:rsidRPr="009F63CE">
        <w:t>condition warrants transfer of clinical responsibility to a specialist.</w:t>
      </w:r>
      <w:r w:rsidR="002579CD">
        <w:t xml:space="preserve"> Registration may also be with a DHB/</w:t>
      </w:r>
      <w:r w:rsidR="00C14FE5">
        <w:t>Health New Zealand health district</w:t>
      </w:r>
      <w:r w:rsidR="002579CD">
        <w:t xml:space="preserve"> providing primary maternity care</w:t>
      </w:r>
      <w:r w:rsidR="00A94996">
        <w:t>.</w:t>
      </w:r>
    </w:p>
    <w:p w14:paraId="78F87166" w14:textId="048B73A7" w:rsidR="002579CD" w:rsidRDefault="002579CD" w:rsidP="00D51C52">
      <w:pPr>
        <w:pStyle w:val="TeThHauorahead3"/>
      </w:pPr>
      <w:r>
        <w:t>Rural/</w:t>
      </w:r>
      <w:r w:rsidR="00C14FE5">
        <w:t>u</w:t>
      </w:r>
      <w:r>
        <w:t>rban residence</w:t>
      </w:r>
    </w:p>
    <w:p w14:paraId="1B35DF57" w14:textId="39490F7B" w:rsidR="002579CD" w:rsidRPr="002579CD" w:rsidRDefault="00C14FE5" w:rsidP="00526787">
      <w:pPr>
        <w:pStyle w:val="TeThHauorabodytext"/>
      </w:pPr>
      <w:r>
        <w:t>R</w:t>
      </w:r>
      <w:r w:rsidR="002579CD" w:rsidRPr="002579CD">
        <w:t>ural/urban residential locality of whānau</w:t>
      </w:r>
      <w:r>
        <w:t xml:space="preserve"> is introduced in the 16</w:t>
      </w:r>
      <w:r w:rsidRPr="00EC07B5">
        <w:rPr>
          <w:vertAlign w:val="superscript"/>
        </w:rPr>
        <w:t>th</w:t>
      </w:r>
      <w:r>
        <w:t xml:space="preserve"> report</w:t>
      </w:r>
      <w:r w:rsidR="002579CD" w:rsidRPr="002579CD">
        <w:t>. Using the Geographic Classification for Health (GCH) categories developed by Whitehead et al</w:t>
      </w:r>
      <w:r w:rsidR="009151C3">
        <w:t xml:space="preserve"> (2022)</w:t>
      </w:r>
      <w:r w:rsidR="002579CD">
        <w:t xml:space="preserve">, </w:t>
      </w:r>
      <w:r w:rsidR="002579CD" w:rsidRPr="002579CD">
        <w:t>residential area was determined to be rural or urban based on residential address at registration.</w:t>
      </w:r>
      <w:r w:rsidR="009151C3">
        <w:t xml:space="preserve"> </w:t>
      </w:r>
      <w:r w:rsidR="009151C3" w:rsidRPr="009151C3">
        <w:t>The five-level GCH rurality classification delineates three levels of rural and two urban levels for health research and policy purposes</w:t>
      </w:r>
      <w:r w:rsidR="009151C3">
        <w:t xml:space="preserve"> in Aotearoa</w:t>
      </w:r>
      <w:r w:rsidR="009151C3" w:rsidRPr="009151C3">
        <w:t xml:space="preserve">. </w:t>
      </w:r>
      <w:r w:rsidR="009151C3">
        <w:t>In this report</w:t>
      </w:r>
      <w:r w:rsidR="00384FE7">
        <w:t>,</w:t>
      </w:r>
      <w:r w:rsidR="009151C3">
        <w:t xml:space="preserve"> we have </w:t>
      </w:r>
      <w:r w:rsidR="00384FE7">
        <w:t xml:space="preserve">used </w:t>
      </w:r>
      <w:r w:rsidR="009151C3">
        <w:t>the condensed binary rural/urban classifications. This classification system</w:t>
      </w:r>
      <w:r w:rsidR="00384FE7">
        <w:t>,</w:t>
      </w:r>
      <w:r w:rsidR="009151C3">
        <w:t xml:space="preserve"> </w:t>
      </w:r>
      <w:r w:rsidR="00384FE7">
        <w:t xml:space="preserve">albeit </w:t>
      </w:r>
      <w:r w:rsidR="009151C3">
        <w:t>new, has been tested and shown to be</w:t>
      </w:r>
      <w:r w:rsidR="009151C3" w:rsidRPr="009151C3">
        <w:t xml:space="preserve"> technically </w:t>
      </w:r>
      <w:r w:rsidR="009151C3">
        <w:t>robust and tailored to the context of health in Aotearoa.</w:t>
      </w:r>
    </w:p>
    <w:p w14:paraId="6A038DCC" w14:textId="0550C39A" w:rsidR="00167701" w:rsidRDefault="00167701" w:rsidP="00D51C52">
      <w:pPr>
        <w:pStyle w:val="TeThHauorahead3"/>
      </w:pPr>
      <w:r>
        <w:t>Parity</w:t>
      </w:r>
    </w:p>
    <w:p w14:paraId="066CB14F" w14:textId="1ACDB0FF" w:rsidR="00167701" w:rsidRPr="00167701" w:rsidRDefault="00E016DF" w:rsidP="00526787">
      <w:pPr>
        <w:pStyle w:val="TeThHauorabodytext"/>
      </w:pPr>
      <w:r>
        <w:t xml:space="preserve">Parity is described </w:t>
      </w:r>
      <w:r w:rsidR="001D4E8A">
        <w:t xml:space="preserve">in this report </w:t>
      </w:r>
      <w:r>
        <w:t xml:space="preserve">by </w:t>
      </w:r>
      <w:r w:rsidR="00DB0662">
        <w:t xml:space="preserve">the terms ‘primiparous’ and ‘multiparous’. A primiparous </w:t>
      </w:r>
      <w:r w:rsidR="00AC4A4E">
        <w:t xml:space="preserve">person </w:t>
      </w:r>
      <w:r w:rsidR="00DB0662">
        <w:t xml:space="preserve">is defined here as having </w:t>
      </w:r>
      <w:r w:rsidR="00AC4A4E">
        <w:t xml:space="preserve">their </w:t>
      </w:r>
      <w:r w:rsidR="00DB0662">
        <w:t xml:space="preserve">first baby/babies after 20 weeks’ gestation. In figures and tables, this is called ‘parity 0’. Multiparous </w:t>
      </w:r>
      <w:r w:rsidR="00AC4A4E">
        <w:t xml:space="preserve">people </w:t>
      </w:r>
      <w:r w:rsidR="00DB0662">
        <w:t>are those who have already had a ba</w:t>
      </w:r>
      <w:r w:rsidR="001D4E8A">
        <w:t>by after 20 weeks</w:t>
      </w:r>
      <w:r w:rsidR="0074668C">
        <w:t>’</w:t>
      </w:r>
      <w:r w:rsidR="001D4E8A">
        <w:t xml:space="preserve"> gestation, and parity is ≥1.</w:t>
      </w:r>
    </w:p>
    <w:p w14:paraId="788DD1C6" w14:textId="7553FA3D" w:rsidR="00167701" w:rsidRPr="009F63CE" w:rsidRDefault="00167701" w:rsidP="00D51C52">
      <w:pPr>
        <w:pStyle w:val="TeThHauorahead3"/>
      </w:pPr>
      <w:r w:rsidRPr="009F63CE">
        <w:lastRenderedPageBreak/>
        <w:t>Neonatal encephalopathy</w:t>
      </w:r>
    </w:p>
    <w:p w14:paraId="73B587F8" w14:textId="31B3EC53" w:rsidR="00167701" w:rsidRPr="009F63CE" w:rsidRDefault="008B6072" w:rsidP="00526787">
      <w:pPr>
        <w:pStyle w:val="TeThHauorabodytext"/>
      </w:pPr>
      <w:bookmarkStart w:id="21" w:name="_Hlk103157484"/>
      <w:r w:rsidRPr="008B6072">
        <w:t xml:space="preserve">Neonatal encephalopathy (NE) is a clinically defined syndrome of disturbed neurological function within the first week after birth in an infant born from 35 weeks’ gestation, manifested by difficulty in initiating and maintaining respiration, depression of tone and reflexes, subnormal level of consciousness and often seizures </w:t>
      </w:r>
      <w:r w:rsidR="00167701" w:rsidRPr="009F63CE">
        <w:t xml:space="preserve">(Nelson and Leviton 1991). </w:t>
      </w:r>
      <w:r w:rsidR="00167701" w:rsidRPr="00464EFE">
        <w:rPr>
          <w:rFonts w:eastAsia="Futura Hv BT"/>
          <w:iCs/>
          <w:szCs w:val="24"/>
        </w:rPr>
        <w:t>The PMMRC data set of NE cases includes Sarnat stages 2 or 3 (equivalent to moderate and severe) only.</w:t>
      </w:r>
    </w:p>
    <w:p w14:paraId="06DEE96D" w14:textId="5E7DF0DC" w:rsidR="00167701" w:rsidRPr="009F63CE" w:rsidRDefault="0074668C" w:rsidP="00526787">
      <w:pPr>
        <w:pStyle w:val="TeThHauorabodytext"/>
        <w:rPr>
          <w:rFonts w:eastAsia="Futura Hv BT"/>
          <w:iCs/>
          <w:szCs w:val="24"/>
        </w:rPr>
      </w:pPr>
      <w:r>
        <w:rPr>
          <w:rFonts w:eastAsia="Futura Hv BT"/>
          <w:iCs/>
          <w:szCs w:val="24"/>
        </w:rPr>
        <w:t>All</w:t>
      </w:r>
      <w:r w:rsidR="00167701" w:rsidRPr="009F63CE">
        <w:rPr>
          <w:rFonts w:eastAsia="Futura Hv BT"/>
          <w:iCs/>
          <w:szCs w:val="24"/>
        </w:rPr>
        <w:t xml:space="preserve"> reported cases of term infants with NE are included in this data set</w:t>
      </w:r>
      <w:r w:rsidR="00097AF0">
        <w:rPr>
          <w:rFonts w:eastAsia="Futura Hv BT"/>
          <w:iCs/>
          <w:szCs w:val="24"/>
        </w:rPr>
        <w:t>,</w:t>
      </w:r>
      <w:r w:rsidR="00167701" w:rsidRPr="009F63CE">
        <w:rPr>
          <w:rFonts w:eastAsia="Futura Hv BT"/>
          <w:iCs/>
          <w:szCs w:val="24"/>
        </w:rPr>
        <w:t xml:space="preserve"> whatever the cause. </w:t>
      </w:r>
      <w:r w:rsidR="00167701" w:rsidRPr="00526787">
        <w:t>Therefore</w:t>
      </w:r>
      <w:r w:rsidR="00167701" w:rsidRPr="009F63CE">
        <w:rPr>
          <w:rFonts w:eastAsia="Futura Hv BT"/>
          <w:iCs/>
          <w:szCs w:val="24"/>
        </w:rPr>
        <w:t xml:space="preserve">, the full cohort </w:t>
      </w:r>
      <w:r>
        <w:rPr>
          <w:rFonts w:eastAsia="Futura Hv BT"/>
          <w:iCs/>
          <w:szCs w:val="24"/>
        </w:rPr>
        <w:t>include</w:t>
      </w:r>
      <w:r w:rsidR="00036E27">
        <w:rPr>
          <w:rFonts w:eastAsia="Futura Hv BT"/>
          <w:iCs/>
          <w:szCs w:val="24"/>
        </w:rPr>
        <w:t>s</w:t>
      </w:r>
      <w:r>
        <w:rPr>
          <w:rFonts w:eastAsia="Futura Hv BT"/>
          <w:iCs/>
          <w:szCs w:val="24"/>
        </w:rPr>
        <w:t xml:space="preserve"> </w:t>
      </w:r>
      <w:r w:rsidR="00167701" w:rsidRPr="009F63CE">
        <w:rPr>
          <w:rFonts w:eastAsia="Futura Hv BT"/>
          <w:iCs/>
          <w:szCs w:val="24"/>
        </w:rPr>
        <w:t xml:space="preserve">cases where NE is associated with hypoglycaemia, congenital </w:t>
      </w:r>
      <w:r w:rsidR="00B46023">
        <w:rPr>
          <w:rFonts w:eastAsia="Futura Hv BT"/>
          <w:iCs/>
          <w:szCs w:val="24"/>
        </w:rPr>
        <w:t>anomaly</w:t>
      </w:r>
      <w:r w:rsidR="00167701" w:rsidRPr="009F63CE">
        <w:rPr>
          <w:rFonts w:eastAsia="Futura Hv BT"/>
          <w:iCs/>
          <w:szCs w:val="24"/>
        </w:rPr>
        <w:t xml:space="preserve"> of the central nervous system or infection.</w:t>
      </w:r>
    </w:p>
    <w:p w14:paraId="30ADBE7C" w14:textId="57557C04" w:rsidR="00167701" w:rsidRDefault="00167701" w:rsidP="00526787">
      <w:pPr>
        <w:pStyle w:val="TeThHauorabodytext"/>
      </w:pPr>
      <w:r w:rsidRPr="009F63CE">
        <w:t>From 2016</w:t>
      </w:r>
      <w:r w:rsidR="00097AF0">
        <w:t>,</w:t>
      </w:r>
      <w:r w:rsidRPr="009F63CE">
        <w:t xml:space="preserve"> the </w:t>
      </w:r>
      <w:r w:rsidR="00097AF0">
        <w:t>n</w:t>
      </w:r>
      <w:r w:rsidRPr="009F63CE">
        <w:t xml:space="preserve">eonatal </w:t>
      </w:r>
      <w:r w:rsidR="00097AF0">
        <w:t>e</w:t>
      </w:r>
      <w:r w:rsidRPr="009F63CE">
        <w:t xml:space="preserve">ncephalopathy </w:t>
      </w:r>
      <w:r w:rsidR="00097AF0">
        <w:t>w</w:t>
      </w:r>
      <w:r w:rsidRPr="009F63CE">
        <w:t xml:space="preserve">orking </w:t>
      </w:r>
      <w:r w:rsidR="00097AF0">
        <w:t>g</w:t>
      </w:r>
      <w:r w:rsidRPr="009F63CE">
        <w:t>roup widened the inclusion criteria for the NE cohort and included cases from 35 weeks</w:t>
      </w:r>
      <w:r w:rsidR="0095432A">
        <w:t>’</w:t>
      </w:r>
      <w:r w:rsidRPr="009F63CE">
        <w:t xml:space="preserve"> gestation at birth in line with international </w:t>
      </w:r>
      <w:r w:rsidR="00D02996">
        <w:t>definitions</w:t>
      </w:r>
      <w:r w:rsidRPr="009F63CE">
        <w:t xml:space="preserve"> and </w:t>
      </w:r>
      <w:r w:rsidRPr="00AC1660">
        <w:t>practice of cooling from this gestation (</w:t>
      </w:r>
      <w:hyperlink r:id="rId26" w:history="1">
        <w:r w:rsidRPr="00AC1660">
          <w:rPr>
            <w:rStyle w:val="Hyperlink"/>
            <w:color w:val="auto"/>
            <w:u w:val="none"/>
          </w:rPr>
          <w:t>American College of Obstetricians and Gynecologists</w:t>
        </w:r>
        <w:r w:rsidRPr="00AC1660" w:rsidDel="00002C81">
          <w:rPr>
            <w:rStyle w:val="Hyperlink"/>
            <w:color w:val="auto"/>
            <w:u w:val="none"/>
          </w:rPr>
          <w:t xml:space="preserve"> </w:t>
        </w:r>
        <w:r w:rsidRPr="00AC1660">
          <w:rPr>
            <w:rStyle w:val="Hyperlink"/>
            <w:color w:val="auto"/>
            <w:u w:val="none"/>
          </w:rPr>
          <w:t>2014</w:t>
        </w:r>
      </w:hyperlink>
      <w:r w:rsidR="00D02996" w:rsidRPr="00AC1660">
        <w:t>).</w:t>
      </w:r>
      <w:r w:rsidRPr="00AC1660">
        <w:t xml:space="preserve"> </w:t>
      </w:r>
      <w:r w:rsidR="009924AA" w:rsidRPr="00AC1660">
        <w:t>R</w:t>
      </w:r>
      <w:r w:rsidR="009924AA" w:rsidRPr="006848ED">
        <w:t xml:space="preserve">eporting on </w:t>
      </w:r>
      <w:r w:rsidR="00464EFE" w:rsidRPr="006848ED">
        <w:t>35- and 36-week</w:t>
      </w:r>
      <w:r w:rsidR="009924AA" w:rsidRPr="006848ED">
        <w:t xml:space="preserve"> gestations beg</w:t>
      </w:r>
      <w:r w:rsidR="00E54B13">
        <w:t>a</w:t>
      </w:r>
      <w:r w:rsidR="009924AA" w:rsidRPr="006848ED">
        <w:t>n in the 1</w:t>
      </w:r>
      <w:r w:rsidR="00FB41F4">
        <w:t>5</w:t>
      </w:r>
      <w:r w:rsidR="009924AA" w:rsidRPr="006848ED">
        <w:rPr>
          <w:vertAlign w:val="superscript"/>
        </w:rPr>
        <w:t>th</w:t>
      </w:r>
      <w:r w:rsidR="009924AA" w:rsidRPr="006848ED">
        <w:t xml:space="preserve"> </w:t>
      </w:r>
      <w:r w:rsidR="006848ED" w:rsidRPr="006848ED">
        <w:t xml:space="preserve">annual </w:t>
      </w:r>
      <w:r w:rsidR="009924AA" w:rsidRPr="006848ED">
        <w:t xml:space="preserve">report when </w:t>
      </w:r>
      <w:r w:rsidR="00097AF0">
        <w:t>5</w:t>
      </w:r>
      <w:r w:rsidR="00097AF0" w:rsidRPr="006848ED">
        <w:t xml:space="preserve"> </w:t>
      </w:r>
      <w:r w:rsidR="009924AA" w:rsidRPr="006848ED">
        <w:t xml:space="preserve">years of data became available. </w:t>
      </w:r>
    </w:p>
    <w:p w14:paraId="13AEBBDA" w14:textId="05838F68" w:rsidR="00E33F37" w:rsidRDefault="00E33F37" w:rsidP="00D51C52">
      <w:pPr>
        <w:pStyle w:val="TeThHauorahead3"/>
      </w:pPr>
      <w:r>
        <w:t xml:space="preserve">Contributing </w:t>
      </w:r>
      <w:r w:rsidR="00097AF0">
        <w:t>f</w:t>
      </w:r>
      <w:r>
        <w:t>actors</w:t>
      </w:r>
    </w:p>
    <w:p w14:paraId="1C2F171B" w14:textId="67701252" w:rsidR="00E33F37" w:rsidRDefault="00097AF0" w:rsidP="00526787">
      <w:pPr>
        <w:pStyle w:val="TeThHauorabodytext"/>
      </w:pPr>
      <w:r>
        <w:t>S</w:t>
      </w:r>
      <w:r w:rsidR="00E33F37" w:rsidRPr="00E33F37">
        <w:t xml:space="preserve">ome past reports </w:t>
      </w:r>
      <w:r>
        <w:t xml:space="preserve">have presented </w:t>
      </w:r>
      <w:r w:rsidR="00E33F37" w:rsidRPr="00E33F37">
        <w:t xml:space="preserve">contributing factors to mortality outcomes. </w:t>
      </w:r>
      <w:r w:rsidR="000F1D29">
        <w:t>Although</w:t>
      </w:r>
      <w:r w:rsidR="000F1D29" w:rsidRPr="00E33F37">
        <w:t xml:space="preserve"> </w:t>
      </w:r>
      <w:r w:rsidR="00E33F37" w:rsidRPr="00E33F37">
        <w:t xml:space="preserve">identifying, describing and understanding these factors (organisational and/or management, personnel, barriers to access and/or engagement with care) </w:t>
      </w:r>
      <w:r w:rsidR="000F1D29">
        <w:t>is</w:t>
      </w:r>
      <w:r w:rsidR="000F1D29" w:rsidRPr="00E33F37">
        <w:t xml:space="preserve"> </w:t>
      </w:r>
      <w:r w:rsidR="00E33F37" w:rsidRPr="00E33F37">
        <w:t xml:space="preserve">crucial, the way this information is collected, reviewed and described is being re-evaluated to ensure the process contributes to knowledge on preventing avoidable deaths but </w:t>
      </w:r>
      <w:r w:rsidR="002A7D14">
        <w:t xml:space="preserve">does </w:t>
      </w:r>
      <w:r w:rsidR="00E33F37" w:rsidRPr="00E33F37">
        <w:t>not cause harm or distress in doing so. This work is in alignment with the four aspects of Te Pou</w:t>
      </w:r>
      <w:r w:rsidR="002A7D14">
        <w:t>,</w:t>
      </w:r>
      <w:r w:rsidR="00E33F37" w:rsidRPr="00E33F37">
        <w:t xml:space="preserve"> and it is vital that we ‘get the story right’ and preserv</w:t>
      </w:r>
      <w:r w:rsidR="00E33F37">
        <w:t>e</w:t>
      </w:r>
      <w:r w:rsidR="00E33F37" w:rsidRPr="00E33F37">
        <w:t xml:space="preserve"> mana.  </w:t>
      </w:r>
    </w:p>
    <w:p w14:paraId="3E121325" w14:textId="77777777" w:rsidR="00B13307" w:rsidRDefault="00B13307">
      <w:pPr>
        <w:rPr>
          <w:rFonts w:eastAsiaTheme="majorEastAsia" w:cs="Arial"/>
          <w:b/>
          <w:color w:val="293868"/>
          <w:sz w:val="36"/>
          <w:szCs w:val="32"/>
        </w:rPr>
      </w:pPr>
      <w:bookmarkStart w:id="22" w:name="_Toc169524776"/>
      <w:bookmarkEnd w:id="21"/>
      <w:r>
        <w:br w:type="page"/>
      </w:r>
    </w:p>
    <w:p w14:paraId="7407A9E5" w14:textId="4E1CB329" w:rsidR="008C3279" w:rsidRPr="009F63CE" w:rsidRDefault="005025AD" w:rsidP="00D51C52">
      <w:pPr>
        <w:pStyle w:val="TeThHauorahead1"/>
      </w:pPr>
      <w:r w:rsidRPr="009F63CE">
        <w:lastRenderedPageBreak/>
        <w:t>Numerator data</w:t>
      </w:r>
      <w:bookmarkEnd w:id="22"/>
    </w:p>
    <w:p w14:paraId="650DAFA6" w14:textId="77777777" w:rsidR="00B71ACA" w:rsidRPr="009F63CE" w:rsidRDefault="00B71ACA" w:rsidP="00D51C52">
      <w:pPr>
        <w:pStyle w:val="TeThHauorahead2"/>
      </w:pPr>
      <w:bookmarkStart w:id="23" w:name="_Toc169524777"/>
      <w:r w:rsidRPr="009F63CE">
        <w:t>Case ascertainment and data collection</w:t>
      </w:r>
      <w:bookmarkEnd w:id="23"/>
    </w:p>
    <w:p w14:paraId="59185E14" w14:textId="77777777" w:rsidR="004C7490" w:rsidRPr="009F63CE" w:rsidRDefault="005025AD" w:rsidP="00D51C52">
      <w:pPr>
        <w:pStyle w:val="TeThHauorahead3"/>
      </w:pPr>
      <w:r w:rsidRPr="009F63CE">
        <w:t>Perinatal mortality</w:t>
      </w:r>
    </w:p>
    <w:p w14:paraId="16DDF8E3" w14:textId="253D1921" w:rsidR="005025AD" w:rsidRPr="009F63CE" w:rsidRDefault="005025AD" w:rsidP="00526787">
      <w:pPr>
        <w:pStyle w:val="TeThHauorabodytext"/>
      </w:pPr>
      <w:bookmarkStart w:id="24" w:name="_Toc480797197"/>
      <w:bookmarkStart w:id="25" w:name="_Toc483987233"/>
      <w:r w:rsidRPr="009F63CE">
        <w:t xml:space="preserve">The perinatal deaths presented in </w:t>
      </w:r>
      <w:r w:rsidR="000F1D29">
        <w:t xml:space="preserve">the </w:t>
      </w:r>
      <w:r w:rsidRPr="009F63CE">
        <w:t xml:space="preserve">PMMRC reports occurred between 1 January and 31 December of the </w:t>
      </w:r>
      <w:r w:rsidR="008509B9">
        <w:t xml:space="preserve">stated </w:t>
      </w:r>
      <w:r w:rsidR="00167701">
        <w:t xml:space="preserve">year. </w:t>
      </w:r>
      <w:r w:rsidR="00906DC5">
        <w:t xml:space="preserve">The denominator </w:t>
      </w:r>
      <w:r w:rsidR="00597D3D">
        <w:t>contain</w:t>
      </w:r>
      <w:r w:rsidR="00906DC5">
        <w:t>s</w:t>
      </w:r>
      <w:r w:rsidR="00597D3D" w:rsidRPr="009F63CE">
        <w:t xml:space="preserve"> all births that occurred between 1 January and 31 December of the </w:t>
      </w:r>
      <w:r w:rsidR="00597D3D">
        <w:t xml:space="preserve">stated </w:t>
      </w:r>
      <w:r w:rsidR="00597D3D" w:rsidRPr="009F63CE">
        <w:t>year.</w:t>
      </w:r>
      <w:r w:rsidR="00597D3D">
        <w:t xml:space="preserve"> There is therefore some </w:t>
      </w:r>
      <w:r w:rsidRPr="009F63CE">
        <w:t>inconsisten</w:t>
      </w:r>
      <w:r w:rsidR="00597D3D">
        <w:t>cy</w:t>
      </w:r>
      <w:r w:rsidRPr="009F63CE">
        <w:t xml:space="preserve"> with denominator data</w:t>
      </w:r>
      <w:r w:rsidR="002A7D14">
        <w:t>,</w:t>
      </w:r>
      <w:r w:rsidR="0050349F" w:rsidRPr="009F63CE">
        <w:t xml:space="preserve"> as some </w:t>
      </w:r>
      <w:r w:rsidR="008509B9">
        <w:t>babies born</w:t>
      </w:r>
      <w:r w:rsidR="0050349F" w:rsidRPr="009F63CE">
        <w:t xml:space="preserve"> in one year will </w:t>
      </w:r>
      <w:r w:rsidR="000F1D29">
        <w:t>die</w:t>
      </w:r>
      <w:r w:rsidR="000F1D29" w:rsidRPr="009F63CE">
        <w:t xml:space="preserve"> </w:t>
      </w:r>
      <w:r w:rsidR="0050349F" w:rsidRPr="009F63CE">
        <w:t>in the next year</w:t>
      </w:r>
      <w:r w:rsidR="008509B9">
        <w:t>.</w:t>
      </w:r>
      <w:r w:rsidR="00597D3D">
        <w:t xml:space="preserve"> </w:t>
      </w:r>
      <w:r w:rsidRPr="009F63CE">
        <w:t>For fetal deaths, the date of birth is used in place of the date of death. For neonatal deaths, the actual date of death is used.</w:t>
      </w:r>
    </w:p>
    <w:p w14:paraId="5CA1EB37" w14:textId="77777777" w:rsidR="005025AD" w:rsidRPr="009F63CE" w:rsidRDefault="005025AD" w:rsidP="00526787">
      <w:pPr>
        <w:pStyle w:val="TeThHauorabodytext"/>
      </w:pPr>
      <w:r w:rsidRPr="009F63CE">
        <w:t>An expanded description of data collection methods is available in the first PMMRC report (</w:t>
      </w:r>
      <w:hyperlink r:id="rId27" w:history="1">
        <w:r w:rsidRPr="009F63CE">
          <w:rPr>
            <w:rStyle w:val="Hyperlink"/>
            <w:color w:val="auto"/>
            <w:u w:val="none"/>
          </w:rPr>
          <w:t>PMMRC 2007</w:t>
        </w:r>
      </w:hyperlink>
      <w:r w:rsidR="00C64FF2" w:rsidRPr="009F63CE">
        <w:t>).</w:t>
      </w:r>
    </w:p>
    <w:p w14:paraId="4AC97326" w14:textId="38352567" w:rsidR="005025AD" w:rsidRPr="009F63CE" w:rsidRDefault="005025AD" w:rsidP="00526787">
      <w:pPr>
        <w:pStyle w:val="TeThHauorabodytext"/>
      </w:pPr>
      <w:bookmarkStart w:id="26" w:name="_Hlk103159788"/>
      <w:r w:rsidRPr="009F63CE">
        <w:t>Individual PMMRC local coordinators within each DHB identify perinatal deaths and oversee the collection of the required data. Th</w:t>
      </w:r>
      <w:r w:rsidR="00025FFF">
        <w:t>is</w:t>
      </w:r>
      <w:r w:rsidRPr="009F63CE">
        <w:t xml:space="preserve"> data </w:t>
      </w:r>
      <w:r w:rsidR="00025FFF">
        <w:t xml:space="preserve">is </w:t>
      </w:r>
      <w:r w:rsidRPr="009F63CE">
        <w:t xml:space="preserve">submitted to the </w:t>
      </w:r>
      <w:r w:rsidR="00597D3D">
        <w:t xml:space="preserve">New Zealand </w:t>
      </w:r>
      <w:r w:rsidRPr="009F63CE">
        <w:t>Mortality Review Data Group at the University of Otago</w:t>
      </w:r>
      <w:r w:rsidR="00CC75CE">
        <w:t xml:space="preserve"> via a custom website</w:t>
      </w:r>
      <w:r w:rsidRPr="009F63CE">
        <w:t>. The coordinators are also responsible for initiating local clinical reviews of each case, including assigning PSANZ-PDCs for cause of death, determining contributory factors and potentially avoidable deaths and ensuring appropriate, timely follow-up with parents</w:t>
      </w:r>
      <w:r w:rsidR="00CC75CE">
        <w:t xml:space="preserve"> and families</w:t>
      </w:r>
      <w:r w:rsidRPr="009F63CE">
        <w:t>.</w:t>
      </w:r>
    </w:p>
    <w:bookmarkEnd w:id="26"/>
    <w:p w14:paraId="2D534E4D" w14:textId="50EA7635" w:rsidR="005025AD" w:rsidRPr="009F63CE" w:rsidRDefault="005025AD" w:rsidP="00526787">
      <w:pPr>
        <w:pStyle w:val="TeThHauorabodytext"/>
      </w:pPr>
      <w:r w:rsidRPr="009F63CE">
        <w:t xml:space="preserve">The </w:t>
      </w:r>
      <w:r w:rsidR="009F63CE" w:rsidRPr="009F63CE">
        <w:t>data set</w:t>
      </w:r>
      <w:r w:rsidRPr="009F63CE">
        <w:t xml:space="preserve"> of perinatal deaths is a compilation of data submitted by LMCs, local coordinators, </w:t>
      </w:r>
      <w:r w:rsidR="00813360">
        <w:t xml:space="preserve">Manatū Hauora </w:t>
      </w:r>
      <w:r w:rsidRPr="009F63CE">
        <w:t xml:space="preserve">Ministry of Health and BDM. A website commissioned by the </w:t>
      </w:r>
      <w:r w:rsidR="00AC1660">
        <w:t xml:space="preserve">former </w:t>
      </w:r>
      <w:r w:rsidRPr="009F63CE">
        <w:t>PMMR</w:t>
      </w:r>
      <w:r w:rsidR="00813360">
        <w:t>C</w:t>
      </w:r>
      <w:r w:rsidRPr="009F63CE">
        <w:t xml:space="preserve"> and run by the University of Otago enables web-based data entry. </w:t>
      </w:r>
    </w:p>
    <w:p w14:paraId="6FEF9D1D" w14:textId="37968B86" w:rsidR="005025AD" w:rsidRPr="009F63CE" w:rsidRDefault="005025AD" w:rsidP="00526787">
      <w:pPr>
        <w:pStyle w:val="TeThHauorabodytext"/>
      </w:pPr>
      <w:bookmarkStart w:id="27" w:name="_Hlk103160653"/>
      <w:r w:rsidRPr="009F63CE">
        <w:t xml:space="preserve">LMCs and/or local coordinators are required to complete rapid reporting forms within 48 hours of a perinatal death. One form contains information on the </w:t>
      </w:r>
      <w:r w:rsidR="007F618D">
        <w:t>woman</w:t>
      </w:r>
      <w:r w:rsidR="00A30CA1">
        <w:t>/</w:t>
      </w:r>
      <w:r w:rsidR="006B18A1">
        <w:t>birthing person</w:t>
      </w:r>
      <w:r w:rsidR="006B18A1" w:rsidRPr="009F63CE">
        <w:t xml:space="preserve"> </w:t>
      </w:r>
      <w:r w:rsidRPr="009F63CE">
        <w:t>(</w:t>
      </w:r>
      <w:r w:rsidR="000F19A5" w:rsidRPr="009F63CE">
        <w:t>eg</w:t>
      </w:r>
      <w:r w:rsidRPr="009F63CE">
        <w:t xml:space="preserve">, </w:t>
      </w:r>
      <w:r w:rsidR="006B18A1">
        <w:t>their</w:t>
      </w:r>
      <w:r w:rsidR="006B18A1" w:rsidRPr="009F63CE">
        <w:t xml:space="preserve"> </w:t>
      </w:r>
      <w:r w:rsidRPr="009F63CE">
        <w:t xml:space="preserve">medical and obstetric history and details of the birth), and the other form contains information on the baby. The questions are reviewed and adjusted </w:t>
      </w:r>
      <w:r w:rsidR="00A548A3">
        <w:t>regularly</w:t>
      </w:r>
      <w:r w:rsidR="00A548A3" w:rsidRPr="009F63CE">
        <w:t xml:space="preserve"> </w:t>
      </w:r>
      <w:r w:rsidRPr="009F63CE">
        <w:t>to ensure the data collection remains relevant and robust.</w:t>
      </w:r>
    </w:p>
    <w:bookmarkEnd w:id="27"/>
    <w:p w14:paraId="6C139523" w14:textId="7F7049B8" w:rsidR="005025AD" w:rsidRPr="009F63CE" w:rsidRDefault="005025AD" w:rsidP="00526787">
      <w:pPr>
        <w:pStyle w:val="TeThHauorabodytext"/>
      </w:pPr>
      <w:r w:rsidRPr="009F63CE">
        <w:t xml:space="preserve">After local review, a multidisciplinary team led by the local coordinator completes the PMMRC </w:t>
      </w:r>
      <w:r w:rsidR="00CC75CE">
        <w:t xml:space="preserve">death </w:t>
      </w:r>
      <w:r w:rsidRPr="009F63CE">
        <w:t>classification form. The classification system that has been adopted is the PSANZ system of classificat</w:t>
      </w:r>
      <w:r w:rsidR="00D6538A">
        <w:t>ion of cause of perinatal death</w:t>
      </w:r>
      <w:r w:rsidR="00587304">
        <w:t>.</w:t>
      </w:r>
      <w:r w:rsidR="00AE4FFB">
        <w:rPr>
          <w:rStyle w:val="FootnoteReference"/>
        </w:rPr>
        <w:footnoteReference w:id="4"/>
      </w:r>
      <w:r w:rsidRPr="009F63CE">
        <w:t xml:space="preserve"> This system includes both perinatal and neonatal classifications. The local coordinator also submits </w:t>
      </w:r>
      <w:r w:rsidR="00077C33">
        <w:t>any</w:t>
      </w:r>
      <w:r w:rsidRPr="009F63CE">
        <w:t xml:space="preserve"> post-mortem and histology reports with the classification form.</w:t>
      </w:r>
      <w:r w:rsidR="00AE4FFB">
        <w:t xml:space="preserve"> </w:t>
      </w:r>
      <w:r w:rsidR="00B334E6">
        <w:fldChar w:fldCharType="begin"/>
      </w:r>
      <w:r w:rsidR="00B334E6">
        <w:instrText xml:space="preserve"> REF _Ref61529507 \h </w:instrText>
      </w:r>
      <w:r w:rsidR="00B334E6">
        <w:fldChar w:fldCharType="separate"/>
      </w:r>
      <w:r w:rsidR="00AE4FFB" w:rsidRPr="00487EE3">
        <w:t>Figure 1</w:t>
      </w:r>
      <w:r w:rsidR="00B334E6">
        <w:fldChar w:fldCharType="end"/>
      </w:r>
      <w:r w:rsidR="00B334E6">
        <w:t xml:space="preserve"> </w:t>
      </w:r>
      <w:r w:rsidRPr="009F63CE">
        <w:t>outlines the PMMRC process.</w:t>
      </w:r>
      <w:bookmarkStart w:id="28" w:name="_Toc448930995"/>
      <w:bookmarkStart w:id="29" w:name="_Toc449104520"/>
      <w:bookmarkStart w:id="30" w:name="_Toc481582569"/>
      <w:bookmarkStart w:id="31" w:name="_Toc481582634"/>
      <w:bookmarkStart w:id="32" w:name="_Toc484094444"/>
    </w:p>
    <w:p w14:paraId="464D3EE0" w14:textId="549867F4" w:rsidR="00525E4D" w:rsidRPr="009F63CE" w:rsidRDefault="00F30367" w:rsidP="00526787">
      <w:pPr>
        <w:pStyle w:val="TeThHauorabodytext"/>
      </w:pPr>
      <w:r>
        <w:t>From</w:t>
      </w:r>
      <w:r w:rsidR="00525E4D" w:rsidRPr="009F63CE">
        <w:t xml:space="preserve"> </w:t>
      </w:r>
      <w:r w:rsidR="00FB4CED">
        <w:t xml:space="preserve">the </w:t>
      </w:r>
      <w:r w:rsidR="00525E4D" w:rsidRPr="009F63CE">
        <w:t xml:space="preserve">11th </w:t>
      </w:r>
      <w:r w:rsidR="004F7A0B" w:rsidRPr="009F63CE">
        <w:t xml:space="preserve">PMMRC </w:t>
      </w:r>
      <w:r w:rsidR="00525E4D" w:rsidRPr="009F63CE">
        <w:t>report</w:t>
      </w:r>
      <w:r w:rsidR="00FB4CED">
        <w:t xml:space="preserve"> (PMMRC 2017</w:t>
      </w:r>
      <w:r>
        <w:t>)</w:t>
      </w:r>
      <w:r w:rsidR="00525E4D" w:rsidRPr="009F63CE">
        <w:t>, the numerator</w:t>
      </w:r>
      <w:r w:rsidR="00BC67EF" w:rsidRPr="009F63CE">
        <w:t xml:space="preserve"> </w:t>
      </w:r>
      <w:r w:rsidR="009F63CE" w:rsidRPr="009F63CE">
        <w:t>data set</w:t>
      </w:r>
      <w:r w:rsidR="00525E4D" w:rsidRPr="009F63CE">
        <w:t xml:space="preserve"> of perinatal mortalities </w:t>
      </w:r>
      <w:r w:rsidR="002F576F">
        <w:t>has been</w:t>
      </w:r>
      <w:r w:rsidR="002F576F" w:rsidRPr="009F63CE">
        <w:t xml:space="preserve"> </w:t>
      </w:r>
      <w:r w:rsidR="00525E4D" w:rsidRPr="009F63CE">
        <w:t>merged with</w:t>
      </w:r>
      <w:r w:rsidR="00E82AA2" w:rsidRPr="009F63CE">
        <w:t xml:space="preserve"> the</w:t>
      </w:r>
      <w:r w:rsidR="00525E4D" w:rsidRPr="009F63CE">
        <w:t xml:space="preserve"> MAT denominator </w:t>
      </w:r>
      <w:r w:rsidR="009F63CE" w:rsidRPr="009F63CE">
        <w:t>data set</w:t>
      </w:r>
      <w:r w:rsidR="00525E4D" w:rsidRPr="009F63CE">
        <w:t xml:space="preserve"> so that compatible data could be used for analyses where there was a potential issue of numerator</w:t>
      </w:r>
      <w:r w:rsidR="00C13590" w:rsidRPr="009F63CE">
        <w:t>–</w:t>
      </w:r>
      <w:r w:rsidR="00525E4D" w:rsidRPr="009F63CE">
        <w:t xml:space="preserve">denominator bias. The development of this amended numerator </w:t>
      </w:r>
      <w:r w:rsidR="009F63CE" w:rsidRPr="009F63CE">
        <w:t>data set</w:t>
      </w:r>
      <w:r w:rsidR="00525E4D" w:rsidRPr="009F63CE">
        <w:t xml:space="preserve"> is described below under </w:t>
      </w:r>
      <w:r w:rsidR="00C13590" w:rsidRPr="009F63CE">
        <w:t>‘</w:t>
      </w:r>
      <w:r w:rsidR="00C13590" w:rsidRPr="009F63CE">
        <w:fldChar w:fldCharType="begin"/>
      </w:r>
      <w:r w:rsidR="00C13590" w:rsidRPr="009F63CE">
        <w:instrText xml:space="preserve"> REF _Ref480555972 \h </w:instrText>
      </w:r>
      <w:r w:rsidR="000F3AC7" w:rsidRPr="009F63CE">
        <w:instrText xml:space="preserve"> \* MERGEFORMAT </w:instrText>
      </w:r>
      <w:r w:rsidR="00C13590" w:rsidRPr="009F63CE">
        <w:fldChar w:fldCharType="separate"/>
      </w:r>
      <w:r w:rsidR="00122359" w:rsidRPr="009F63CE">
        <w:t>Compiling the MAT denominator and numerator data</w:t>
      </w:r>
      <w:r w:rsidR="00C13590" w:rsidRPr="009F63CE">
        <w:fldChar w:fldCharType="end"/>
      </w:r>
      <w:r w:rsidR="00C13590" w:rsidRPr="009F63CE">
        <w:t>’.</w:t>
      </w:r>
    </w:p>
    <w:p w14:paraId="1C71E53A" w14:textId="2B32588A" w:rsidR="005025AD" w:rsidRPr="009F63CE" w:rsidRDefault="005025AD" w:rsidP="00D51C52">
      <w:pPr>
        <w:pStyle w:val="TeThHauorahead3"/>
      </w:pPr>
      <w:r w:rsidRPr="009F63CE">
        <w:lastRenderedPageBreak/>
        <w:t>Maternal mortality</w:t>
      </w:r>
    </w:p>
    <w:p w14:paraId="5873B158" w14:textId="1EBB70BB" w:rsidR="005025AD" w:rsidRPr="009F63CE" w:rsidRDefault="005025AD" w:rsidP="00526787">
      <w:pPr>
        <w:pStyle w:val="TeThHauorabodytext"/>
      </w:pPr>
      <w:r w:rsidRPr="009F63CE">
        <w:t xml:space="preserve">Since 2006, the PMMRC has </w:t>
      </w:r>
      <w:r w:rsidR="00534AAF" w:rsidRPr="009F63CE">
        <w:t xml:space="preserve">asked </w:t>
      </w:r>
      <w:r w:rsidRPr="009F63CE">
        <w:t>that all clinicians aware of a maternal death notify either their PMMRC DHB</w:t>
      </w:r>
      <w:r w:rsidR="009151C3">
        <w:t>/</w:t>
      </w:r>
      <w:r w:rsidR="00DD573E">
        <w:t xml:space="preserve">Health New Zealand </w:t>
      </w:r>
      <w:r w:rsidRPr="009F63CE">
        <w:t xml:space="preserve">local coordinator or the PMMRC national coordinator. </w:t>
      </w:r>
    </w:p>
    <w:p w14:paraId="3D7CC93B" w14:textId="1C16BA13" w:rsidR="005025AD" w:rsidRPr="009F63CE" w:rsidRDefault="005025AD" w:rsidP="00526787">
      <w:pPr>
        <w:pStyle w:val="TeThHauorabodytext"/>
      </w:pPr>
      <w:r w:rsidRPr="009F63CE">
        <w:t xml:space="preserve">Deaths are </w:t>
      </w:r>
      <w:r w:rsidR="006C5CD3">
        <w:t xml:space="preserve">primarily </w:t>
      </w:r>
      <w:r w:rsidRPr="009F63CE">
        <w:t xml:space="preserve">brought to the </w:t>
      </w:r>
      <w:r w:rsidR="00487EE3">
        <w:t xml:space="preserve">attention of the </w:t>
      </w:r>
      <w:r w:rsidR="00CC75CE">
        <w:t xml:space="preserve">former </w:t>
      </w:r>
      <w:r w:rsidR="00C13590" w:rsidRPr="009F63CE">
        <w:t>Maternal Mortality Review Working Group (</w:t>
      </w:r>
      <w:bookmarkStart w:id="33" w:name="_Hlk17365997"/>
      <w:r w:rsidRPr="009F63CE">
        <w:t>MMRWG</w:t>
      </w:r>
      <w:bookmarkEnd w:id="33"/>
      <w:r w:rsidR="00C13590" w:rsidRPr="009F63CE">
        <w:t>)</w:t>
      </w:r>
      <w:r w:rsidRPr="009F63CE">
        <w:t xml:space="preserve"> PMMR DHB</w:t>
      </w:r>
      <w:r w:rsidR="00490B97">
        <w:t>/</w:t>
      </w:r>
      <w:r w:rsidR="005D4E94">
        <w:t xml:space="preserve">Health New Zealand </w:t>
      </w:r>
      <w:r w:rsidRPr="009F63CE">
        <w:t xml:space="preserve">local coordinators and other clinicians within </w:t>
      </w:r>
      <w:r w:rsidR="00490B97">
        <w:t>regions</w:t>
      </w:r>
      <w:r w:rsidRPr="009F63CE">
        <w:t xml:space="preserve">. Other sources include pathologists, Coronial Services and media reports. </w:t>
      </w:r>
      <w:r w:rsidR="00F30367" w:rsidRPr="009F63CE">
        <w:t>The Coroners Act 2006 requires that maternal deaths are notified to Coronial Services</w:t>
      </w:r>
      <w:r w:rsidR="00F30367">
        <w:t>.</w:t>
      </w:r>
      <w:r w:rsidR="00F30367" w:rsidRPr="009F63CE">
        <w:t xml:space="preserve"> </w:t>
      </w:r>
      <w:r w:rsidRPr="009F63CE">
        <w:t xml:space="preserve">Often multiple notifications are received. At the end of each year, known deaths are cross-referenced with the </w:t>
      </w:r>
      <w:r w:rsidR="0070726A">
        <w:t>m</w:t>
      </w:r>
      <w:r w:rsidRPr="009F63CE">
        <w:t xml:space="preserve">ortality </w:t>
      </w:r>
      <w:r w:rsidR="0070726A">
        <w:t>c</w:t>
      </w:r>
      <w:r w:rsidRPr="009F63CE">
        <w:t xml:space="preserve">ollection at the BDM </w:t>
      </w:r>
      <w:r w:rsidR="00534AAF" w:rsidRPr="009F63CE">
        <w:t>r</w:t>
      </w:r>
      <w:r w:rsidRPr="009F63CE">
        <w:t xml:space="preserve">egistry to ensure the collection is complete. </w:t>
      </w:r>
    </w:p>
    <w:p w14:paraId="7740C28F" w14:textId="58DB71E0" w:rsidR="005025AD" w:rsidRPr="009F63CE" w:rsidRDefault="005025AD" w:rsidP="00526787">
      <w:pPr>
        <w:pStyle w:val="TeThHauorabodytext"/>
      </w:pPr>
      <w:r w:rsidRPr="009F63CE">
        <w:t xml:space="preserve">The </w:t>
      </w:r>
      <w:r w:rsidRPr="007F618D">
        <w:t>MMRWG</w:t>
      </w:r>
      <w:r w:rsidRPr="009F63CE">
        <w:t xml:space="preserve"> has developed a data collection tool for maternal deaths. Following notification of a maternal death, the PMMR national coordinator issues maternal death reporting forms to the appropriate local coordinator, who is then responsible for gathering the relevant clinical information from practitioners involved with the woman</w:t>
      </w:r>
      <w:r w:rsidR="00A30CA1">
        <w:t>/</w:t>
      </w:r>
      <w:r w:rsidR="00047153">
        <w:t>birthing person</w:t>
      </w:r>
      <w:r w:rsidR="00047153" w:rsidRPr="009F63CE">
        <w:t xml:space="preserve">’s </w:t>
      </w:r>
      <w:r w:rsidRPr="009F63CE">
        <w:t>care.</w:t>
      </w:r>
      <w:r w:rsidR="00CC75CE" w:rsidRPr="00CC75CE">
        <w:t xml:space="preserve"> </w:t>
      </w:r>
      <w:r w:rsidR="00CC75CE">
        <w:t>T</w:t>
      </w:r>
      <w:r w:rsidR="00CC75CE" w:rsidRPr="00CC75CE">
        <w:t xml:space="preserve">his data is then entered into our PMMRC Maternal Death website by the </w:t>
      </w:r>
      <w:r w:rsidR="006A47A5">
        <w:t>n</w:t>
      </w:r>
      <w:r w:rsidR="00CC75CE" w:rsidRPr="00CC75CE">
        <w:t xml:space="preserve">ational </w:t>
      </w:r>
      <w:r w:rsidR="006A47A5">
        <w:t>c</w:t>
      </w:r>
      <w:r w:rsidR="00CC75CE" w:rsidRPr="00CC75CE">
        <w:t xml:space="preserve">oordinator and undergoes validation before </w:t>
      </w:r>
      <w:r w:rsidR="00CC75CE">
        <w:t>analysis and</w:t>
      </w:r>
      <w:r w:rsidR="00CC75CE" w:rsidRPr="00CC75CE">
        <w:t xml:space="preserve"> report</w:t>
      </w:r>
      <w:r w:rsidR="00CC75CE">
        <w:t>ing.</w:t>
      </w:r>
    </w:p>
    <w:p w14:paraId="0A74D7E5" w14:textId="5C1068CB" w:rsidR="005025AD" w:rsidRDefault="005025AD" w:rsidP="00526787">
      <w:pPr>
        <w:pStyle w:val="TeThHauorabodytext"/>
      </w:pPr>
      <w:r w:rsidRPr="009F63CE">
        <w:t xml:space="preserve">All completed reporting forms, along with relevant clinical information and reports from DHBs, Coronial Services and any other relevant investigative processes, are reviewed by designated </w:t>
      </w:r>
      <w:r w:rsidRPr="007A788F">
        <w:t>members of the MMRWG, who present a summary of each case to the working group. The MMRWG then</w:t>
      </w:r>
      <w:r w:rsidRPr="009F63CE">
        <w:t xml:space="preserve"> discusses each case in detail, including assessing the presence of contributory factors and potential </w:t>
      </w:r>
      <w:r w:rsidR="00490B97">
        <w:t>a</w:t>
      </w:r>
      <w:r w:rsidR="00490B97" w:rsidRPr="009F63CE">
        <w:t>voidability</w:t>
      </w:r>
      <w:r w:rsidRPr="009F63CE">
        <w:t xml:space="preserve">. </w:t>
      </w:r>
    </w:p>
    <w:p w14:paraId="3F8B2E0E" w14:textId="2BB9D1C0" w:rsidR="005025AD" w:rsidRDefault="00B334E6" w:rsidP="002839C2">
      <w:pPr>
        <w:pStyle w:val="TeThHauoratablefigurecaption"/>
      </w:pPr>
      <w:bookmarkStart w:id="34" w:name="_Ref61529507"/>
      <w:bookmarkStart w:id="35" w:name="_Ref511832903"/>
      <w:bookmarkStart w:id="36" w:name="_Ref505767307"/>
      <w:r w:rsidRPr="00487EE3">
        <w:t xml:space="preserve">Figure </w:t>
      </w:r>
      <w:r w:rsidRPr="00487EE3">
        <w:fldChar w:fldCharType="begin"/>
      </w:r>
      <w:r w:rsidRPr="00487EE3">
        <w:instrText xml:space="preserve"> SEQ Figure \* ARABIC </w:instrText>
      </w:r>
      <w:r w:rsidRPr="00487EE3">
        <w:fldChar w:fldCharType="separate"/>
      </w:r>
      <w:r w:rsidRPr="00487EE3">
        <w:t>1</w:t>
      </w:r>
      <w:r w:rsidRPr="00487EE3">
        <w:fldChar w:fldCharType="end"/>
      </w:r>
      <w:bookmarkEnd w:id="34"/>
      <w:bookmarkEnd w:id="35"/>
      <w:r w:rsidR="005025AD" w:rsidRPr="00487EE3">
        <w:t>: Flow of information in the PMMR</w:t>
      </w:r>
      <w:r w:rsidR="001671E8">
        <w:t>C</w:t>
      </w:r>
      <w:r w:rsidR="005025AD" w:rsidRPr="00487EE3">
        <w:t xml:space="preserve">’s </w:t>
      </w:r>
      <w:r w:rsidR="009264C2">
        <w:t xml:space="preserve">national </w:t>
      </w:r>
      <w:r w:rsidR="005025AD" w:rsidRPr="00487EE3">
        <w:t>perinatal data collection process</w:t>
      </w:r>
      <w:bookmarkEnd w:id="28"/>
      <w:bookmarkEnd w:id="29"/>
      <w:bookmarkEnd w:id="30"/>
      <w:bookmarkEnd w:id="31"/>
      <w:bookmarkEnd w:id="32"/>
      <w:bookmarkEnd w:id="36"/>
    </w:p>
    <w:p w14:paraId="0A935235" w14:textId="793D622D" w:rsidR="00B334E6" w:rsidRPr="00B334E6" w:rsidRDefault="00F648F3" w:rsidP="00B334E6">
      <w:r w:rsidRPr="00F648F3">
        <w:rPr>
          <w:noProof/>
        </w:rPr>
        <w:drawing>
          <wp:inline distT="0" distB="0" distL="0" distR="0" wp14:anchorId="42EC47EB" wp14:editId="4365E021">
            <wp:extent cx="4961299" cy="3997733"/>
            <wp:effectExtent l="0" t="0" r="0" b="3175"/>
            <wp:docPr id="1826470395" name="Picture 1" descr="A diagram of a health c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70395" name="Picture 1" descr="A diagram of a health care system&#10;&#10;Description automatically generated"/>
                    <pic:cNvPicPr/>
                  </pic:nvPicPr>
                  <pic:blipFill>
                    <a:blip r:embed="rId28"/>
                    <a:stretch>
                      <a:fillRect/>
                    </a:stretch>
                  </pic:blipFill>
                  <pic:spPr>
                    <a:xfrm>
                      <a:off x="0" y="0"/>
                      <a:ext cx="4978348" cy="4011470"/>
                    </a:xfrm>
                    <a:prstGeom prst="rect">
                      <a:avLst/>
                    </a:prstGeom>
                  </pic:spPr>
                </pic:pic>
              </a:graphicData>
            </a:graphic>
          </wp:inline>
        </w:drawing>
      </w:r>
    </w:p>
    <w:p w14:paraId="1CD61425" w14:textId="58879A5B" w:rsidR="005025AD" w:rsidRPr="009F63CE" w:rsidRDefault="005025AD" w:rsidP="00D51C52">
      <w:pPr>
        <w:pStyle w:val="TeThHauorahead3"/>
      </w:pPr>
      <w:r w:rsidRPr="009F63CE">
        <w:lastRenderedPageBreak/>
        <w:t xml:space="preserve">Neonatal </w:t>
      </w:r>
      <w:r w:rsidR="00F77CCE" w:rsidRPr="009F63CE">
        <w:t>e</w:t>
      </w:r>
      <w:r w:rsidRPr="009F63CE">
        <w:t>ncephalopathy</w:t>
      </w:r>
    </w:p>
    <w:bookmarkEnd w:id="24"/>
    <w:bookmarkEnd w:id="25"/>
    <w:p w14:paraId="5BCF98DF" w14:textId="5746C871" w:rsidR="005025AD" w:rsidRPr="009F63CE" w:rsidRDefault="005025AD" w:rsidP="00526787">
      <w:pPr>
        <w:pStyle w:val="TeThHauorabodytext"/>
        <w:rPr>
          <w:rFonts w:eastAsia="Futura Hv BT"/>
          <w:iCs/>
          <w:szCs w:val="24"/>
        </w:rPr>
      </w:pPr>
      <w:r w:rsidRPr="009F63CE">
        <w:rPr>
          <w:rFonts w:eastAsia="Futura Hv BT"/>
          <w:iCs/>
          <w:szCs w:val="24"/>
        </w:rPr>
        <w:t>Cases of NE were initially identified with the assistance of the New Zealand Paediatric Surveillance Unit</w:t>
      </w:r>
      <w:r w:rsidR="00DB74F0">
        <w:rPr>
          <w:rFonts w:eastAsia="Futura Hv BT"/>
          <w:iCs/>
          <w:szCs w:val="24"/>
        </w:rPr>
        <w:t>,</w:t>
      </w:r>
      <w:r w:rsidRPr="009F63CE">
        <w:rPr>
          <w:rFonts w:eastAsia="Futura Hv BT"/>
          <w:iCs/>
          <w:szCs w:val="24"/>
        </w:rPr>
        <w:t xml:space="preserve"> and the collection of data </w:t>
      </w:r>
      <w:r w:rsidR="00023851">
        <w:rPr>
          <w:rFonts w:eastAsia="Futura Hv BT"/>
          <w:iCs/>
          <w:szCs w:val="24"/>
        </w:rPr>
        <w:t xml:space="preserve">was </w:t>
      </w:r>
      <w:r w:rsidRPr="009F63CE">
        <w:rPr>
          <w:rFonts w:eastAsia="Futura Hv BT"/>
          <w:iCs/>
          <w:szCs w:val="24"/>
        </w:rPr>
        <w:t xml:space="preserve">facilitated by paediatricians, LMCs and the national coordination service of the PMMRC, as described in detail in the </w:t>
      </w:r>
      <w:r w:rsidR="00023851">
        <w:rPr>
          <w:rFonts w:eastAsia="Futura Hv BT"/>
          <w:iCs/>
          <w:szCs w:val="24"/>
        </w:rPr>
        <w:t>5</w:t>
      </w:r>
      <w:r w:rsidR="00023851" w:rsidRPr="009F63CE">
        <w:rPr>
          <w:rFonts w:eastAsia="Futura Hv BT"/>
          <w:iCs/>
          <w:szCs w:val="24"/>
        </w:rPr>
        <w:t xml:space="preserve">th </w:t>
      </w:r>
      <w:r w:rsidR="004F7A0B" w:rsidRPr="009F63CE">
        <w:t>PMMRC</w:t>
      </w:r>
      <w:r w:rsidR="004F7A0B" w:rsidRPr="009F63CE">
        <w:rPr>
          <w:rFonts w:eastAsia="Futura Hv BT"/>
          <w:iCs/>
          <w:szCs w:val="24"/>
        </w:rPr>
        <w:t xml:space="preserve"> </w:t>
      </w:r>
      <w:r w:rsidRPr="009F63CE">
        <w:rPr>
          <w:rFonts w:eastAsia="Futura Hv BT"/>
          <w:iCs/>
          <w:szCs w:val="24"/>
        </w:rPr>
        <w:t>report (</w:t>
      </w:r>
      <w:hyperlink r:id="rId29" w:history="1">
        <w:r w:rsidRPr="009F63CE">
          <w:rPr>
            <w:rStyle w:val="Hyperlink"/>
            <w:rFonts w:eastAsia="Futura Hv BT"/>
            <w:iCs/>
            <w:color w:val="auto"/>
            <w:szCs w:val="24"/>
            <w:u w:val="none"/>
          </w:rPr>
          <w:t>PMMRC 2011</w:t>
        </w:r>
      </w:hyperlink>
      <w:r w:rsidRPr="009F63CE">
        <w:rPr>
          <w:rFonts w:eastAsia="Futura Hv BT"/>
          <w:iCs/>
          <w:szCs w:val="24"/>
        </w:rPr>
        <w:t xml:space="preserve">). Since 2012, cases have been notified by key clinicians in neonatal and special care units and the PMMRC local coordinators. </w:t>
      </w:r>
    </w:p>
    <w:p w14:paraId="46287D27" w14:textId="642D46FE" w:rsidR="00525E4D" w:rsidRPr="009F63CE" w:rsidRDefault="002F576F" w:rsidP="00526787">
      <w:pPr>
        <w:pStyle w:val="TeThHauorabodytext"/>
      </w:pPr>
      <w:r>
        <w:rPr>
          <w:rFonts w:eastAsia="Futura Hv BT"/>
          <w:iCs/>
          <w:szCs w:val="24"/>
        </w:rPr>
        <w:t>From</w:t>
      </w:r>
      <w:r w:rsidR="00525E4D" w:rsidRPr="009F63CE">
        <w:rPr>
          <w:rFonts w:eastAsia="Futura Hv BT"/>
          <w:iCs/>
          <w:szCs w:val="24"/>
        </w:rPr>
        <w:t xml:space="preserve"> </w:t>
      </w:r>
      <w:r w:rsidR="005424A9">
        <w:rPr>
          <w:rFonts w:eastAsia="Futura Hv BT"/>
          <w:iCs/>
          <w:szCs w:val="24"/>
        </w:rPr>
        <w:t xml:space="preserve">the </w:t>
      </w:r>
      <w:r w:rsidR="00525E4D" w:rsidRPr="009F63CE">
        <w:rPr>
          <w:rFonts w:eastAsia="Futura Hv BT"/>
          <w:iCs/>
          <w:szCs w:val="24"/>
        </w:rPr>
        <w:t xml:space="preserve">12th </w:t>
      </w:r>
      <w:r w:rsidR="004F7A0B" w:rsidRPr="009F63CE">
        <w:t>PMMRC</w:t>
      </w:r>
      <w:r w:rsidR="004F7A0B" w:rsidRPr="009F63CE">
        <w:rPr>
          <w:rFonts w:eastAsia="Futura Hv BT"/>
          <w:iCs/>
          <w:szCs w:val="24"/>
        </w:rPr>
        <w:t xml:space="preserve"> </w:t>
      </w:r>
      <w:r w:rsidR="00525E4D" w:rsidRPr="009F63CE">
        <w:rPr>
          <w:rFonts w:eastAsia="Futura Hv BT"/>
          <w:iCs/>
          <w:szCs w:val="24"/>
        </w:rPr>
        <w:t>report</w:t>
      </w:r>
      <w:r w:rsidR="005424A9">
        <w:rPr>
          <w:rFonts w:eastAsia="Futura Hv BT"/>
          <w:iCs/>
          <w:szCs w:val="24"/>
        </w:rPr>
        <w:t xml:space="preserve"> (2018</w:t>
      </w:r>
      <w:r>
        <w:rPr>
          <w:rFonts w:eastAsia="Futura Hv BT"/>
          <w:iCs/>
          <w:szCs w:val="24"/>
        </w:rPr>
        <w:t>)</w:t>
      </w:r>
      <w:r w:rsidR="00525E4D" w:rsidRPr="009F63CE">
        <w:rPr>
          <w:rFonts w:eastAsia="Futura Hv BT"/>
          <w:iCs/>
          <w:szCs w:val="24"/>
        </w:rPr>
        <w:t xml:space="preserve">, </w:t>
      </w:r>
      <w:r w:rsidR="00525E4D" w:rsidRPr="009F63CE">
        <w:t>the numerator</w:t>
      </w:r>
      <w:r w:rsidR="00BC67EF" w:rsidRPr="009F63CE">
        <w:t xml:space="preserve"> </w:t>
      </w:r>
      <w:r w:rsidR="009F63CE" w:rsidRPr="009F63CE">
        <w:t>data set</w:t>
      </w:r>
      <w:r w:rsidR="00525E4D" w:rsidRPr="009F63CE">
        <w:t xml:space="preserve"> of babies with </w:t>
      </w:r>
      <w:r w:rsidR="00CC7DA4" w:rsidRPr="009F63CE">
        <w:t>NE</w:t>
      </w:r>
      <w:r w:rsidR="00525E4D" w:rsidRPr="009F63CE">
        <w:t xml:space="preserve"> </w:t>
      </w:r>
      <w:r>
        <w:t>has been</w:t>
      </w:r>
      <w:r w:rsidRPr="009F63CE">
        <w:t xml:space="preserve"> </w:t>
      </w:r>
      <w:r w:rsidR="00525E4D" w:rsidRPr="009F63CE">
        <w:t xml:space="preserve">merged with the MAT denominator </w:t>
      </w:r>
      <w:r w:rsidR="009F63CE" w:rsidRPr="009F63CE">
        <w:t>data set</w:t>
      </w:r>
      <w:r w:rsidR="00525E4D" w:rsidRPr="009F63CE">
        <w:t xml:space="preserve"> so that compatible data could be used for analyses where there was a potential issue of numerator</w:t>
      </w:r>
      <w:r w:rsidR="00CC7DA4" w:rsidRPr="009F63CE">
        <w:t>–</w:t>
      </w:r>
      <w:r w:rsidR="00525E4D" w:rsidRPr="009F63CE">
        <w:t xml:space="preserve">denominator bias. The development of this amended numerator </w:t>
      </w:r>
      <w:r w:rsidR="009F63CE" w:rsidRPr="009F63CE">
        <w:t>data set</w:t>
      </w:r>
      <w:r w:rsidR="00525E4D" w:rsidRPr="009F63CE">
        <w:t xml:space="preserve"> is described below under</w:t>
      </w:r>
      <w:r w:rsidR="00D544F3" w:rsidRPr="009F63CE">
        <w:t xml:space="preserve"> ‘</w:t>
      </w:r>
      <w:r w:rsidR="00D544F3" w:rsidRPr="009F63CE">
        <w:fldChar w:fldCharType="begin"/>
      </w:r>
      <w:r w:rsidR="00D544F3" w:rsidRPr="009F63CE">
        <w:instrText xml:space="preserve"> REF _Ref480555972 \h </w:instrText>
      </w:r>
      <w:r w:rsidR="000F3AC7" w:rsidRPr="009F63CE">
        <w:instrText xml:space="preserve"> \* MERGEFORMAT </w:instrText>
      </w:r>
      <w:r w:rsidR="00D544F3" w:rsidRPr="009F63CE">
        <w:fldChar w:fldCharType="separate"/>
      </w:r>
      <w:r w:rsidR="00122359" w:rsidRPr="009F63CE">
        <w:t>Compiling the MAT denominator and numerator data</w:t>
      </w:r>
      <w:r w:rsidR="00D544F3" w:rsidRPr="009F63CE">
        <w:fldChar w:fldCharType="end"/>
      </w:r>
      <w:r w:rsidR="00D544F3" w:rsidRPr="009F63CE">
        <w:t>’.</w:t>
      </w:r>
      <w:r w:rsidR="00525E4D" w:rsidRPr="009F63CE">
        <w:t xml:space="preserve"> </w:t>
      </w:r>
      <w:r w:rsidR="000F19A5" w:rsidRPr="009F63CE">
        <w:t xml:space="preserve">These methods have been replicated for the </w:t>
      </w:r>
      <w:r w:rsidR="003B6FAC">
        <w:t>1</w:t>
      </w:r>
      <w:r w:rsidR="00490B97">
        <w:t>6</w:t>
      </w:r>
      <w:r w:rsidR="003B6FAC">
        <w:t>th</w:t>
      </w:r>
      <w:r w:rsidRPr="009F63CE">
        <w:t xml:space="preserve"> </w:t>
      </w:r>
      <w:r w:rsidR="000F19A5" w:rsidRPr="009F63CE">
        <w:t>report.</w:t>
      </w:r>
    </w:p>
    <w:p w14:paraId="1A56085A" w14:textId="77777777" w:rsidR="005025AD" w:rsidRPr="009F63CE" w:rsidRDefault="005025AD" w:rsidP="00D51C52">
      <w:pPr>
        <w:pStyle w:val="TeThHauorahead3"/>
      </w:pPr>
      <w:r w:rsidRPr="009F63CE">
        <w:t>Data validation</w:t>
      </w:r>
    </w:p>
    <w:p w14:paraId="35AF8291" w14:textId="75AC7B48" w:rsidR="00AF4FF8" w:rsidRDefault="005025AD" w:rsidP="00526787">
      <w:pPr>
        <w:pStyle w:val="TeThHauorabodytext"/>
      </w:pPr>
      <w:r w:rsidRPr="009F63CE">
        <w:t xml:space="preserve">Data </w:t>
      </w:r>
      <w:r w:rsidR="005424A9">
        <w:t>is</w:t>
      </w:r>
      <w:r w:rsidR="005424A9" w:rsidRPr="009F63CE">
        <w:t xml:space="preserve"> </w:t>
      </w:r>
      <w:r w:rsidRPr="009F63CE">
        <w:t xml:space="preserve">regularly validated using a standard set of queries to eliminate duplicate records, complete missing </w:t>
      </w:r>
      <w:r w:rsidR="007F618D">
        <w:t>woman</w:t>
      </w:r>
      <w:r w:rsidR="00A30CA1">
        <w:t>/</w:t>
      </w:r>
      <w:r w:rsidR="005424A9">
        <w:t>birthing person</w:t>
      </w:r>
      <w:r w:rsidR="005424A9" w:rsidRPr="009F63CE">
        <w:t xml:space="preserve"> </w:t>
      </w:r>
      <w:r w:rsidRPr="009F63CE">
        <w:t>or baby information, clarify DHB</w:t>
      </w:r>
      <w:r w:rsidR="009151C3">
        <w:t>/</w:t>
      </w:r>
      <w:r w:rsidR="00812978">
        <w:t xml:space="preserve">Health New Zealand </w:t>
      </w:r>
      <w:r w:rsidR="00D866F6">
        <w:t>region</w:t>
      </w:r>
      <w:r w:rsidRPr="009F63CE">
        <w:t xml:space="preserve"> of residence (where this is inconsistent with the given residential address) and rectify other inconsistencies. The PMMR national coordinator reviews all perinatal death classifications and discusses complicated cases with a PMMR</w:t>
      </w:r>
      <w:r w:rsidR="004905EB">
        <w:t>C</w:t>
      </w:r>
      <w:r w:rsidRPr="009F63CE">
        <w:t xml:space="preserve"> member with expertise in PSANZ classifications.</w:t>
      </w:r>
    </w:p>
    <w:p w14:paraId="03613CAC" w14:textId="3D5FD4CB" w:rsidR="004C7490" w:rsidRPr="009F63CE" w:rsidRDefault="004C7490" w:rsidP="00526787">
      <w:pPr>
        <w:pStyle w:val="TeThHauorabodytext"/>
      </w:pPr>
      <w:r w:rsidRPr="009F63CE">
        <w:t xml:space="preserve">At the end of each year, PMMR local coordinators and key clinicians in special care and neonatal units are contacted to ensure the </w:t>
      </w:r>
      <w:r w:rsidR="002461B5" w:rsidRPr="009F63CE">
        <w:t>NE</w:t>
      </w:r>
      <w:r w:rsidR="009327A9" w:rsidRPr="009F63CE">
        <w:t xml:space="preserve"> data </w:t>
      </w:r>
      <w:r w:rsidRPr="009F63CE">
        <w:t>collection is complete.</w:t>
      </w:r>
    </w:p>
    <w:p w14:paraId="44615027" w14:textId="528B4274" w:rsidR="009327A9" w:rsidRDefault="009955DC" w:rsidP="00526787">
      <w:pPr>
        <w:pStyle w:val="TeThHauorabodytext"/>
      </w:pPr>
      <w:r>
        <w:t>Once</w:t>
      </w:r>
      <w:r w:rsidR="009327A9" w:rsidRPr="009F63CE">
        <w:t xml:space="preserve"> a year</w:t>
      </w:r>
      <w:r w:rsidR="004905EB">
        <w:t>,</w:t>
      </w:r>
      <w:r w:rsidR="009327A9" w:rsidRPr="009F63CE">
        <w:t xml:space="preserve"> the </w:t>
      </w:r>
      <w:r w:rsidR="004905EB">
        <w:t>m</w:t>
      </w:r>
      <w:r w:rsidR="00BE7DF4" w:rsidRPr="009F63CE">
        <w:t xml:space="preserve">ortality </w:t>
      </w:r>
      <w:r w:rsidR="004905EB">
        <w:t>c</w:t>
      </w:r>
      <w:r w:rsidR="00BE7DF4" w:rsidRPr="009F63CE">
        <w:t xml:space="preserve">ollection at the BDM </w:t>
      </w:r>
      <w:r w:rsidR="002742EF" w:rsidRPr="009F63CE">
        <w:t>r</w:t>
      </w:r>
      <w:r w:rsidR="00BE7DF4" w:rsidRPr="009F63CE">
        <w:t xml:space="preserve">egistry </w:t>
      </w:r>
      <w:r w:rsidR="009327A9" w:rsidRPr="009F63CE">
        <w:t xml:space="preserve">is </w:t>
      </w:r>
      <w:r w:rsidR="00F75B38" w:rsidRPr="009F63CE">
        <w:t>cross-referenced</w:t>
      </w:r>
      <w:r w:rsidR="009327A9" w:rsidRPr="009F63CE">
        <w:t xml:space="preserve"> to ensure </w:t>
      </w:r>
      <w:r w:rsidR="002461B5" w:rsidRPr="009F63CE">
        <w:t>m</w:t>
      </w:r>
      <w:r w:rsidR="009327A9" w:rsidRPr="009F63CE">
        <w:t xml:space="preserve">aternal </w:t>
      </w:r>
      <w:r w:rsidR="002461B5" w:rsidRPr="009F63CE">
        <w:t>m</w:t>
      </w:r>
      <w:r w:rsidR="009327A9" w:rsidRPr="009F63CE">
        <w:t>ortality data collection is complete.</w:t>
      </w:r>
      <w:r w:rsidR="00365A61" w:rsidRPr="009F63CE">
        <w:t xml:space="preserve"> </w:t>
      </w:r>
    </w:p>
    <w:p w14:paraId="024351FC" w14:textId="77777777" w:rsidR="009826D4" w:rsidRDefault="009826D4" w:rsidP="00D51C52">
      <w:pPr>
        <w:pStyle w:val="TeThHauorahead2"/>
      </w:pPr>
      <w:bookmarkStart w:id="37" w:name="_Toc169524778"/>
      <w:r>
        <w:t>COVID-19 data</w:t>
      </w:r>
      <w:bookmarkEnd w:id="37"/>
    </w:p>
    <w:p w14:paraId="0447B4B3" w14:textId="75028259" w:rsidR="009826D4" w:rsidRPr="009F63CE" w:rsidRDefault="009826D4" w:rsidP="00526787">
      <w:pPr>
        <w:pStyle w:val="TeThHauorabodytext"/>
      </w:pPr>
      <w:r>
        <w:t xml:space="preserve">COVID-19 case data was sourced from </w:t>
      </w:r>
      <w:r w:rsidR="004905EB">
        <w:t>Health New Zealand</w:t>
      </w:r>
      <w:r>
        <w:t xml:space="preserve"> and matched to the maternity data set (described below) and the perinatal numerator set (</w:t>
      </w:r>
      <w:r w:rsidR="00120DC5">
        <w:t>described previously</w:t>
      </w:r>
      <w:r>
        <w:t>) by encrypted NHI</w:t>
      </w:r>
      <w:r w:rsidR="0057734B">
        <w:t xml:space="preserve"> number</w:t>
      </w:r>
      <w:r>
        <w:t xml:space="preserve">. COVID-19 </w:t>
      </w:r>
      <w:r w:rsidR="0057734B">
        <w:t>i</w:t>
      </w:r>
      <w:r>
        <w:t xml:space="preserve">nfection during pregnancy was defined as a confirmed positive COVID-19 </w:t>
      </w:r>
      <w:r w:rsidR="0057734B">
        <w:t>rapid antigen test</w:t>
      </w:r>
      <w:r>
        <w:t>/</w:t>
      </w:r>
      <w:r w:rsidR="0057734B">
        <w:t>polymerase chain reaction</w:t>
      </w:r>
      <w:r>
        <w:t xml:space="preserve"> test recorded during pregnancy. ‘During pregnancy’ includes the pregnancy start date and the delivery date. Pregnancy start was calculated using the delivery date minus the gestation weeks.</w:t>
      </w:r>
    </w:p>
    <w:p w14:paraId="0FF58177" w14:textId="77777777" w:rsidR="00E5751D" w:rsidRDefault="00E5751D">
      <w:pPr>
        <w:rPr>
          <w:rFonts w:eastAsiaTheme="majorEastAsia" w:cs="Arial"/>
          <w:b/>
          <w:color w:val="293868"/>
          <w:sz w:val="36"/>
          <w:szCs w:val="32"/>
        </w:rPr>
      </w:pPr>
      <w:bookmarkStart w:id="38" w:name="_Toc169524779"/>
      <w:r>
        <w:br w:type="page"/>
      </w:r>
    </w:p>
    <w:p w14:paraId="644CAE73" w14:textId="3C8D334A" w:rsidR="00525E4D" w:rsidRPr="009F63CE" w:rsidRDefault="00525E4D" w:rsidP="00D51C52">
      <w:pPr>
        <w:pStyle w:val="TeThHauorahead1"/>
      </w:pPr>
      <w:r w:rsidRPr="009F63CE">
        <w:lastRenderedPageBreak/>
        <w:t>Denominator data</w:t>
      </w:r>
      <w:bookmarkEnd w:id="38"/>
    </w:p>
    <w:bookmarkEnd w:id="10"/>
    <w:bookmarkEnd w:id="11"/>
    <w:p w14:paraId="6CCD5A26" w14:textId="037DFD9B" w:rsidR="00F3641B" w:rsidRPr="009F63CE" w:rsidRDefault="00F3641B" w:rsidP="00526787">
      <w:pPr>
        <w:pStyle w:val="TeThHauorabodytext"/>
      </w:pPr>
      <w:r w:rsidRPr="009F63CE">
        <w:t>Prior to the 11th report (</w:t>
      </w:r>
      <w:r w:rsidR="00F27C0B">
        <w:t>PMMRC</w:t>
      </w:r>
      <w:r w:rsidR="00F27C0B" w:rsidRPr="009F63CE">
        <w:t xml:space="preserve"> </w:t>
      </w:r>
      <w:r w:rsidRPr="009F63CE">
        <w:t xml:space="preserve">2017), PMMRC reporting of perinatal and maternal mortality and morbidity used the New Zealand birth registrations </w:t>
      </w:r>
      <w:r w:rsidR="009F63CE" w:rsidRPr="009F63CE">
        <w:t>data set</w:t>
      </w:r>
      <w:r w:rsidRPr="009F63CE">
        <w:t xml:space="preserve"> (</w:t>
      </w:r>
      <w:r w:rsidR="00692539" w:rsidRPr="009F63CE">
        <w:t xml:space="preserve">administered by </w:t>
      </w:r>
      <w:r w:rsidR="00AA79A4" w:rsidRPr="009F63CE">
        <w:t>BDM</w:t>
      </w:r>
      <w:r w:rsidRPr="009F63CE">
        <w:t>) as the denominator</w:t>
      </w:r>
      <w:r w:rsidR="00BC67EF" w:rsidRPr="009F63CE">
        <w:t xml:space="preserve"> </w:t>
      </w:r>
      <w:r w:rsidR="009F63CE" w:rsidRPr="009F63CE">
        <w:t>data set</w:t>
      </w:r>
      <w:r w:rsidRPr="009F63CE">
        <w:t xml:space="preserve">. In </w:t>
      </w:r>
      <w:r w:rsidR="00F27C0B">
        <w:t xml:space="preserve">the </w:t>
      </w:r>
      <w:r w:rsidRPr="009F63CE">
        <w:t>11th report</w:t>
      </w:r>
      <w:r w:rsidR="00F27C0B">
        <w:t xml:space="preserve"> (PMMRC 2017</w:t>
      </w:r>
      <w:r w:rsidRPr="009F63CE">
        <w:t xml:space="preserve">), the birth registration </w:t>
      </w:r>
      <w:r w:rsidR="009F63CE" w:rsidRPr="009F63CE">
        <w:t>data set</w:t>
      </w:r>
      <w:r w:rsidRPr="009F63CE">
        <w:t xml:space="preserve"> was replaced by the New Zealand MAT </w:t>
      </w:r>
      <w:r w:rsidR="00092D18">
        <w:t>(</w:t>
      </w:r>
      <w:r w:rsidRPr="009F63CE">
        <w:t xml:space="preserve">administered by </w:t>
      </w:r>
      <w:r w:rsidR="00092D18">
        <w:t xml:space="preserve">Manatū Hauora </w:t>
      </w:r>
      <w:r w:rsidRPr="009F63CE">
        <w:t>Ministry of Health) for almost all analyses</w:t>
      </w:r>
      <w:r w:rsidR="00F27C0B">
        <w:t xml:space="preserve">, and </w:t>
      </w:r>
      <w:r w:rsidRPr="009F63CE">
        <w:t xml:space="preserve">perinatal deaths were merged with the MAT </w:t>
      </w:r>
      <w:r w:rsidR="009F63CE" w:rsidRPr="009F63CE">
        <w:t>data set</w:t>
      </w:r>
      <w:r w:rsidRPr="009F63CE">
        <w:t xml:space="preserve"> to establish a compatible numerator for analyses</w:t>
      </w:r>
      <w:r w:rsidR="00591B25">
        <w:t>.</w:t>
      </w:r>
      <w:r w:rsidRPr="009F63CE">
        <w:t xml:space="preserve"> </w:t>
      </w:r>
      <w:r w:rsidR="00591B25">
        <w:t>I</w:t>
      </w:r>
      <w:r w:rsidRPr="009F63CE">
        <w:t>n 2018</w:t>
      </w:r>
      <w:r w:rsidR="00591B25">
        <w:t>,</w:t>
      </w:r>
      <w:r w:rsidRPr="009F63CE">
        <w:t xml:space="preserve"> this</w:t>
      </w:r>
      <w:r w:rsidR="00D64C0D" w:rsidRPr="009F63CE">
        <w:t xml:space="preserve"> process was extended to a</w:t>
      </w:r>
      <w:r w:rsidRPr="009F63CE">
        <w:t xml:space="preserve"> merg</w:t>
      </w:r>
      <w:r w:rsidR="00D64C0D" w:rsidRPr="009F63CE">
        <w:t>e</w:t>
      </w:r>
      <w:r w:rsidRPr="009F63CE">
        <w:t xml:space="preserve"> of </w:t>
      </w:r>
      <w:r w:rsidR="002461B5" w:rsidRPr="009F63CE">
        <w:t>NE</w:t>
      </w:r>
      <w:r w:rsidRPr="009F63CE">
        <w:t xml:space="preserve"> cases with the MAT </w:t>
      </w:r>
      <w:r w:rsidR="009F63CE" w:rsidRPr="009F63CE">
        <w:t>data set</w:t>
      </w:r>
      <w:r w:rsidRPr="009F63CE">
        <w:t xml:space="preserve">. This process </w:t>
      </w:r>
      <w:r w:rsidR="008B24D6">
        <w:t>is</w:t>
      </w:r>
      <w:r w:rsidRPr="009F63CE">
        <w:t xml:space="preserve"> </w:t>
      </w:r>
      <w:r w:rsidR="003935BB">
        <w:t xml:space="preserve">not </w:t>
      </w:r>
      <w:r w:rsidRPr="009F63CE">
        <w:t>possible for maternal mortalities as not all potential cases are included in the denominator</w:t>
      </w:r>
      <w:r w:rsidR="00BC67EF" w:rsidRPr="009F63CE">
        <w:t xml:space="preserve"> </w:t>
      </w:r>
      <w:r w:rsidR="009F63CE" w:rsidRPr="009F63CE">
        <w:t>data set</w:t>
      </w:r>
      <w:r w:rsidR="00AA79A4" w:rsidRPr="009F63CE">
        <w:t>,</w:t>
      </w:r>
      <w:r w:rsidRPr="009F63CE">
        <w:t xml:space="preserve"> which only includes births from 20 weeks of gestation.</w:t>
      </w:r>
    </w:p>
    <w:p w14:paraId="1D0864FC" w14:textId="3AE5D3C3" w:rsidR="001C4055" w:rsidRPr="009F63CE" w:rsidRDefault="001C4055" w:rsidP="001A5150">
      <w:pPr>
        <w:pStyle w:val="TeThHauorahead2"/>
      </w:pPr>
      <w:bookmarkStart w:id="39" w:name="_Toc169524780"/>
      <w:r w:rsidRPr="009F63CE">
        <w:t>New Zealand National Maternity Collection</w:t>
      </w:r>
      <w:bookmarkEnd w:id="39"/>
    </w:p>
    <w:p w14:paraId="6616D0B7" w14:textId="43B3A843" w:rsidR="001C4055" w:rsidRPr="009F63CE" w:rsidRDefault="001C4055" w:rsidP="00526787">
      <w:pPr>
        <w:pStyle w:val="TeThHauorabodytext"/>
      </w:pPr>
      <w:r w:rsidRPr="009F63CE">
        <w:t>The</w:t>
      </w:r>
      <w:r w:rsidR="00D64C0D" w:rsidRPr="009F63CE">
        <w:t xml:space="preserve"> </w:t>
      </w:r>
      <w:r w:rsidRPr="009F63CE">
        <w:t>MAT combin</w:t>
      </w:r>
      <w:r w:rsidR="00F3641B" w:rsidRPr="009F63CE">
        <w:t>es</w:t>
      </w:r>
      <w:r w:rsidRPr="009F63CE">
        <w:t xml:space="preserve"> data collected by LMCs, which </w:t>
      </w:r>
      <w:r w:rsidR="00487EE3">
        <w:t>is</w:t>
      </w:r>
      <w:r w:rsidRPr="009F63CE">
        <w:t xml:space="preserve"> required to enable claims for payment, </w:t>
      </w:r>
      <w:r w:rsidR="00E67211">
        <w:t xml:space="preserve">data from some DHBs that provide primary maternity care and </w:t>
      </w:r>
      <w:r w:rsidRPr="009F63CE">
        <w:t>hospital discharge data</w:t>
      </w:r>
      <w:r w:rsidR="00175FC4">
        <w:t xml:space="preserve"> (NMDS)</w:t>
      </w:r>
      <w:r w:rsidRPr="009F63CE">
        <w:t xml:space="preserve">. </w:t>
      </w:r>
    </w:p>
    <w:p w14:paraId="1451ED07" w14:textId="77777777" w:rsidR="00710022" w:rsidRPr="009F63CE" w:rsidRDefault="00710022" w:rsidP="001A5150">
      <w:pPr>
        <w:pStyle w:val="TeThHauorahead3"/>
      </w:pPr>
      <w:bookmarkStart w:id="40" w:name="Compiling"/>
      <w:bookmarkStart w:id="41" w:name="_Ref473624278"/>
      <w:bookmarkStart w:id="42" w:name="_Ref480555972"/>
      <w:bookmarkStart w:id="43" w:name="_Ref480555978"/>
      <w:bookmarkStart w:id="44" w:name="_Toc480797232"/>
      <w:bookmarkStart w:id="45" w:name="_Toc483987268"/>
      <w:r w:rsidRPr="009F63CE">
        <w:t xml:space="preserve">Compiling </w:t>
      </w:r>
      <w:bookmarkEnd w:id="40"/>
      <w:r w:rsidRPr="009F63CE">
        <w:t xml:space="preserve">the MAT </w:t>
      </w:r>
      <w:bookmarkEnd w:id="41"/>
      <w:r w:rsidR="00822EFB" w:rsidRPr="009F63CE">
        <w:t>denominator and numerator data</w:t>
      </w:r>
      <w:bookmarkEnd w:id="42"/>
      <w:bookmarkEnd w:id="43"/>
      <w:bookmarkEnd w:id="44"/>
      <w:bookmarkEnd w:id="45"/>
    </w:p>
    <w:p w14:paraId="25FED247" w14:textId="5D37F2DF" w:rsidR="00710022" w:rsidRPr="009F63CE" w:rsidRDefault="00710022" w:rsidP="00943BE6">
      <w:pPr>
        <w:pStyle w:val="ListParagraph"/>
        <w:numPr>
          <w:ilvl w:val="0"/>
          <w:numId w:val="3"/>
        </w:numPr>
        <w:spacing w:after="60"/>
        <w:ind w:left="357"/>
        <w:contextualSpacing w:val="0"/>
        <w:rPr>
          <w:rFonts w:cs="Arial"/>
        </w:rPr>
      </w:pPr>
      <w:r w:rsidRPr="009F63CE">
        <w:rPr>
          <w:rFonts w:cs="Arial"/>
          <w:b/>
        </w:rPr>
        <w:t>Denominator MAT data (all babies born ≥20 weeks):</w:t>
      </w:r>
      <w:r w:rsidRPr="009F63CE">
        <w:rPr>
          <w:rFonts w:cs="Arial"/>
        </w:rPr>
        <w:t xml:space="preserve"> The MAT is a </w:t>
      </w:r>
      <w:r w:rsidR="009F63CE" w:rsidRPr="009F63CE">
        <w:rPr>
          <w:rFonts w:cs="Arial"/>
        </w:rPr>
        <w:t>data set</w:t>
      </w:r>
      <w:r w:rsidRPr="009F63CE">
        <w:rPr>
          <w:rFonts w:cs="Arial"/>
        </w:rPr>
        <w:t xml:space="preserve"> based on </w:t>
      </w:r>
      <w:r w:rsidR="00E67211">
        <w:rPr>
          <w:rFonts w:cs="Arial"/>
        </w:rPr>
        <w:t>pregnancies</w:t>
      </w:r>
      <w:r w:rsidRPr="009F63CE">
        <w:rPr>
          <w:rFonts w:cs="Arial"/>
        </w:rPr>
        <w:t xml:space="preserve">. For reporting, the PMMRC requires a </w:t>
      </w:r>
      <w:r w:rsidR="009F63CE" w:rsidRPr="009F63CE">
        <w:rPr>
          <w:rFonts w:cs="Arial"/>
        </w:rPr>
        <w:t>data set</w:t>
      </w:r>
      <w:r w:rsidRPr="009F63CE">
        <w:rPr>
          <w:rFonts w:cs="Arial"/>
        </w:rPr>
        <w:t xml:space="preserve"> based on babies. To create a MAT denominator </w:t>
      </w:r>
      <w:r w:rsidR="009F63CE" w:rsidRPr="009F63CE">
        <w:rPr>
          <w:rFonts w:cs="Arial"/>
        </w:rPr>
        <w:t>data set</w:t>
      </w:r>
      <w:r w:rsidRPr="009F63CE">
        <w:rPr>
          <w:rFonts w:cs="Arial"/>
        </w:rPr>
        <w:t xml:space="preserve"> with the correct number of babies, the ‘</w:t>
      </w:r>
      <w:r w:rsidR="008E040D">
        <w:rPr>
          <w:rFonts w:cs="Arial"/>
        </w:rPr>
        <w:t>d</w:t>
      </w:r>
      <w:r w:rsidRPr="009F63CE">
        <w:rPr>
          <w:rFonts w:cs="Arial"/>
        </w:rPr>
        <w:t xml:space="preserve">elivery outcome’ field for each MAT </w:t>
      </w:r>
      <w:r w:rsidR="00E67211">
        <w:rPr>
          <w:rFonts w:cs="Arial"/>
        </w:rPr>
        <w:t>pregnancy</w:t>
      </w:r>
      <w:r w:rsidRPr="009F63CE">
        <w:rPr>
          <w:rFonts w:cs="Arial"/>
        </w:rPr>
        <w:t xml:space="preserve"> was used as an indicator of the number of babies who should be in the denominator </w:t>
      </w:r>
      <w:r w:rsidR="009F63CE" w:rsidRPr="009F63CE">
        <w:rPr>
          <w:rFonts w:cs="Arial"/>
        </w:rPr>
        <w:t>data set</w:t>
      </w:r>
      <w:r w:rsidRPr="009F63CE">
        <w:rPr>
          <w:rFonts w:cs="Arial"/>
        </w:rPr>
        <w:t>. For example, if the delivery outcome variable was ‘</w:t>
      </w:r>
      <w:r w:rsidR="00BB32E5">
        <w:rPr>
          <w:rFonts w:cs="Arial"/>
        </w:rPr>
        <w:t>t</w:t>
      </w:r>
      <w:r w:rsidRPr="009F63CE">
        <w:rPr>
          <w:rFonts w:cs="Arial"/>
        </w:rPr>
        <w:t xml:space="preserve">win’, then two babies were expected. ‘Other multiple’ was assumed </w:t>
      </w:r>
      <w:r w:rsidR="00BA34AE">
        <w:rPr>
          <w:rFonts w:cs="Arial"/>
        </w:rPr>
        <w:t xml:space="preserve">to be </w:t>
      </w:r>
      <w:r w:rsidRPr="009F63CE">
        <w:rPr>
          <w:rFonts w:cs="Arial"/>
        </w:rPr>
        <w:t xml:space="preserve">three babies. This method was modified (and overridden) in cases where a MAT </w:t>
      </w:r>
      <w:r w:rsidR="000156B9">
        <w:rPr>
          <w:rFonts w:cs="Arial"/>
        </w:rPr>
        <w:t>woman</w:t>
      </w:r>
      <w:r w:rsidR="00A30CA1">
        <w:rPr>
          <w:rFonts w:cs="Arial"/>
        </w:rPr>
        <w:t>/</w:t>
      </w:r>
      <w:r w:rsidR="00705C0A">
        <w:rPr>
          <w:rFonts w:cs="Arial"/>
        </w:rPr>
        <w:t>birthing person</w:t>
      </w:r>
      <w:r w:rsidR="00705C0A" w:rsidRPr="009F63CE">
        <w:rPr>
          <w:rFonts w:cs="Arial"/>
        </w:rPr>
        <w:t xml:space="preserve"> </w:t>
      </w:r>
      <w:r w:rsidRPr="009F63CE">
        <w:rPr>
          <w:rFonts w:cs="Arial"/>
        </w:rPr>
        <w:t xml:space="preserve">was linked by NHI </w:t>
      </w:r>
      <w:r w:rsidR="00BA34AE">
        <w:rPr>
          <w:rFonts w:cs="Arial"/>
        </w:rPr>
        <w:t xml:space="preserve">number </w:t>
      </w:r>
      <w:r w:rsidRPr="009F63CE">
        <w:rPr>
          <w:rFonts w:cs="Arial"/>
        </w:rPr>
        <w:t xml:space="preserve">to a PMMR </w:t>
      </w:r>
      <w:r w:rsidR="009F63CE" w:rsidRPr="009F63CE">
        <w:rPr>
          <w:rFonts w:cs="Arial"/>
        </w:rPr>
        <w:t>data set</w:t>
      </w:r>
      <w:r w:rsidRPr="009F63CE">
        <w:rPr>
          <w:rFonts w:cs="Arial"/>
        </w:rPr>
        <w:t xml:space="preserve"> </w:t>
      </w:r>
      <w:r w:rsidR="000156B9">
        <w:rPr>
          <w:rFonts w:cs="Arial"/>
        </w:rPr>
        <w:t>woman</w:t>
      </w:r>
      <w:r w:rsidR="00A30CA1">
        <w:rPr>
          <w:rFonts w:cs="Arial"/>
        </w:rPr>
        <w:t>/</w:t>
      </w:r>
      <w:r w:rsidR="00705C0A">
        <w:rPr>
          <w:rFonts w:cs="Arial"/>
        </w:rPr>
        <w:t>birthing person</w:t>
      </w:r>
      <w:r w:rsidRPr="009F63CE">
        <w:rPr>
          <w:rFonts w:cs="Arial"/>
        </w:rPr>
        <w:t xml:space="preserve">, and the PMMR data </w:t>
      </w:r>
      <w:r w:rsidR="00705C0A">
        <w:rPr>
          <w:rFonts w:cs="Arial"/>
        </w:rPr>
        <w:t>was</w:t>
      </w:r>
      <w:r w:rsidR="00705C0A" w:rsidRPr="009F63CE">
        <w:rPr>
          <w:rFonts w:cs="Arial"/>
        </w:rPr>
        <w:t xml:space="preserve"> </w:t>
      </w:r>
      <w:r w:rsidRPr="009F63CE">
        <w:rPr>
          <w:rFonts w:cs="Arial"/>
        </w:rPr>
        <w:t xml:space="preserve">then used to determine the number of expected babies. An ‘entry’ or ‘baby’ was added for each expected baby. If no MAT baby </w:t>
      </w:r>
      <w:r w:rsidR="00705C0A">
        <w:rPr>
          <w:rFonts w:cs="Arial"/>
        </w:rPr>
        <w:t xml:space="preserve">was </w:t>
      </w:r>
      <w:r w:rsidRPr="009F63CE">
        <w:rPr>
          <w:rFonts w:cs="Arial"/>
        </w:rPr>
        <w:t xml:space="preserve">linked where </w:t>
      </w:r>
      <w:r w:rsidR="00705C0A">
        <w:rPr>
          <w:rFonts w:cs="Arial"/>
        </w:rPr>
        <w:t xml:space="preserve">one </w:t>
      </w:r>
      <w:r w:rsidRPr="009F63CE">
        <w:rPr>
          <w:rFonts w:cs="Arial"/>
        </w:rPr>
        <w:t xml:space="preserve">was expected, then a baby was created with no MAT baby data (but with </w:t>
      </w:r>
      <w:r w:rsidR="000156B9">
        <w:rPr>
          <w:rFonts w:cs="Arial"/>
        </w:rPr>
        <w:t>woman/</w:t>
      </w:r>
      <w:r w:rsidR="00705C0A">
        <w:rPr>
          <w:rFonts w:cs="Arial"/>
        </w:rPr>
        <w:t xml:space="preserve">birthing person </w:t>
      </w:r>
      <w:r w:rsidRPr="009F63CE">
        <w:rPr>
          <w:rFonts w:cs="Arial"/>
        </w:rPr>
        <w:t xml:space="preserve">data from the delivery or </w:t>
      </w:r>
      <w:r w:rsidR="000156B9">
        <w:rPr>
          <w:rFonts w:cs="Arial"/>
        </w:rPr>
        <w:t>woman/</w:t>
      </w:r>
      <w:r w:rsidR="00041A53">
        <w:rPr>
          <w:rFonts w:cs="Arial"/>
        </w:rPr>
        <w:t>birthing person</w:t>
      </w:r>
      <w:r w:rsidR="00041A53" w:rsidRPr="009F63CE">
        <w:rPr>
          <w:rFonts w:cs="Arial"/>
        </w:rPr>
        <w:t xml:space="preserve"> </w:t>
      </w:r>
      <w:r w:rsidR="009F63CE" w:rsidRPr="009F63CE">
        <w:rPr>
          <w:rFonts w:cs="Arial"/>
        </w:rPr>
        <w:t>data set</w:t>
      </w:r>
      <w:r w:rsidRPr="009F63CE">
        <w:rPr>
          <w:rFonts w:cs="Arial"/>
        </w:rPr>
        <w:t>). If there were more babies in the MAT baby</w:t>
      </w:r>
      <w:r w:rsidR="00BC67EF" w:rsidRPr="009F63CE">
        <w:rPr>
          <w:rFonts w:cs="Arial"/>
        </w:rPr>
        <w:t xml:space="preserve"> </w:t>
      </w:r>
      <w:r w:rsidR="009F63CE" w:rsidRPr="009F63CE">
        <w:rPr>
          <w:rFonts w:cs="Arial"/>
        </w:rPr>
        <w:t>data set</w:t>
      </w:r>
      <w:r w:rsidRPr="009F63CE">
        <w:rPr>
          <w:rFonts w:cs="Arial"/>
        </w:rPr>
        <w:t xml:space="preserve"> than expected, only the expected number of babies was kept in the </w:t>
      </w:r>
      <w:r w:rsidR="009F63CE" w:rsidRPr="009F63CE">
        <w:rPr>
          <w:rFonts w:cs="Arial"/>
        </w:rPr>
        <w:t>data set</w:t>
      </w:r>
      <w:r w:rsidRPr="009F63CE">
        <w:rPr>
          <w:rFonts w:cs="Arial"/>
        </w:rPr>
        <w:t xml:space="preserve"> (except if these were perinatal death babies</w:t>
      </w:r>
      <w:r w:rsidR="009C3FF4">
        <w:rPr>
          <w:rFonts w:cs="Arial"/>
        </w:rPr>
        <w:t>,</w:t>
      </w:r>
      <w:r w:rsidRPr="009F63CE">
        <w:rPr>
          <w:rFonts w:cs="Arial"/>
        </w:rPr>
        <w:t xml:space="preserve"> who were always kept in the</w:t>
      </w:r>
      <w:r w:rsidR="00BC67EF" w:rsidRPr="009F63CE">
        <w:rPr>
          <w:rFonts w:cs="Arial"/>
        </w:rPr>
        <w:t xml:space="preserve"> </w:t>
      </w:r>
      <w:r w:rsidR="009F63CE" w:rsidRPr="009F63CE">
        <w:rPr>
          <w:rFonts w:cs="Arial"/>
        </w:rPr>
        <w:t>data set</w:t>
      </w:r>
      <w:r w:rsidRPr="009F63CE">
        <w:rPr>
          <w:rFonts w:cs="Arial"/>
        </w:rPr>
        <w:t xml:space="preserve">). If there </w:t>
      </w:r>
      <w:r w:rsidR="009C3FF4">
        <w:rPr>
          <w:rFonts w:cs="Arial"/>
        </w:rPr>
        <w:t xml:space="preserve">was </w:t>
      </w:r>
      <w:r w:rsidRPr="009F63CE">
        <w:rPr>
          <w:rFonts w:cs="Arial"/>
        </w:rPr>
        <w:t>no ‘</w:t>
      </w:r>
      <w:r w:rsidR="009C3FF4">
        <w:rPr>
          <w:rFonts w:cs="Arial"/>
        </w:rPr>
        <w:t>d</w:t>
      </w:r>
      <w:r w:rsidRPr="009F63CE">
        <w:rPr>
          <w:rFonts w:cs="Arial"/>
        </w:rPr>
        <w:t xml:space="preserve">elivery outcome’ data for a </w:t>
      </w:r>
      <w:r w:rsidR="000156B9">
        <w:rPr>
          <w:rFonts w:cs="Arial"/>
        </w:rPr>
        <w:t>woman/</w:t>
      </w:r>
      <w:r w:rsidR="00041A53">
        <w:rPr>
          <w:rFonts w:cs="Arial"/>
        </w:rPr>
        <w:t>birthing person</w:t>
      </w:r>
      <w:r w:rsidRPr="009F63CE">
        <w:rPr>
          <w:rFonts w:cs="Arial"/>
        </w:rPr>
        <w:t xml:space="preserve">, then one baby was </w:t>
      </w:r>
      <w:r w:rsidR="003935BB">
        <w:rPr>
          <w:rFonts w:cs="Arial"/>
        </w:rPr>
        <w:t>assumed</w:t>
      </w:r>
      <w:r w:rsidR="00041A53">
        <w:rPr>
          <w:rFonts w:cs="Arial"/>
        </w:rPr>
        <w:t>,</w:t>
      </w:r>
      <w:r w:rsidRPr="009F63CE">
        <w:rPr>
          <w:rFonts w:cs="Arial"/>
        </w:rPr>
        <w:t xml:space="preserve"> and this baby was </w:t>
      </w:r>
      <w:r w:rsidR="008629C9">
        <w:rPr>
          <w:rFonts w:cs="Arial"/>
        </w:rPr>
        <w:t>recorded</w:t>
      </w:r>
      <w:r w:rsidRPr="009F63CE">
        <w:rPr>
          <w:rFonts w:cs="Arial"/>
        </w:rPr>
        <w:t xml:space="preserve">, again without MAT baby data but including </w:t>
      </w:r>
      <w:r w:rsidR="000156B9">
        <w:rPr>
          <w:rFonts w:cs="Arial"/>
        </w:rPr>
        <w:t>woman/</w:t>
      </w:r>
      <w:r w:rsidR="00041A53">
        <w:rPr>
          <w:rFonts w:cs="Arial"/>
        </w:rPr>
        <w:t>birthing person</w:t>
      </w:r>
      <w:r w:rsidR="00041A53" w:rsidRPr="009F63CE">
        <w:rPr>
          <w:rFonts w:cs="Arial"/>
        </w:rPr>
        <w:t xml:space="preserve"> </w:t>
      </w:r>
      <w:r w:rsidRPr="009F63CE">
        <w:rPr>
          <w:rFonts w:cs="Arial"/>
        </w:rPr>
        <w:t>data.</w:t>
      </w:r>
    </w:p>
    <w:p w14:paraId="3BD5B221" w14:textId="64BA661D" w:rsidR="00710022" w:rsidRPr="009F63CE" w:rsidRDefault="00710022" w:rsidP="00943BE6">
      <w:pPr>
        <w:pStyle w:val="ListParagraph"/>
        <w:numPr>
          <w:ilvl w:val="0"/>
          <w:numId w:val="3"/>
        </w:numPr>
        <w:spacing w:after="60"/>
        <w:ind w:left="357"/>
        <w:contextualSpacing w:val="0"/>
        <w:rPr>
          <w:rFonts w:cs="Arial"/>
        </w:rPr>
      </w:pPr>
      <w:r w:rsidRPr="009F63CE">
        <w:rPr>
          <w:rFonts w:cs="Arial"/>
          <w:b/>
        </w:rPr>
        <w:t xml:space="preserve">Numerator (perinatal related deaths): </w:t>
      </w:r>
      <w:r w:rsidRPr="009F63CE">
        <w:rPr>
          <w:rFonts w:cs="Arial"/>
        </w:rPr>
        <w:t xml:space="preserve">The PMMRC asked </w:t>
      </w:r>
      <w:r w:rsidR="009C3FF4">
        <w:rPr>
          <w:rFonts w:cs="Arial"/>
        </w:rPr>
        <w:t xml:space="preserve">Manatū Hauora </w:t>
      </w:r>
      <w:r w:rsidRPr="009F63CE">
        <w:rPr>
          <w:rFonts w:cs="Arial"/>
        </w:rPr>
        <w:t xml:space="preserve">Ministry of Health to </w:t>
      </w:r>
      <w:r w:rsidR="00C71116" w:rsidRPr="009F63CE">
        <w:rPr>
          <w:rFonts w:cs="Arial"/>
        </w:rPr>
        <w:t>help</w:t>
      </w:r>
      <w:r w:rsidRPr="009F63CE">
        <w:rPr>
          <w:rFonts w:cs="Arial"/>
        </w:rPr>
        <w:t xml:space="preserve"> merge the PMMR perinatal related deaths</w:t>
      </w:r>
      <w:r w:rsidR="00E82AA2" w:rsidRPr="009F63CE">
        <w:rPr>
          <w:rFonts w:cs="Arial"/>
        </w:rPr>
        <w:t xml:space="preserve"> (and babies with NE)</w:t>
      </w:r>
      <w:r w:rsidRPr="009F63CE">
        <w:rPr>
          <w:rFonts w:cs="Arial"/>
        </w:rPr>
        <w:t xml:space="preserve"> with their MAT </w:t>
      </w:r>
      <w:r w:rsidR="00041A53">
        <w:rPr>
          <w:rFonts w:cs="Arial"/>
        </w:rPr>
        <w:t>birthing person</w:t>
      </w:r>
      <w:r w:rsidR="00041A53" w:rsidRPr="009F63CE">
        <w:rPr>
          <w:rFonts w:cs="Arial"/>
        </w:rPr>
        <w:t xml:space="preserve"> </w:t>
      </w:r>
      <w:r w:rsidRPr="009F63CE">
        <w:rPr>
          <w:rFonts w:cs="Arial"/>
        </w:rPr>
        <w:t xml:space="preserve">and baby records so the consistency of data in the PMMRC data collection and in the MAT </w:t>
      </w:r>
      <w:r w:rsidR="009F63CE" w:rsidRPr="009F63CE">
        <w:rPr>
          <w:rFonts w:cs="Arial"/>
        </w:rPr>
        <w:t>data set</w:t>
      </w:r>
      <w:r w:rsidRPr="009F63CE">
        <w:rPr>
          <w:rFonts w:cs="Arial"/>
        </w:rPr>
        <w:t xml:space="preserve"> could be examined. </w:t>
      </w:r>
    </w:p>
    <w:p w14:paraId="101F68A5" w14:textId="466D2F73" w:rsidR="00710022" w:rsidRPr="009F63CE" w:rsidRDefault="00710022" w:rsidP="00943BE6">
      <w:pPr>
        <w:spacing w:after="60"/>
        <w:ind w:left="357"/>
        <w:rPr>
          <w:rFonts w:cs="Arial"/>
        </w:rPr>
      </w:pPr>
      <w:r w:rsidRPr="009F63CE">
        <w:rPr>
          <w:rFonts w:cs="Arial"/>
        </w:rPr>
        <w:t xml:space="preserve">The MAT </w:t>
      </w:r>
      <w:r w:rsidR="009264C2">
        <w:rPr>
          <w:rFonts w:cs="Arial"/>
        </w:rPr>
        <w:t xml:space="preserve">data </w:t>
      </w:r>
      <w:r w:rsidRPr="009F63CE">
        <w:rPr>
          <w:rFonts w:cs="Arial"/>
        </w:rPr>
        <w:t xml:space="preserve">consists of </w:t>
      </w:r>
      <w:r w:rsidR="009264C2">
        <w:rPr>
          <w:rFonts w:cs="Arial"/>
        </w:rPr>
        <w:t>births (the main set) and the associated babies linked to those births</w:t>
      </w:r>
      <w:r w:rsidRPr="009F63CE">
        <w:rPr>
          <w:rFonts w:cs="Arial"/>
        </w:rPr>
        <w:t xml:space="preserve">. Stillborn babies are often not included in the MAT </w:t>
      </w:r>
      <w:r w:rsidR="009F63CE" w:rsidRPr="009F63CE">
        <w:rPr>
          <w:rFonts w:cs="Arial"/>
        </w:rPr>
        <w:t>data set</w:t>
      </w:r>
      <w:r w:rsidRPr="009F63CE">
        <w:rPr>
          <w:rFonts w:cs="Arial"/>
        </w:rPr>
        <w:t xml:space="preserve"> and so need to be matched to a </w:t>
      </w:r>
      <w:r w:rsidR="00347AFA">
        <w:rPr>
          <w:rFonts w:cs="Arial"/>
        </w:rPr>
        <w:t>woman</w:t>
      </w:r>
      <w:r w:rsidR="00A30CA1">
        <w:rPr>
          <w:rFonts w:cs="Arial"/>
        </w:rPr>
        <w:t>/</w:t>
      </w:r>
      <w:r w:rsidR="00037FF1">
        <w:rPr>
          <w:rFonts w:cs="Arial"/>
        </w:rPr>
        <w:t>birthing person</w:t>
      </w:r>
      <w:r w:rsidR="00347AFA">
        <w:rPr>
          <w:rFonts w:cs="Arial"/>
        </w:rPr>
        <w:t>’s</w:t>
      </w:r>
      <w:r w:rsidR="00037FF1" w:rsidRPr="009F63CE">
        <w:rPr>
          <w:rFonts w:cs="Arial"/>
        </w:rPr>
        <w:t xml:space="preserve"> </w:t>
      </w:r>
      <w:r w:rsidRPr="009F63CE">
        <w:rPr>
          <w:rFonts w:cs="Arial"/>
        </w:rPr>
        <w:t xml:space="preserve">record. </w:t>
      </w:r>
      <w:r w:rsidR="0068348C">
        <w:rPr>
          <w:rFonts w:cs="Arial"/>
        </w:rPr>
        <w:t>The following steps were undertaken to compile the dataset:</w:t>
      </w:r>
    </w:p>
    <w:p w14:paraId="1FFE2E73" w14:textId="65C231D5" w:rsidR="00710022" w:rsidRPr="009F63CE" w:rsidRDefault="00710022" w:rsidP="00943BE6">
      <w:pPr>
        <w:pStyle w:val="ListParagraph"/>
        <w:numPr>
          <w:ilvl w:val="1"/>
          <w:numId w:val="3"/>
        </w:numPr>
        <w:spacing w:after="60"/>
        <w:ind w:left="714" w:hanging="357"/>
        <w:contextualSpacing w:val="0"/>
        <w:rPr>
          <w:rFonts w:cs="Arial"/>
        </w:rPr>
      </w:pPr>
      <w:r w:rsidRPr="009F63CE">
        <w:rPr>
          <w:rFonts w:cs="Arial"/>
        </w:rPr>
        <w:t>Mothers</w:t>
      </w:r>
      <w:r w:rsidR="00A30CA1">
        <w:rPr>
          <w:rFonts w:cs="Arial"/>
        </w:rPr>
        <w:t xml:space="preserve"> and birthing parents</w:t>
      </w:r>
      <w:r w:rsidRPr="009F63CE">
        <w:rPr>
          <w:rFonts w:cs="Arial"/>
        </w:rPr>
        <w:t xml:space="preserve"> of babies who died </w:t>
      </w:r>
      <w:r w:rsidR="00E82AA2" w:rsidRPr="009F63CE">
        <w:rPr>
          <w:rFonts w:cs="Arial"/>
        </w:rPr>
        <w:t xml:space="preserve">or </w:t>
      </w:r>
      <w:r w:rsidR="00C71116" w:rsidRPr="009F63CE">
        <w:rPr>
          <w:rFonts w:cs="Arial"/>
        </w:rPr>
        <w:t xml:space="preserve">had </w:t>
      </w:r>
      <w:r w:rsidR="00E82AA2" w:rsidRPr="009F63CE">
        <w:rPr>
          <w:rFonts w:cs="Arial"/>
        </w:rPr>
        <w:t xml:space="preserve">NE </w:t>
      </w:r>
      <w:r w:rsidRPr="009F63CE">
        <w:rPr>
          <w:rFonts w:cs="Arial"/>
        </w:rPr>
        <w:t xml:space="preserve">in the perinatal period (PMMR </w:t>
      </w:r>
      <w:r w:rsidR="009F63CE" w:rsidRPr="009F63CE">
        <w:rPr>
          <w:rFonts w:cs="Arial"/>
        </w:rPr>
        <w:t>data set</w:t>
      </w:r>
      <w:r w:rsidRPr="009F63CE">
        <w:rPr>
          <w:rFonts w:cs="Arial"/>
        </w:rPr>
        <w:t xml:space="preserve">) were matched to </w:t>
      </w:r>
      <w:r w:rsidR="00037FF1">
        <w:rPr>
          <w:rFonts w:cs="Arial"/>
        </w:rPr>
        <w:t>those</w:t>
      </w:r>
      <w:r w:rsidR="00037FF1" w:rsidRPr="009F63CE">
        <w:rPr>
          <w:rFonts w:cs="Arial"/>
        </w:rPr>
        <w:t xml:space="preserve"> </w:t>
      </w:r>
      <w:r w:rsidRPr="009F63CE">
        <w:rPr>
          <w:rFonts w:cs="Arial"/>
        </w:rPr>
        <w:t>in the MAT</w:t>
      </w:r>
      <w:r w:rsidR="00BC67EF" w:rsidRPr="009F63CE">
        <w:rPr>
          <w:rFonts w:cs="Arial"/>
        </w:rPr>
        <w:t xml:space="preserve"> </w:t>
      </w:r>
      <w:r w:rsidR="009F63CE" w:rsidRPr="009F63CE">
        <w:rPr>
          <w:rFonts w:cs="Arial"/>
        </w:rPr>
        <w:t>data set</w:t>
      </w:r>
      <w:r w:rsidRPr="009F63CE">
        <w:rPr>
          <w:rFonts w:cs="Arial"/>
        </w:rPr>
        <w:t xml:space="preserve"> (delivery </w:t>
      </w:r>
      <w:r w:rsidR="009F63CE" w:rsidRPr="009F63CE">
        <w:rPr>
          <w:rFonts w:cs="Arial"/>
        </w:rPr>
        <w:t>data set</w:t>
      </w:r>
      <w:r w:rsidRPr="009F63CE">
        <w:rPr>
          <w:rFonts w:cs="Arial"/>
        </w:rPr>
        <w:t xml:space="preserve">) by </w:t>
      </w:r>
      <w:r w:rsidRPr="009F63CE">
        <w:rPr>
          <w:rFonts w:cs="Arial"/>
        </w:rPr>
        <w:lastRenderedPageBreak/>
        <w:t xml:space="preserve">matching the </w:t>
      </w:r>
      <w:r w:rsidR="00347AFA">
        <w:rPr>
          <w:rFonts w:cs="Arial"/>
        </w:rPr>
        <w:t>woman</w:t>
      </w:r>
      <w:r w:rsidR="00A30CA1">
        <w:rPr>
          <w:rFonts w:cs="Arial"/>
        </w:rPr>
        <w:t>/</w:t>
      </w:r>
      <w:r w:rsidR="00037FF1">
        <w:rPr>
          <w:rFonts w:cs="Arial"/>
        </w:rPr>
        <w:t>birthing person</w:t>
      </w:r>
      <w:r w:rsidR="00037FF1" w:rsidRPr="009F63CE">
        <w:rPr>
          <w:rFonts w:cs="Arial"/>
        </w:rPr>
        <w:t xml:space="preserve">’s </w:t>
      </w:r>
      <w:r w:rsidRPr="009F63CE">
        <w:rPr>
          <w:rFonts w:cs="Arial"/>
        </w:rPr>
        <w:t>NHI and the date of birth</w:t>
      </w:r>
      <w:r w:rsidR="00C71116" w:rsidRPr="009F63CE">
        <w:rPr>
          <w:rFonts w:cs="Arial"/>
        </w:rPr>
        <w:t>,</w:t>
      </w:r>
      <w:r w:rsidRPr="009F63CE">
        <w:rPr>
          <w:rFonts w:cs="Arial"/>
        </w:rPr>
        <w:t xml:space="preserve"> allowing a 28-day window either side of the recorded date of birth. </w:t>
      </w:r>
    </w:p>
    <w:p w14:paraId="7548C791" w14:textId="047FFD83" w:rsidR="00710022" w:rsidRPr="009F63CE" w:rsidRDefault="00710022" w:rsidP="00943BE6">
      <w:pPr>
        <w:pStyle w:val="ListParagraph"/>
        <w:numPr>
          <w:ilvl w:val="1"/>
          <w:numId w:val="3"/>
        </w:numPr>
        <w:spacing w:after="60"/>
        <w:ind w:left="714" w:hanging="357"/>
        <w:contextualSpacing w:val="0"/>
        <w:rPr>
          <w:rFonts w:cs="Arial"/>
        </w:rPr>
      </w:pPr>
      <w:r w:rsidRPr="009F63CE">
        <w:rPr>
          <w:rFonts w:cs="Arial"/>
        </w:rPr>
        <w:t xml:space="preserve">Perinatal </w:t>
      </w:r>
      <w:r w:rsidR="00E82AA2" w:rsidRPr="009F63CE">
        <w:rPr>
          <w:rFonts w:cs="Arial"/>
        </w:rPr>
        <w:t>mortality and NE</w:t>
      </w:r>
      <w:r w:rsidRPr="009F63CE">
        <w:rPr>
          <w:rFonts w:cs="Arial"/>
        </w:rPr>
        <w:t xml:space="preserve"> babies (PMMR </w:t>
      </w:r>
      <w:r w:rsidR="009F63CE" w:rsidRPr="009F63CE">
        <w:rPr>
          <w:rFonts w:cs="Arial"/>
        </w:rPr>
        <w:t>data set</w:t>
      </w:r>
      <w:r w:rsidRPr="009F63CE">
        <w:rPr>
          <w:rFonts w:cs="Arial"/>
        </w:rPr>
        <w:t>) were matched to MAT babies (birth</w:t>
      </w:r>
      <w:r w:rsidR="00BC67EF" w:rsidRPr="009F63CE">
        <w:rPr>
          <w:rFonts w:cs="Arial"/>
        </w:rPr>
        <w:t xml:space="preserve"> </w:t>
      </w:r>
      <w:r w:rsidR="009F63CE" w:rsidRPr="009F63CE">
        <w:rPr>
          <w:rFonts w:cs="Arial"/>
        </w:rPr>
        <w:t>data set</w:t>
      </w:r>
      <w:r w:rsidRPr="009F63CE">
        <w:rPr>
          <w:rFonts w:cs="Arial"/>
        </w:rPr>
        <w:t>) by matching the baby</w:t>
      </w:r>
      <w:r w:rsidR="005422A3" w:rsidRPr="009F63CE">
        <w:rPr>
          <w:rFonts w:cs="Arial"/>
        </w:rPr>
        <w:t>’s</w:t>
      </w:r>
      <w:r w:rsidRPr="009F63CE">
        <w:rPr>
          <w:rFonts w:cs="Arial"/>
        </w:rPr>
        <w:t xml:space="preserve"> NHI. </w:t>
      </w:r>
    </w:p>
    <w:p w14:paraId="041D050F" w14:textId="7A97FFA0" w:rsidR="00710022" w:rsidRPr="009F63CE" w:rsidRDefault="00710022" w:rsidP="00943BE6">
      <w:pPr>
        <w:pStyle w:val="ListParagraph"/>
        <w:numPr>
          <w:ilvl w:val="1"/>
          <w:numId w:val="3"/>
        </w:numPr>
        <w:spacing w:after="60"/>
        <w:ind w:left="714" w:hanging="357"/>
        <w:contextualSpacing w:val="0"/>
        <w:rPr>
          <w:rFonts w:cs="Arial"/>
        </w:rPr>
      </w:pPr>
      <w:r w:rsidRPr="009F63CE">
        <w:rPr>
          <w:rFonts w:cs="Arial"/>
        </w:rPr>
        <w:t xml:space="preserve">Perinatal </w:t>
      </w:r>
      <w:r w:rsidR="00E82AA2" w:rsidRPr="009F63CE">
        <w:rPr>
          <w:rFonts w:cs="Arial"/>
        </w:rPr>
        <w:t>mortality and NE</w:t>
      </w:r>
      <w:r w:rsidRPr="009F63CE">
        <w:rPr>
          <w:rFonts w:cs="Arial"/>
        </w:rPr>
        <w:t xml:space="preserve"> babies (PMMR </w:t>
      </w:r>
      <w:r w:rsidR="009F63CE" w:rsidRPr="009F63CE">
        <w:rPr>
          <w:rFonts w:cs="Arial"/>
        </w:rPr>
        <w:t>data set</w:t>
      </w:r>
      <w:r w:rsidRPr="009F63CE">
        <w:rPr>
          <w:rFonts w:cs="Arial"/>
        </w:rPr>
        <w:t>) were then matched to the</w:t>
      </w:r>
      <w:r w:rsidR="009D5889">
        <w:rPr>
          <w:rFonts w:cs="Arial"/>
        </w:rPr>
        <w:t xml:space="preserve"> woman</w:t>
      </w:r>
      <w:r w:rsidR="00A30CA1">
        <w:rPr>
          <w:rFonts w:cs="Arial"/>
        </w:rPr>
        <w:t>/</w:t>
      </w:r>
      <w:r w:rsidR="00107ADE">
        <w:rPr>
          <w:rFonts w:cs="Arial"/>
        </w:rPr>
        <w:t>birthing person</w:t>
      </w:r>
      <w:r w:rsidR="009D5889">
        <w:rPr>
          <w:rFonts w:cs="Arial"/>
        </w:rPr>
        <w:t>’s</w:t>
      </w:r>
      <w:r w:rsidR="00107ADE" w:rsidRPr="009F63CE">
        <w:rPr>
          <w:rFonts w:cs="Arial"/>
        </w:rPr>
        <w:t xml:space="preserve"> </w:t>
      </w:r>
      <w:r w:rsidRPr="009F63CE">
        <w:rPr>
          <w:rFonts w:cs="Arial"/>
        </w:rPr>
        <w:t>MAT</w:t>
      </w:r>
      <w:r w:rsidR="00BC67EF" w:rsidRPr="009F63CE">
        <w:rPr>
          <w:rFonts w:cs="Arial"/>
        </w:rPr>
        <w:t xml:space="preserve"> </w:t>
      </w:r>
      <w:r w:rsidR="009F63CE" w:rsidRPr="009F63CE">
        <w:rPr>
          <w:rFonts w:cs="Arial"/>
        </w:rPr>
        <w:t>data set</w:t>
      </w:r>
      <w:r w:rsidRPr="009F63CE">
        <w:rPr>
          <w:rFonts w:cs="Arial"/>
        </w:rPr>
        <w:t xml:space="preserve"> (delivery </w:t>
      </w:r>
      <w:r w:rsidR="009F63CE" w:rsidRPr="009F63CE">
        <w:rPr>
          <w:rFonts w:cs="Arial"/>
        </w:rPr>
        <w:t>data set</w:t>
      </w:r>
      <w:r w:rsidRPr="009F63CE">
        <w:rPr>
          <w:rFonts w:cs="Arial"/>
        </w:rPr>
        <w:t xml:space="preserve">) using the matched PMMRC </w:t>
      </w:r>
      <w:r w:rsidR="009D5889">
        <w:rPr>
          <w:rFonts w:cs="Arial"/>
        </w:rPr>
        <w:t>woman</w:t>
      </w:r>
      <w:r w:rsidR="00A30CA1">
        <w:rPr>
          <w:rFonts w:cs="Arial"/>
        </w:rPr>
        <w:t>/</w:t>
      </w:r>
      <w:r w:rsidR="00107ADE">
        <w:rPr>
          <w:rFonts w:cs="Arial"/>
        </w:rPr>
        <w:t>birthing person</w:t>
      </w:r>
      <w:r w:rsidRPr="009F63CE">
        <w:rPr>
          <w:rFonts w:cs="Arial"/>
        </w:rPr>
        <w:t xml:space="preserve">; that is, babies with no MAT birth (baby) </w:t>
      </w:r>
      <w:r w:rsidR="009F63CE" w:rsidRPr="009F63CE">
        <w:rPr>
          <w:rFonts w:cs="Arial"/>
        </w:rPr>
        <w:t>data set</w:t>
      </w:r>
      <w:r w:rsidRPr="009F63CE">
        <w:rPr>
          <w:rFonts w:cs="Arial"/>
        </w:rPr>
        <w:t xml:space="preserve"> record were matched to their </w:t>
      </w:r>
      <w:r w:rsidR="00107ADE">
        <w:rPr>
          <w:rFonts w:cs="Arial"/>
        </w:rPr>
        <w:t>birthing person</w:t>
      </w:r>
      <w:r w:rsidR="00107ADE" w:rsidRPr="009F63CE">
        <w:rPr>
          <w:rFonts w:cs="Arial"/>
        </w:rPr>
        <w:t xml:space="preserve"> </w:t>
      </w:r>
      <w:r w:rsidRPr="009F63CE">
        <w:rPr>
          <w:rFonts w:cs="Arial"/>
        </w:rPr>
        <w:t>using th</w:t>
      </w:r>
      <w:r w:rsidR="00107ADE">
        <w:rPr>
          <w:rFonts w:cs="Arial"/>
        </w:rPr>
        <w:t>at person’s</w:t>
      </w:r>
      <w:r w:rsidRPr="009F63CE">
        <w:rPr>
          <w:rFonts w:cs="Arial"/>
        </w:rPr>
        <w:t xml:space="preserve"> NHI</w:t>
      </w:r>
      <w:r w:rsidR="004F34D8">
        <w:rPr>
          <w:rFonts w:cs="Arial"/>
        </w:rPr>
        <w:t xml:space="preserve"> number</w:t>
      </w:r>
      <w:r w:rsidRPr="009F63CE">
        <w:rPr>
          <w:rFonts w:cs="Arial"/>
        </w:rPr>
        <w:t xml:space="preserve">. </w:t>
      </w:r>
    </w:p>
    <w:p w14:paraId="6857BBD5" w14:textId="5AFCB0AB" w:rsidR="00710022" w:rsidRPr="009F63CE" w:rsidRDefault="00710022" w:rsidP="006469B6">
      <w:pPr>
        <w:ind w:left="360"/>
        <w:rPr>
          <w:rFonts w:cs="Arial"/>
        </w:rPr>
      </w:pPr>
      <w:r w:rsidRPr="009F63CE">
        <w:rPr>
          <w:rFonts w:cs="Arial"/>
        </w:rPr>
        <w:t>This process of matching result</w:t>
      </w:r>
      <w:r w:rsidR="000D4608">
        <w:rPr>
          <w:rFonts w:cs="Arial"/>
        </w:rPr>
        <w:t>ed</w:t>
      </w:r>
      <w:r w:rsidRPr="009F63CE">
        <w:rPr>
          <w:rFonts w:cs="Arial"/>
        </w:rPr>
        <w:t xml:space="preserve"> in a PMMR</w:t>
      </w:r>
      <w:r w:rsidR="00FE0BD1">
        <w:rPr>
          <w:rFonts w:cs="Arial"/>
        </w:rPr>
        <w:t xml:space="preserve"> </w:t>
      </w:r>
      <w:r w:rsidRPr="009F63CE">
        <w:rPr>
          <w:rFonts w:cs="Arial"/>
        </w:rPr>
        <w:t xml:space="preserve">to MAT match of </w:t>
      </w:r>
      <w:r w:rsidR="00E82AA2" w:rsidRPr="00266A58">
        <w:rPr>
          <w:rFonts w:cs="Arial"/>
        </w:rPr>
        <w:t>9</w:t>
      </w:r>
      <w:r w:rsidR="003D6C99">
        <w:rPr>
          <w:rFonts w:cs="Arial"/>
        </w:rPr>
        <w:t>6</w:t>
      </w:r>
      <w:r w:rsidR="004F34D8">
        <w:rPr>
          <w:rFonts w:cs="Arial"/>
        </w:rPr>
        <w:t>%</w:t>
      </w:r>
      <w:r w:rsidR="00C95036" w:rsidRPr="00266A58">
        <w:rPr>
          <w:rFonts w:cs="Arial"/>
        </w:rPr>
        <w:t> </w:t>
      </w:r>
      <w:r w:rsidR="00E82AA2" w:rsidRPr="00266A58">
        <w:rPr>
          <w:rFonts w:cs="Arial"/>
        </w:rPr>
        <w:t xml:space="preserve">for the babies who died and </w:t>
      </w:r>
      <w:r w:rsidR="00266A58" w:rsidRPr="00266A58">
        <w:rPr>
          <w:rFonts w:cs="Arial"/>
        </w:rPr>
        <w:t>99</w:t>
      </w:r>
      <w:r w:rsidR="004F34D8">
        <w:rPr>
          <w:rFonts w:cs="Arial"/>
        </w:rPr>
        <w:t>%</w:t>
      </w:r>
      <w:r w:rsidR="00E82AA2" w:rsidRPr="00266A58">
        <w:rPr>
          <w:rFonts w:cs="Arial"/>
        </w:rPr>
        <w:t xml:space="preserve"> for NE babies</w:t>
      </w:r>
      <w:r w:rsidRPr="00266A58">
        <w:rPr>
          <w:rFonts w:cs="Arial"/>
        </w:rPr>
        <w:t>.</w:t>
      </w:r>
    </w:p>
    <w:p w14:paraId="08CDBABE" w14:textId="77777777" w:rsidR="00672021" w:rsidRPr="009F63CE" w:rsidRDefault="00672021" w:rsidP="00943BE6">
      <w:pPr>
        <w:pStyle w:val="ListParagraph"/>
        <w:numPr>
          <w:ilvl w:val="0"/>
          <w:numId w:val="3"/>
        </w:numPr>
        <w:spacing w:after="60"/>
        <w:ind w:left="357" w:hanging="357"/>
        <w:contextualSpacing w:val="0"/>
        <w:rPr>
          <w:rFonts w:cs="Arial"/>
        </w:rPr>
      </w:pPr>
      <w:r w:rsidRPr="009F63CE">
        <w:rPr>
          <w:rFonts w:cs="Arial"/>
          <w:b/>
        </w:rPr>
        <w:t>Denominator MAT data further cleaning</w:t>
      </w:r>
      <w:r w:rsidRPr="009F63CE">
        <w:rPr>
          <w:rFonts w:cs="Arial"/>
        </w:rPr>
        <w:t xml:space="preserve">: </w:t>
      </w:r>
      <w:r w:rsidR="00BC6AB9" w:rsidRPr="009F63CE">
        <w:rPr>
          <w:rFonts w:cs="Arial"/>
        </w:rPr>
        <w:t>S</w:t>
      </w:r>
      <w:r w:rsidRPr="009F63CE">
        <w:rPr>
          <w:rFonts w:cs="Arial"/>
        </w:rPr>
        <w:t>ome field values in the MAT data were considered extreme</w:t>
      </w:r>
      <w:r w:rsidR="005422A3" w:rsidRPr="009F63CE">
        <w:rPr>
          <w:rFonts w:cs="Arial"/>
        </w:rPr>
        <w:t>,</w:t>
      </w:r>
      <w:r w:rsidRPr="009F63CE">
        <w:rPr>
          <w:rFonts w:cs="Arial"/>
        </w:rPr>
        <w:t xml:space="preserve"> so they were </w:t>
      </w:r>
      <w:r w:rsidR="00D544F3" w:rsidRPr="009F63CE">
        <w:rPr>
          <w:rFonts w:cs="Arial"/>
        </w:rPr>
        <w:t>‘</w:t>
      </w:r>
      <w:r w:rsidRPr="009F63CE">
        <w:rPr>
          <w:rFonts w:cs="Arial"/>
        </w:rPr>
        <w:t>cleaned</w:t>
      </w:r>
      <w:r w:rsidR="00D544F3" w:rsidRPr="009F63CE">
        <w:rPr>
          <w:rFonts w:cs="Arial"/>
        </w:rPr>
        <w:t>’</w:t>
      </w:r>
      <w:r w:rsidRPr="009F63CE">
        <w:rPr>
          <w:rFonts w:cs="Arial"/>
        </w:rPr>
        <w:t xml:space="preserve"> before being used to calculate other fields:</w:t>
      </w:r>
    </w:p>
    <w:p w14:paraId="5781AEC3" w14:textId="77777777" w:rsidR="00672021" w:rsidRPr="009F63CE" w:rsidRDefault="00672021" w:rsidP="00943BE6">
      <w:pPr>
        <w:pStyle w:val="ListParagraph"/>
        <w:numPr>
          <w:ilvl w:val="1"/>
          <w:numId w:val="3"/>
        </w:numPr>
        <w:spacing w:after="60"/>
        <w:contextualSpacing w:val="0"/>
        <w:rPr>
          <w:rFonts w:cs="Arial"/>
        </w:rPr>
      </w:pPr>
      <w:r w:rsidRPr="009F63CE">
        <w:rPr>
          <w:rFonts w:cs="Arial"/>
        </w:rPr>
        <w:t xml:space="preserve">Gestation (at birth): overridden with </w:t>
      </w:r>
      <w:r w:rsidR="009508BF" w:rsidRPr="009F63CE">
        <w:rPr>
          <w:rFonts w:cs="Arial"/>
        </w:rPr>
        <w:t>p</w:t>
      </w:r>
      <w:r w:rsidRPr="009F63CE">
        <w:rPr>
          <w:rFonts w:cs="Arial"/>
        </w:rPr>
        <w:t>erinatal or NE data, if available</w:t>
      </w:r>
    </w:p>
    <w:p w14:paraId="251A6155" w14:textId="46FCFA4F" w:rsidR="00672021" w:rsidRPr="009F63CE" w:rsidRDefault="00672021" w:rsidP="00943BE6">
      <w:pPr>
        <w:pStyle w:val="ListParagraph"/>
        <w:numPr>
          <w:ilvl w:val="1"/>
          <w:numId w:val="3"/>
        </w:numPr>
        <w:spacing w:after="60"/>
        <w:contextualSpacing w:val="0"/>
        <w:rPr>
          <w:rFonts w:cs="Arial"/>
        </w:rPr>
      </w:pPr>
      <w:r w:rsidRPr="009F63CE">
        <w:rPr>
          <w:rFonts w:cs="Arial"/>
        </w:rPr>
        <w:t>Birthweight: if &gt;7</w:t>
      </w:r>
      <w:r w:rsidR="00487EE3">
        <w:rPr>
          <w:rFonts w:cs="Arial"/>
        </w:rPr>
        <w:t>,</w:t>
      </w:r>
      <w:r w:rsidRPr="009F63CE">
        <w:rPr>
          <w:rFonts w:cs="Arial"/>
        </w:rPr>
        <w:t>000</w:t>
      </w:r>
      <w:r w:rsidR="00346213">
        <w:rPr>
          <w:rFonts w:cs="Arial"/>
        </w:rPr>
        <w:t xml:space="preserve"> </w:t>
      </w:r>
      <w:r w:rsidRPr="009F63CE">
        <w:rPr>
          <w:rFonts w:cs="Arial"/>
        </w:rPr>
        <w:t xml:space="preserve">g, set to missing; overridden with </w:t>
      </w:r>
      <w:r w:rsidR="009508BF" w:rsidRPr="009F63CE">
        <w:rPr>
          <w:rFonts w:cs="Arial"/>
        </w:rPr>
        <w:t>p</w:t>
      </w:r>
      <w:r w:rsidRPr="009F63CE">
        <w:rPr>
          <w:rFonts w:cs="Arial"/>
        </w:rPr>
        <w:t>erinatal or NE data, if available</w:t>
      </w:r>
    </w:p>
    <w:p w14:paraId="3F7C7CCA" w14:textId="77777777" w:rsidR="00672021" w:rsidRPr="009F63CE" w:rsidRDefault="00672021" w:rsidP="00943BE6">
      <w:pPr>
        <w:pStyle w:val="ListParagraph"/>
        <w:numPr>
          <w:ilvl w:val="1"/>
          <w:numId w:val="3"/>
        </w:numPr>
        <w:spacing w:after="60"/>
        <w:contextualSpacing w:val="0"/>
        <w:rPr>
          <w:rFonts w:cs="Arial"/>
        </w:rPr>
      </w:pPr>
      <w:r w:rsidRPr="009F63CE">
        <w:rPr>
          <w:rFonts w:cs="Arial"/>
        </w:rPr>
        <w:t xml:space="preserve">Parity: overridden with </w:t>
      </w:r>
      <w:r w:rsidR="009508BF" w:rsidRPr="009F63CE">
        <w:rPr>
          <w:rFonts w:cs="Arial"/>
        </w:rPr>
        <w:t>p</w:t>
      </w:r>
      <w:r w:rsidRPr="009F63CE">
        <w:rPr>
          <w:rFonts w:cs="Arial"/>
        </w:rPr>
        <w:t>erinatal or NE data, if available</w:t>
      </w:r>
    </w:p>
    <w:p w14:paraId="25CC2AC6" w14:textId="77777777" w:rsidR="00672021" w:rsidRPr="009F63CE" w:rsidRDefault="00672021" w:rsidP="00943BE6">
      <w:pPr>
        <w:pStyle w:val="ListParagraph"/>
        <w:numPr>
          <w:ilvl w:val="1"/>
          <w:numId w:val="3"/>
        </w:numPr>
        <w:spacing w:after="60"/>
        <w:contextualSpacing w:val="0"/>
        <w:rPr>
          <w:rFonts w:cs="Arial"/>
        </w:rPr>
      </w:pPr>
      <w:r w:rsidRPr="009F63CE">
        <w:rPr>
          <w:rFonts w:cs="Arial"/>
        </w:rPr>
        <w:t>Plurality (</w:t>
      </w:r>
      <w:r w:rsidR="009508BF" w:rsidRPr="009F63CE">
        <w:rPr>
          <w:rFonts w:cs="Arial"/>
        </w:rPr>
        <w:t>s</w:t>
      </w:r>
      <w:r w:rsidRPr="009F63CE">
        <w:rPr>
          <w:rFonts w:cs="Arial"/>
        </w:rPr>
        <w:t xml:space="preserve">ingleton, </w:t>
      </w:r>
      <w:r w:rsidR="009508BF" w:rsidRPr="009F63CE">
        <w:rPr>
          <w:rFonts w:cs="Arial"/>
        </w:rPr>
        <w:t>t</w:t>
      </w:r>
      <w:r w:rsidRPr="009F63CE">
        <w:rPr>
          <w:rFonts w:cs="Arial"/>
        </w:rPr>
        <w:t xml:space="preserve">win, </w:t>
      </w:r>
      <w:r w:rsidR="009508BF" w:rsidRPr="009F63CE">
        <w:rPr>
          <w:rFonts w:cs="Arial"/>
        </w:rPr>
        <w:t>m</w:t>
      </w:r>
      <w:r w:rsidRPr="009F63CE">
        <w:rPr>
          <w:rFonts w:cs="Arial"/>
        </w:rPr>
        <w:t xml:space="preserve">ultiple, </w:t>
      </w:r>
      <w:r w:rsidR="009508BF" w:rsidRPr="009F63CE">
        <w:rPr>
          <w:rFonts w:cs="Arial"/>
        </w:rPr>
        <w:t>u</w:t>
      </w:r>
      <w:r w:rsidRPr="009F63CE">
        <w:rPr>
          <w:rFonts w:cs="Arial"/>
        </w:rPr>
        <w:t xml:space="preserve">nknown): overridden with </w:t>
      </w:r>
      <w:r w:rsidR="009508BF" w:rsidRPr="009F63CE">
        <w:rPr>
          <w:rFonts w:cs="Arial"/>
        </w:rPr>
        <w:t>p</w:t>
      </w:r>
      <w:r w:rsidRPr="009F63CE">
        <w:rPr>
          <w:rFonts w:cs="Arial"/>
        </w:rPr>
        <w:t>erinatal or NE data, if available</w:t>
      </w:r>
    </w:p>
    <w:p w14:paraId="2491BC28" w14:textId="77777777" w:rsidR="00672021" w:rsidRPr="009F63CE" w:rsidRDefault="00672021" w:rsidP="00943BE6">
      <w:pPr>
        <w:pStyle w:val="ListParagraph"/>
        <w:numPr>
          <w:ilvl w:val="1"/>
          <w:numId w:val="3"/>
        </w:numPr>
        <w:spacing w:after="60"/>
        <w:contextualSpacing w:val="0"/>
        <w:rPr>
          <w:rFonts w:cs="Arial"/>
        </w:rPr>
      </w:pPr>
      <w:r w:rsidRPr="009F63CE">
        <w:rPr>
          <w:rFonts w:cs="Arial"/>
        </w:rPr>
        <w:t xml:space="preserve">Baby sex: overridden with </w:t>
      </w:r>
      <w:r w:rsidR="009508BF" w:rsidRPr="009F63CE">
        <w:rPr>
          <w:rFonts w:cs="Arial"/>
        </w:rPr>
        <w:t>p</w:t>
      </w:r>
      <w:r w:rsidRPr="009F63CE">
        <w:rPr>
          <w:rFonts w:cs="Arial"/>
        </w:rPr>
        <w:t>erinatal or NE data, if available</w:t>
      </w:r>
    </w:p>
    <w:p w14:paraId="05EC164A" w14:textId="7020FC6F" w:rsidR="00672021" w:rsidRPr="009F63CE" w:rsidRDefault="0001187D" w:rsidP="00943BE6">
      <w:pPr>
        <w:pStyle w:val="ListParagraph"/>
        <w:numPr>
          <w:ilvl w:val="1"/>
          <w:numId w:val="3"/>
        </w:numPr>
        <w:spacing w:after="60"/>
        <w:contextualSpacing w:val="0"/>
        <w:rPr>
          <w:rFonts w:cs="Arial"/>
        </w:rPr>
      </w:pPr>
      <w:r>
        <w:rPr>
          <w:rFonts w:cs="Arial"/>
        </w:rPr>
        <w:t>Age of the woman</w:t>
      </w:r>
      <w:r w:rsidR="00A30CA1">
        <w:rPr>
          <w:rFonts w:cs="Arial"/>
        </w:rPr>
        <w:t>/</w:t>
      </w:r>
      <w:r>
        <w:rPr>
          <w:rFonts w:cs="Arial"/>
        </w:rPr>
        <w:t>b</w:t>
      </w:r>
      <w:r w:rsidR="005035DA">
        <w:rPr>
          <w:rFonts w:cs="Arial"/>
        </w:rPr>
        <w:t>irthing person</w:t>
      </w:r>
      <w:r w:rsidR="005035DA" w:rsidRPr="009F63CE">
        <w:rPr>
          <w:rFonts w:cs="Arial"/>
        </w:rPr>
        <w:t xml:space="preserve"> </w:t>
      </w:r>
      <w:r w:rsidR="00672021" w:rsidRPr="009F63CE">
        <w:rPr>
          <w:rFonts w:cs="Arial"/>
        </w:rPr>
        <w:t xml:space="preserve">at baby date of birth: calculated from </w:t>
      </w:r>
      <w:r>
        <w:rPr>
          <w:rFonts w:cs="Arial"/>
        </w:rPr>
        <w:t>woman</w:t>
      </w:r>
      <w:r w:rsidR="00A30CA1">
        <w:rPr>
          <w:rFonts w:cs="Arial"/>
        </w:rPr>
        <w:t>/</w:t>
      </w:r>
      <w:r w:rsidR="005035DA">
        <w:rPr>
          <w:rFonts w:cs="Arial"/>
        </w:rPr>
        <w:t>birthing person</w:t>
      </w:r>
      <w:r w:rsidR="005035DA" w:rsidRPr="009F63CE">
        <w:rPr>
          <w:rFonts w:cs="Arial"/>
        </w:rPr>
        <w:t xml:space="preserve"> </w:t>
      </w:r>
      <w:r w:rsidR="00672021" w:rsidRPr="009F63CE">
        <w:rPr>
          <w:rFonts w:cs="Arial"/>
        </w:rPr>
        <w:t>date of birth and baby date of birth (or date of delivery, if birth data not available)</w:t>
      </w:r>
      <w:r w:rsidR="00BC6AB9" w:rsidRPr="009F63CE">
        <w:rPr>
          <w:rFonts w:cs="Arial"/>
        </w:rPr>
        <w:t>;</w:t>
      </w:r>
      <w:r w:rsidR="00672021" w:rsidRPr="009F63CE">
        <w:rPr>
          <w:rFonts w:cs="Arial"/>
        </w:rPr>
        <w:t xml:space="preserve"> if </w:t>
      </w:r>
      <w:r w:rsidR="005035DA">
        <w:rPr>
          <w:rFonts w:cs="Arial"/>
        </w:rPr>
        <w:t xml:space="preserve">the </w:t>
      </w:r>
      <w:r>
        <w:rPr>
          <w:rFonts w:cs="Arial"/>
        </w:rPr>
        <w:t>woman</w:t>
      </w:r>
      <w:r w:rsidR="00A30CA1">
        <w:rPr>
          <w:rFonts w:cs="Arial"/>
        </w:rPr>
        <w:t>/</w:t>
      </w:r>
      <w:r w:rsidR="005035DA">
        <w:rPr>
          <w:rFonts w:cs="Arial"/>
        </w:rPr>
        <w:t>birthing person</w:t>
      </w:r>
      <w:r>
        <w:rPr>
          <w:rFonts w:cs="Arial"/>
        </w:rPr>
        <w:t>’s</w:t>
      </w:r>
      <w:r w:rsidR="005035DA" w:rsidRPr="009F63CE">
        <w:rPr>
          <w:rFonts w:cs="Arial"/>
        </w:rPr>
        <w:t xml:space="preserve"> </w:t>
      </w:r>
      <w:r w:rsidR="00672021" w:rsidRPr="009F63CE">
        <w:rPr>
          <w:rFonts w:cs="Arial"/>
        </w:rPr>
        <w:t>age was &lt;12 years or &gt;60 years, set to missing</w:t>
      </w:r>
      <w:r w:rsidR="00BC6AB9" w:rsidRPr="009F63CE">
        <w:rPr>
          <w:rFonts w:cs="Arial"/>
        </w:rPr>
        <w:t>.</w:t>
      </w:r>
    </w:p>
    <w:p w14:paraId="4D1FBA7F" w14:textId="77777777" w:rsidR="00672021" w:rsidRPr="009F63CE" w:rsidRDefault="00672021" w:rsidP="00943BE6">
      <w:pPr>
        <w:pStyle w:val="ListParagraph"/>
        <w:numPr>
          <w:ilvl w:val="0"/>
          <w:numId w:val="3"/>
        </w:numPr>
        <w:spacing w:after="60"/>
        <w:ind w:left="357" w:hanging="357"/>
        <w:contextualSpacing w:val="0"/>
        <w:rPr>
          <w:rFonts w:cs="Arial"/>
        </w:rPr>
      </w:pPr>
      <w:r w:rsidRPr="009F63CE">
        <w:rPr>
          <w:rFonts w:cs="Arial"/>
          <w:b/>
        </w:rPr>
        <w:t>Denominator MAT data further exclusions</w:t>
      </w:r>
      <w:r w:rsidRPr="009F63CE">
        <w:rPr>
          <w:rFonts w:cs="Arial"/>
        </w:rPr>
        <w:t>: the MAT</w:t>
      </w:r>
      <w:r w:rsidR="00BC67EF" w:rsidRPr="009F63CE">
        <w:rPr>
          <w:rFonts w:cs="Arial"/>
        </w:rPr>
        <w:t xml:space="preserve"> </w:t>
      </w:r>
      <w:r w:rsidR="009F63CE" w:rsidRPr="009F63CE">
        <w:rPr>
          <w:rFonts w:cs="Arial"/>
        </w:rPr>
        <w:t>data set</w:t>
      </w:r>
      <w:r w:rsidRPr="009F63CE">
        <w:rPr>
          <w:rFonts w:cs="Arial"/>
        </w:rPr>
        <w:t xml:space="preserve"> was further checked to make sure all cases were compatible with the numerator, using the </w:t>
      </w:r>
      <w:r w:rsidR="00D544F3" w:rsidRPr="009F63CE">
        <w:rPr>
          <w:rFonts w:cs="Arial"/>
        </w:rPr>
        <w:t>‘</w:t>
      </w:r>
      <w:r w:rsidRPr="009F63CE">
        <w:rPr>
          <w:rFonts w:cs="Arial"/>
        </w:rPr>
        <w:t>cleaned</w:t>
      </w:r>
      <w:r w:rsidR="00D544F3" w:rsidRPr="009F63CE">
        <w:rPr>
          <w:rFonts w:cs="Arial"/>
        </w:rPr>
        <w:t>’</w:t>
      </w:r>
      <w:r w:rsidRPr="009F63CE">
        <w:rPr>
          <w:rFonts w:cs="Arial"/>
        </w:rPr>
        <w:t xml:space="preserve"> gestation and birthweight.</w:t>
      </w:r>
    </w:p>
    <w:p w14:paraId="55427B05" w14:textId="77777777" w:rsidR="00672021" w:rsidRPr="009F63CE" w:rsidRDefault="00672021" w:rsidP="00943BE6">
      <w:pPr>
        <w:pStyle w:val="ListParagraph"/>
        <w:numPr>
          <w:ilvl w:val="1"/>
          <w:numId w:val="3"/>
        </w:numPr>
        <w:spacing w:after="60"/>
        <w:contextualSpacing w:val="0"/>
        <w:rPr>
          <w:rFonts w:cs="Arial"/>
        </w:rPr>
      </w:pPr>
      <w:r w:rsidRPr="009F63CE">
        <w:rPr>
          <w:rFonts w:cs="Arial"/>
        </w:rPr>
        <w:t>The following cases were excluded:</w:t>
      </w:r>
    </w:p>
    <w:p w14:paraId="72764355" w14:textId="476D2268" w:rsidR="00672021" w:rsidRPr="009F63CE" w:rsidRDefault="00B76897" w:rsidP="00943BE6">
      <w:pPr>
        <w:pStyle w:val="ListParagraph"/>
        <w:numPr>
          <w:ilvl w:val="2"/>
          <w:numId w:val="3"/>
        </w:numPr>
        <w:spacing w:after="60"/>
        <w:contextualSpacing w:val="0"/>
        <w:rPr>
          <w:rFonts w:cs="Arial"/>
        </w:rPr>
      </w:pPr>
      <w:r w:rsidRPr="009F63CE">
        <w:rPr>
          <w:rFonts w:cs="Arial"/>
        </w:rPr>
        <w:t>g</w:t>
      </w:r>
      <w:r w:rsidR="00672021" w:rsidRPr="009F63CE">
        <w:rPr>
          <w:rFonts w:cs="Arial"/>
        </w:rPr>
        <w:t>estation &lt;20 weeks and birthweight &lt;400</w:t>
      </w:r>
      <w:r w:rsidR="000D1394">
        <w:rPr>
          <w:rFonts w:cs="Arial"/>
        </w:rPr>
        <w:t xml:space="preserve"> </w:t>
      </w:r>
      <w:r w:rsidR="00672021" w:rsidRPr="009F63CE">
        <w:rPr>
          <w:rFonts w:cs="Arial"/>
        </w:rPr>
        <w:t>g</w:t>
      </w:r>
    </w:p>
    <w:p w14:paraId="3E020FE3" w14:textId="77777777" w:rsidR="00672021" w:rsidRPr="009F63CE" w:rsidRDefault="00B76897" w:rsidP="00943BE6">
      <w:pPr>
        <w:pStyle w:val="ListParagraph"/>
        <w:numPr>
          <w:ilvl w:val="2"/>
          <w:numId w:val="3"/>
        </w:numPr>
        <w:spacing w:after="60"/>
        <w:contextualSpacing w:val="0"/>
        <w:rPr>
          <w:rFonts w:cs="Arial"/>
        </w:rPr>
      </w:pPr>
      <w:r w:rsidRPr="009F63CE">
        <w:rPr>
          <w:rFonts w:cs="Arial"/>
        </w:rPr>
        <w:t>g</w:t>
      </w:r>
      <w:r w:rsidR="00672021" w:rsidRPr="009F63CE">
        <w:rPr>
          <w:rFonts w:cs="Arial"/>
        </w:rPr>
        <w:t>estation &lt;20 weeks and birthweight missing</w:t>
      </w:r>
    </w:p>
    <w:p w14:paraId="7028429E" w14:textId="33C21328" w:rsidR="00672021" w:rsidRPr="009F63CE" w:rsidRDefault="00B76897" w:rsidP="00943BE6">
      <w:pPr>
        <w:pStyle w:val="ListParagraph"/>
        <w:numPr>
          <w:ilvl w:val="2"/>
          <w:numId w:val="3"/>
        </w:numPr>
        <w:spacing w:after="60"/>
        <w:contextualSpacing w:val="0"/>
        <w:rPr>
          <w:rFonts w:cs="Arial"/>
        </w:rPr>
      </w:pPr>
      <w:r w:rsidRPr="009F63CE">
        <w:rPr>
          <w:rFonts w:cs="Arial"/>
        </w:rPr>
        <w:t>g</w:t>
      </w:r>
      <w:r w:rsidR="00672021" w:rsidRPr="009F63CE">
        <w:rPr>
          <w:rFonts w:cs="Arial"/>
        </w:rPr>
        <w:t>estation missing and birthweight &lt;400</w:t>
      </w:r>
      <w:r w:rsidR="000D1394">
        <w:rPr>
          <w:rFonts w:cs="Arial"/>
        </w:rPr>
        <w:t xml:space="preserve"> </w:t>
      </w:r>
      <w:r w:rsidR="00672021" w:rsidRPr="009F63CE">
        <w:rPr>
          <w:rFonts w:cs="Arial"/>
        </w:rPr>
        <w:t>g</w:t>
      </w:r>
    </w:p>
    <w:p w14:paraId="5390885B" w14:textId="68EC50EC" w:rsidR="00672021" w:rsidRPr="009F63CE" w:rsidRDefault="00B76897" w:rsidP="00943BE6">
      <w:pPr>
        <w:pStyle w:val="ListParagraph"/>
        <w:numPr>
          <w:ilvl w:val="2"/>
          <w:numId w:val="3"/>
        </w:numPr>
        <w:spacing w:after="60"/>
        <w:contextualSpacing w:val="0"/>
        <w:rPr>
          <w:rFonts w:cs="Arial"/>
        </w:rPr>
      </w:pPr>
      <w:r w:rsidRPr="009F63CE">
        <w:rPr>
          <w:rFonts w:cs="Arial"/>
        </w:rPr>
        <w:t>g</w:t>
      </w:r>
      <w:r w:rsidR="00672021" w:rsidRPr="009F63CE">
        <w:rPr>
          <w:rFonts w:cs="Arial"/>
        </w:rPr>
        <w:t>estation &gt;43 weeks and birthweight &lt;400</w:t>
      </w:r>
      <w:r w:rsidR="000D1394">
        <w:rPr>
          <w:rFonts w:cs="Arial"/>
        </w:rPr>
        <w:t xml:space="preserve"> </w:t>
      </w:r>
      <w:r w:rsidR="00672021" w:rsidRPr="009F63CE">
        <w:rPr>
          <w:rFonts w:cs="Arial"/>
        </w:rPr>
        <w:t>g</w:t>
      </w:r>
      <w:r w:rsidR="00487EE3">
        <w:rPr>
          <w:rFonts w:cs="Arial"/>
        </w:rPr>
        <w:t>.</w:t>
      </w:r>
    </w:p>
    <w:p w14:paraId="6ACBE6B2" w14:textId="77777777" w:rsidR="00672021" w:rsidRPr="009F63CE" w:rsidRDefault="00672021" w:rsidP="00943BE6">
      <w:pPr>
        <w:pStyle w:val="ListParagraph"/>
        <w:numPr>
          <w:ilvl w:val="1"/>
          <w:numId w:val="3"/>
        </w:numPr>
        <w:spacing w:after="60"/>
        <w:contextualSpacing w:val="0"/>
        <w:rPr>
          <w:rFonts w:cs="Arial"/>
        </w:rPr>
      </w:pPr>
      <w:r w:rsidRPr="009F63CE">
        <w:rPr>
          <w:rFonts w:cs="Arial"/>
        </w:rPr>
        <w:t>The following cases were included:</w:t>
      </w:r>
    </w:p>
    <w:p w14:paraId="2B5E1A20" w14:textId="398F5E9C" w:rsidR="00672021" w:rsidRPr="009F63CE" w:rsidRDefault="00B76897" w:rsidP="00943BE6">
      <w:pPr>
        <w:pStyle w:val="ListParagraph"/>
        <w:numPr>
          <w:ilvl w:val="2"/>
          <w:numId w:val="3"/>
        </w:numPr>
        <w:spacing w:after="60"/>
        <w:contextualSpacing w:val="0"/>
        <w:rPr>
          <w:rFonts w:cs="Arial"/>
        </w:rPr>
      </w:pPr>
      <w:r w:rsidRPr="009F63CE">
        <w:rPr>
          <w:rFonts w:cs="Arial"/>
        </w:rPr>
        <w:t>g</w:t>
      </w:r>
      <w:r w:rsidR="00672021" w:rsidRPr="009F63CE">
        <w:rPr>
          <w:rFonts w:cs="Arial"/>
        </w:rPr>
        <w:t xml:space="preserve">estation &lt;20 weeks and birthweight </w:t>
      </w:r>
      <w:r w:rsidR="00F81938" w:rsidRPr="009F63CE">
        <w:rPr>
          <w:rFonts w:cs="Arial"/>
        </w:rPr>
        <w:t>≥</w:t>
      </w:r>
      <w:r w:rsidR="00672021" w:rsidRPr="009F63CE">
        <w:rPr>
          <w:rFonts w:cs="Arial"/>
        </w:rPr>
        <w:t>400</w:t>
      </w:r>
      <w:r w:rsidR="000D1394">
        <w:rPr>
          <w:rFonts w:cs="Arial"/>
        </w:rPr>
        <w:t xml:space="preserve"> </w:t>
      </w:r>
      <w:r w:rsidR="00672021" w:rsidRPr="009F63CE">
        <w:rPr>
          <w:rFonts w:cs="Arial"/>
        </w:rPr>
        <w:t xml:space="preserve">g </w:t>
      </w:r>
      <w:r w:rsidRPr="009F63CE">
        <w:rPr>
          <w:rFonts w:cs="Arial"/>
        </w:rPr>
        <w:t>(</w:t>
      </w:r>
      <w:r w:rsidR="00672021" w:rsidRPr="009F63CE">
        <w:rPr>
          <w:rFonts w:cs="Arial"/>
        </w:rPr>
        <w:t>the case was included but gestation was set to missing</w:t>
      </w:r>
      <w:r w:rsidRPr="009F63CE">
        <w:rPr>
          <w:rFonts w:cs="Arial"/>
        </w:rPr>
        <w:t>)</w:t>
      </w:r>
    </w:p>
    <w:p w14:paraId="541D00FC" w14:textId="36EF7F28" w:rsidR="00672021" w:rsidRPr="009F63CE" w:rsidRDefault="00B76897" w:rsidP="00943BE6">
      <w:pPr>
        <w:pStyle w:val="ListParagraph"/>
        <w:numPr>
          <w:ilvl w:val="2"/>
          <w:numId w:val="3"/>
        </w:numPr>
        <w:spacing w:after="60"/>
        <w:contextualSpacing w:val="0"/>
        <w:rPr>
          <w:rFonts w:cs="Arial"/>
        </w:rPr>
      </w:pPr>
      <w:r w:rsidRPr="009F63CE">
        <w:rPr>
          <w:rFonts w:cs="Arial"/>
        </w:rPr>
        <w:t>g</w:t>
      </w:r>
      <w:r w:rsidR="00672021" w:rsidRPr="009F63CE">
        <w:rPr>
          <w:rFonts w:cs="Arial"/>
        </w:rPr>
        <w:t xml:space="preserve">estation missing and birthweight </w:t>
      </w:r>
      <w:r w:rsidR="00F81938" w:rsidRPr="009F63CE">
        <w:rPr>
          <w:rFonts w:cs="Arial"/>
        </w:rPr>
        <w:t>≥</w:t>
      </w:r>
      <w:r w:rsidR="00672021" w:rsidRPr="009F63CE">
        <w:rPr>
          <w:rFonts w:cs="Arial"/>
        </w:rPr>
        <w:t>400</w:t>
      </w:r>
      <w:r w:rsidR="000D1394">
        <w:rPr>
          <w:rFonts w:cs="Arial"/>
        </w:rPr>
        <w:t xml:space="preserve"> </w:t>
      </w:r>
      <w:r w:rsidR="00672021" w:rsidRPr="009F63CE">
        <w:rPr>
          <w:rFonts w:cs="Arial"/>
        </w:rPr>
        <w:t>g</w:t>
      </w:r>
    </w:p>
    <w:p w14:paraId="77BBA8B2" w14:textId="3C34B8A9" w:rsidR="00672021" w:rsidRPr="009F63CE" w:rsidRDefault="00B76897" w:rsidP="00943BE6">
      <w:pPr>
        <w:pStyle w:val="ListParagraph"/>
        <w:numPr>
          <w:ilvl w:val="2"/>
          <w:numId w:val="3"/>
        </w:numPr>
        <w:spacing w:after="60"/>
        <w:contextualSpacing w:val="0"/>
        <w:rPr>
          <w:rFonts w:cs="Arial"/>
        </w:rPr>
      </w:pPr>
      <w:r w:rsidRPr="009F63CE">
        <w:rPr>
          <w:rFonts w:cs="Arial"/>
        </w:rPr>
        <w:t>b</w:t>
      </w:r>
      <w:r w:rsidR="00672021" w:rsidRPr="009F63CE">
        <w:rPr>
          <w:rFonts w:cs="Arial"/>
        </w:rPr>
        <w:t>oth gestation and birthweight missing</w:t>
      </w:r>
    </w:p>
    <w:p w14:paraId="7543BD1B" w14:textId="4D9CFECA" w:rsidR="00672021" w:rsidRPr="009F63CE" w:rsidRDefault="00B76897" w:rsidP="00943BE6">
      <w:pPr>
        <w:pStyle w:val="ListParagraph"/>
        <w:numPr>
          <w:ilvl w:val="2"/>
          <w:numId w:val="3"/>
        </w:numPr>
        <w:spacing w:after="60"/>
        <w:contextualSpacing w:val="0"/>
        <w:rPr>
          <w:rFonts w:cs="Arial"/>
        </w:rPr>
      </w:pPr>
      <w:r w:rsidRPr="009F63CE">
        <w:rPr>
          <w:rFonts w:cs="Arial"/>
        </w:rPr>
        <w:t>g</w:t>
      </w:r>
      <w:r w:rsidR="00672021" w:rsidRPr="009F63CE">
        <w:rPr>
          <w:rFonts w:cs="Arial"/>
        </w:rPr>
        <w:t xml:space="preserve">estation &gt;43 weeks and birthweight </w:t>
      </w:r>
      <w:r w:rsidR="00F81938" w:rsidRPr="009F63CE">
        <w:rPr>
          <w:rFonts w:cs="Arial"/>
        </w:rPr>
        <w:t>≥</w:t>
      </w:r>
      <w:r w:rsidR="00672021" w:rsidRPr="009F63CE">
        <w:rPr>
          <w:rFonts w:cs="Arial"/>
        </w:rPr>
        <w:t>400</w:t>
      </w:r>
      <w:r w:rsidR="000D1394">
        <w:rPr>
          <w:rFonts w:cs="Arial"/>
        </w:rPr>
        <w:t xml:space="preserve"> </w:t>
      </w:r>
      <w:r w:rsidR="00672021" w:rsidRPr="009F63CE">
        <w:rPr>
          <w:rFonts w:cs="Arial"/>
        </w:rPr>
        <w:t xml:space="preserve">g </w:t>
      </w:r>
      <w:r w:rsidRPr="009F63CE">
        <w:rPr>
          <w:rFonts w:cs="Arial"/>
        </w:rPr>
        <w:t>(</w:t>
      </w:r>
      <w:r w:rsidR="00672021" w:rsidRPr="009F63CE">
        <w:rPr>
          <w:rFonts w:cs="Arial"/>
        </w:rPr>
        <w:t>the case is included but gestation set to missing</w:t>
      </w:r>
      <w:r w:rsidRPr="009F63CE">
        <w:rPr>
          <w:rFonts w:cs="Arial"/>
        </w:rPr>
        <w:t>)</w:t>
      </w:r>
    </w:p>
    <w:p w14:paraId="42BAAC2B" w14:textId="1AE76B98" w:rsidR="00672021" w:rsidRPr="009F63CE" w:rsidRDefault="00B76897" w:rsidP="00943BE6">
      <w:pPr>
        <w:pStyle w:val="ListParagraph"/>
        <w:numPr>
          <w:ilvl w:val="2"/>
          <w:numId w:val="3"/>
        </w:numPr>
        <w:spacing w:after="60"/>
        <w:ind w:left="1077" w:hanging="357"/>
        <w:contextualSpacing w:val="0"/>
        <w:rPr>
          <w:rFonts w:cs="Arial"/>
        </w:rPr>
      </w:pPr>
      <w:r w:rsidRPr="009F63CE">
        <w:rPr>
          <w:rFonts w:cs="Arial"/>
        </w:rPr>
        <w:t>g</w:t>
      </w:r>
      <w:r w:rsidR="00672021" w:rsidRPr="009F63CE">
        <w:rPr>
          <w:rFonts w:cs="Arial"/>
        </w:rPr>
        <w:t xml:space="preserve">estation &gt;43 weeks and birthweight missing </w:t>
      </w:r>
      <w:r w:rsidRPr="009F63CE">
        <w:rPr>
          <w:rFonts w:cs="Arial"/>
        </w:rPr>
        <w:t>(</w:t>
      </w:r>
      <w:r w:rsidR="00672021" w:rsidRPr="009F63CE">
        <w:rPr>
          <w:rFonts w:cs="Arial"/>
        </w:rPr>
        <w:t>the case is included but gestation set to missing</w:t>
      </w:r>
      <w:r w:rsidRPr="009F63CE">
        <w:rPr>
          <w:rFonts w:cs="Arial"/>
        </w:rPr>
        <w:t>)</w:t>
      </w:r>
      <w:r w:rsidR="00672021" w:rsidRPr="009F63CE">
        <w:rPr>
          <w:rFonts w:cs="Arial"/>
        </w:rPr>
        <w:t>.</w:t>
      </w:r>
    </w:p>
    <w:p w14:paraId="0E6BD51A" w14:textId="52F3E6D2" w:rsidR="00672021" w:rsidRDefault="00672021" w:rsidP="00526787">
      <w:pPr>
        <w:pStyle w:val="TeThHauorabodytext"/>
      </w:pPr>
      <w:r w:rsidRPr="009F63CE">
        <w:lastRenderedPageBreak/>
        <w:t xml:space="preserve">In the </w:t>
      </w:r>
      <w:r w:rsidR="003B6FAC">
        <w:t>appended data up to 20</w:t>
      </w:r>
      <w:r w:rsidR="00E539D1">
        <w:t>21</w:t>
      </w:r>
      <w:r w:rsidR="00AF4B42">
        <w:t xml:space="preserve">, </w:t>
      </w:r>
      <w:r w:rsidR="00E539D1">
        <w:t>114</w:t>
      </w:r>
      <w:r w:rsidRPr="009F63CE">
        <w:t xml:space="preserve"> cases were excluded</w:t>
      </w:r>
      <w:r w:rsidR="00D64709">
        <w:t>,</w:t>
      </w:r>
      <w:r w:rsidRPr="009F63CE">
        <w:t xml:space="preserve"> and </w:t>
      </w:r>
      <w:r w:rsidR="00E539D1">
        <w:t>1</w:t>
      </w:r>
      <w:r w:rsidR="00793CC3">
        <w:t>,</w:t>
      </w:r>
      <w:r w:rsidR="00E539D1">
        <w:t>026</w:t>
      </w:r>
      <w:r w:rsidRPr="009F63CE">
        <w:t xml:space="preserve"> cases had gestation set to </w:t>
      </w:r>
      <w:r w:rsidRPr="00E539D1">
        <w:t>missing.</w:t>
      </w:r>
      <w:r w:rsidR="00AF4B42" w:rsidRPr="00E539D1">
        <w:t xml:space="preserve"> </w:t>
      </w:r>
      <w:r w:rsidRPr="00E539D1">
        <w:t>No cases</w:t>
      </w:r>
      <w:r w:rsidRPr="009F63CE">
        <w:t xml:space="preserve"> with linked mortalities and morbidities (PMMR</w:t>
      </w:r>
      <w:r w:rsidR="0050349F" w:rsidRPr="009F63CE">
        <w:t xml:space="preserve"> </w:t>
      </w:r>
      <w:r w:rsidR="009F63CE" w:rsidRPr="009F63CE">
        <w:t>data set</w:t>
      </w:r>
      <w:r w:rsidRPr="009F63CE">
        <w:t>) were eliminated.</w:t>
      </w:r>
    </w:p>
    <w:p w14:paraId="59DAF400" w14:textId="77777777" w:rsidR="00710022" w:rsidRPr="009F63CE" w:rsidRDefault="00710022" w:rsidP="001A5150">
      <w:pPr>
        <w:pStyle w:val="TeThHauorahead3"/>
      </w:pPr>
      <w:r w:rsidRPr="009F63CE">
        <w:t xml:space="preserve">Specific limitations to the use of the MAT </w:t>
      </w:r>
      <w:r w:rsidR="009F63CE" w:rsidRPr="009F63CE">
        <w:t>data set</w:t>
      </w:r>
    </w:p>
    <w:p w14:paraId="3FCF8EA0" w14:textId="2C836E9D" w:rsidR="00710022" w:rsidRPr="009F63CE" w:rsidRDefault="00710022" w:rsidP="00943BE6">
      <w:pPr>
        <w:pStyle w:val="ListParagraph"/>
        <w:numPr>
          <w:ilvl w:val="0"/>
          <w:numId w:val="16"/>
        </w:numPr>
        <w:spacing w:after="60"/>
        <w:ind w:hanging="357"/>
        <w:contextualSpacing w:val="0"/>
        <w:rPr>
          <w:rFonts w:cs="Arial"/>
        </w:rPr>
      </w:pPr>
      <w:r w:rsidRPr="009F63CE">
        <w:rPr>
          <w:rFonts w:cs="Arial"/>
        </w:rPr>
        <w:t>Deaths are included in the numerator</w:t>
      </w:r>
      <w:r w:rsidR="00BC67EF" w:rsidRPr="009F63CE">
        <w:rPr>
          <w:rFonts w:cs="Arial"/>
        </w:rPr>
        <w:t xml:space="preserve"> </w:t>
      </w:r>
      <w:r w:rsidR="009F63CE" w:rsidRPr="009F63CE">
        <w:rPr>
          <w:rFonts w:cs="Arial"/>
        </w:rPr>
        <w:t>data set</w:t>
      </w:r>
      <w:r w:rsidRPr="009F63CE">
        <w:rPr>
          <w:rFonts w:cs="Arial"/>
        </w:rPr>
        <w:t xml:space="preserve"> based on their year of death (as previously), but births are included in the MAT denominator </w:t>
      </w:r>
      <w:r w:rsidR="009F63CE" w:rsidRPr="009F63CE">
        <w:rPr>
          <w:rFonts w:cs="Arial"/>
        </w:rPr>
        <w:t>data set</w:t>
      </w:r>
      <w:r w:rsidR="00F81938" w:rsidRPr="009F63CE">
        <w:rPr>
          <w:rFonts w:cs="Arial"/>
        </w:rPr>
        <w:t xml:space="preserve"> </w:t>
      </w:r>
      <w:r w:rsidRPr="009F63CE">
        <w:rPr>
          <w:rFonts w:cs="Arial"/>
        </w:rPr>
        <w:t xml:space="preserve">according to their year of birth. Some babies are born in one year and die in the next, creating a numerator–denominator mismatch. For the purposes of these analyses, deaths will remain in the year of their death (to be comparable </w:t>
      </w:r>
      <w:r w:rsidR="00793CC3">
        <w:rPr>
          <w:rFonts w:cs="Arial"/>
        </w:rPr>
        <w:t>with</w:t>
      </w:r>
      <w:r w:rsidR="00793CC3" w:rsidRPr="009F63CE">
        <w:rPr>
          <w:rFonts w:cs="Arial"/>
        </w:rPr>
        <w:t xml:space="preserve"> </w:t>
      </w:r>
      <w:r w:rsidRPr="009F63CE">
        <w:rPr>
          <w:rFonts w:cs="Arial"/>
        </w:rPr>
        <w:t>previous years).</w:t>
      </w:r>
    </w:p>
    <w:p w14:paraId="6EFF85BF" w14:textId="138238D4" w:rsidR="00B8478A" w:rsidRPr="009F63CE" w:rsidRDefault="00793CC3" w:rsidP="00943BE6">
      <w:pPr>
        <w:pStyle w:val="ListParagraph"/>
        <w:numPr>
          <w:ilvl w:val="0"/>
          <w:numId w:val="16"/>
        </w:numPr>
        <w:spacing w:after="60"/>
        <w:ind w:hanging="357"/>
        <w:contextualSpacing w:val="0"/>
        <w:rPr>
          <w:rFonts w:cs="Arial"/>
        </w:rPr>
      </w:pPr>
      <w:r>
        <w:rPr>
          <w:rFonts w:cs="Arial"/>
        </w:rPr>
        <w:t xml:space="preserve">Health New Zealand </w:t>
      </w:r>
      <w:r w:rsidR="002D5A7E">
        <w:rPr>
          <w:rFonts w:cs="Arial"/>
        </w:rPr>
        <w:t xml:space="preserve">advised that </w:t>
      </w:r>
      <w:r>
        <w:rPr>
          <w:rFonts w:cs="Arial"/>
        </w:rPr>
        <w:t xml:space="preserve">body mass index </w:t>
      </w:r>
      <w:r w:rsidR="002D5A7E" w:rsidRPr="002D5A7E">
        <w:rPr>
          <w:rFonts w:cs="Arial"/>
        </w:rPr>
        <w:t xml:space="preserve">data was not available to the PMMR </w:t>
      </w:r>
      <w:r w:rsidR="00B8478A">
        <w:rPr>
          <w:rFonts w:cs="Arial"/>
        </w:rPr>
        <w:t>for this report due to significant quality issues</w:t>
      </w:r>
      <w:r w:rsidR="009151C3">
        <w:rPr>
          <w:rFonts w:cs="Arial"/>
        </w:rPr>
        <w:t>.</w:t>
      </w:r>
    </w:p>
    <w:p w14:paraId="33ABBD31" w14:textId="3C811401" w:rsidR="00551505" w:rsidRDefault="00551505" w:rsidP="00943BE6">
      <w:pPr>
        <w:pStyle w:val="ListParagraph"/>
        <w:numPr>
          <w:ilvl w:val="0"/>
          <w:numId w:val="16"/>
        </w:numPr>
        <w:spacing w:after="60"/>
        <w:ind w:hanging="357"/>
        <w:contextualSpacing w:val="0"/>
        <w:rPr>
          <w:rFonts w:cs="Arial"/>
        </w:rPr>
      </w:pPr>
      <w:r w:rsidRPr="009F63CE">
        <w:rPr>
          <w:rFonts w:cs="Arial"/>
        </w:rPr>
        <w:t xml:space="preserve">Not all registration data </w:t>
      </w:r>
      <w:r w:rsidR="001D5FF5">
        <w:rPr>
          <w:rFonts w:cs="Arial"/>
        </w:rPr>
        <w:t>is</w:t>
      </w:r>
      <w:r w:rsidR="001D5FF5" w:rsidRPr="009F63CE">
        <w:rPr>
          <w:rFonts w:cs="Arial"/>
        </w:rPr>
        <w:t xml:space="preserve"> </w:t>
      </w:r>
      <w:r w:rsidRPr="009F63CE">
        <w:rPr>
          <w:rFonts w:cs="Arial"/>
        </w:rPr>
        <w:t xml:space="preserve">provided to the MAT (specifically, </w:t>
      </w:r>
      <w:r w:rsidR="009950C9">
        <w:rPr>
          <w:rFonts w:cs="Arial"/>
        </w:rPr>
        <w:t>body mass index</w:t>
      </w:r>
      <w:r w:rsidR="006632A1">
        <w:rPr>
          <w:rFonts w:cs="Arial"/>
        </w:rPr>
        <w:t xml:space="preserve"> and </w:t>
      </w:r>
      <w:r w:rsidRPr="009F63CE">
        <w:rPr>
          <w:rFonts w:cs="Arial"/>
        </w:rPr>
        <w:t xml:space="preserve">smoking </w:t>
      </w:r>
      <w:r w:rsidR="001D5FF5">
        <w:rPr>
          <w:rFonts w:cs="Arial"/>
        </w:rPr>
        <w:t>is</w:t>
      </w:r>
      <w:r w:rsidR="001D5FF5" w:rsidRPr="009F63CE">
        <w:rPr>
          <w:rFonts w:cs="Arial"/>
        </w:rPr>
        <w:t xml:space="preserve"> </w:t>
      </w:r>
      <w:r w:rsidRPr="009F63CE">
        <w:rPr>
          <w:rFonts w:cs="Arial"/>
        </w:rPr>
        <w:t xml:space="preserve">missing for </w:t>
      </w:r>
      <w:r w:rsidR="00641ACD" w:rsidRPr="009F63CE">
        <w:rPr>
          <w:rFonts w:cs="Arial"/>
        </w:rPr>
        <w:t>many</w:t>
      </w:r>
      <w:r w:rsidRPr="009F63CE">
        <w:rPr>
          <w:rFonts w:cs="Arial"/>
        </w:rPr>
        <w:t xml:space="preserve"> </w:t>
      </w:r>
      <w:r w:rsidR="000A3D39">
        <w:rPr>
          <w:rFonts w:cs="Arial"/>
        </w:rPr>
        <w:t xml:space="preserve">women </w:t>
      </w:r>
      <w:r w:rsidR="00C51137">
        <w:rPr>
          <w:rFonts w:cs="Arial"/>
        </w:rPr>
        <w:t>and</w:t>
      </w:r>
      <w:r w:rsidR="000A3D39">
        <w:rPr>
          <w:rFonts w:cs="Arial"/>
        </w:rPr>
        <w:t xml:space="preserve"> </w:t>
      </w:r>
      <w:r w:rsidR="001D5FF5">
        <w:rPr>
          <w:rFonts w:cs="Arial"/>
        </w:rPr>
        <w:t>birthing people</w:t>
      </w:r>
      <w:r w:rsidR="001D5FF5" w:rsidRPr="009F63CE">
        <w:rPr>
          <w:rFonts w:cs="Arial"/>
        </w:rPr>
        <w:t xml:space="preserve"> </w:t>
      </w:r>
      <w:r w:rsidR="00502AB2" w:rsidRPr="009F63CE">
        <w:rPr>
          <w:rFonts w:cs="Arial"/>
        </w:rPr>
        <w:t xml:space="preserve">who receive </w:t>
      </w:r>
      <w:r w:rsidRPr="009F63CE">
        <w:rPr>
          <w:rFonts w:cs="Arial"/>
        </w:rPr>
        <w:t xml:space="preserve">primary maternity care </w:t>
      </w:r>
      <w:r w:rsidR="00502AB2" w:rsidRPr="009F63CE">
        <w:rPr>
          <w:rFonts w:cs="Arial"/>
        </w:rPr>
        <w:t xml:space="preserve">from </w:t>
      </w:r>
      <w:r w:rsidRPr="009F63CE">
        <w:rPr>
          <w:rFonts w:cs="Arial"/>
        </w:rPr>
        <w:t>DHBs</w:t>
      </w:r>
      <w:r w:rsidR="009151C3">
        <w:rPr>
          <w:rFonts w:cs="Arial"/>
        </w:rPr>
        <w:t>/</w:t>
      </w:r>
      <w:r w:rsidR="009950C9">
        <w:rPr>
          <w:rFonts w:cs="Arial"/>
        </w:rPr>
        <w:t>Health New Zealand</w:t>
      </w:r>
      <w:r w:rsidRPr="009F63CE">
        <w:rPr>
          <w:rFonts w:cs="Arial"/>
        </w:rPr>
        <w:t>). For this reason,</w:t>
      </w:r>
      <w:r w:rsidR="00FE0BD1">
        <w:rPr>
          <w:rFonts w:cs="Arial"/>
        </w:rPr>
        <w:t xml:space="preserve"> in past reports,</w:t>
      </w:r>
      <w:r w:rsidRPr="009F63CE">
        <w:rPr>
          <w:rFonts w:cs="Arial"/>
        </w:rPr>
        <w:t xml:space="preserve"> analyses involving these variables </w:t>
      </w:r>
      <w:r w:rsidR="00FE0BD1">
        <w:rPr>
          <w:rFonts w:cs="Arial"/>
        </w:rPr>
        <w:t>was</w:t>
      </w:r>
      <w:r w:rsidRPr="009F63CE">
        <w:rPr>
          <w:rFonts w:cs="Arial"/>
        </w:rPr>
        <w:t xml:space="preserve"> limited to </w:t>
      </w:r>
      <w:r w:rsidR="001D5FF5">
        <w:rPr>
          <w:rFonts w:cs="Arial"/>
        </w:rPr>
        <w:t>people</w:t>
      </w:r>
      <w:r w:rsidR="001D5FF5" w:rsidRPr="009F63CE">
        <w:rPr>
          <w:rFonts w:cs="Arial"/>
        </w:rPr>
        <w:t xml:space="preserve"> </w:t>
      </w:r>
      <w:r w:rsidRPr="009F63CE">
        <w:rPr>
          <w:rFonts w:cs="Arial"/>
        </w:rPr>
        <w:t xml:space="preserve">under the care of </w:t>
      </w:r>
      <w:r w:rsidR="00FE0BD1">
        <w:rPr>
          <w:rFonts w:cs="Arial"/>
        </w:rPr>
        <w:t>LMCs (</w:t>
      </w:r>
      <w:r w:rsidR="00E06A70" w:rsidRPr="009F63CE">
        <w:rPr>
          <w:rFonts w:cs="Arial"/>
        </w:rPr>
        <w:t>c</w:t>
      </w:r>
      <w:r w:rsidR="00672021" w:rsidRPr="009F63CE">
        <w:rPr>
          <w:rFonts w:cs="Arial"/>
        </w:rPr>
        <w:t xml:space="preserve">ommunity-based midwives, private obstetricians and </w:t>
      </w:r>
      <w:r w:rsidR="00E06A70" w:rsidRPr="009F63CE">
        <w:rPr>
          <w:rFonts w:cs="Arial"/>
        </w:rPr>
        <w:t>GPs</w:t>
      </w:r>
      <w:r w:rsidR="00FE0BD1">
        <w:rPr>
          <w:rFonts w:cs="Arial"/>
        </w:rPr>
        <w:t>)</w:t>
      </w:r>
      <w:r w:rsidRPr="009F63CE">
        <w:rPr>
          <w:rFonts w:cs="Arial"/>
        </w:rPr>
        <w:t>.</w:t>
      </w:r>
      <w:r w:rsidR="00641ACD" w:rsidRPr="009F63CE">
        <w:rPr>
          <w:rFonts w:cs="Arial"/>
        </w:rPr>
        <w:t xml:space="preserve"> </w:t>
      </w:r>
      <w:r w:rsidR="0085732D">
        <w:rPr>
          <w:rFonts w:cs="Arial"/>
        </w:rPr>
        <w:t>I</w:t>
      </w:r>
      <w:r w:rsidR="00641ACD" w:rsidRPr="009F63CE">
        <w:rPr>
          <w:rFonts w:cs="Arial"/>
        </w:rPr>
        <w:t>n 20</w:t>
      </w:r>
      <w:r w:rsidR="00FA3075">
        <w:rPr>
          <w:rFonts w:cs="Arial"/>
        </w:rPr>
        <w:t>21</w:t>
      </w:r>
      <w:r w:rsidR="00641ACD" w:rsidRPr="009F63CE">
        <w:rPr>
          <w:rFonts w:cs="Arial"/>
        </w:rPr>
        <w:t xml:space="preserve">, </w:t>
      </w:r>
      <w:r w:rsidR="004135A7">
        <w:rPr>
          <w:rFonts w:cs="Arial"/>
        </w:rPr>
        <w:t>over all of Aotearoa</w:t>
      </w:r>
      <w:r w:rsidR="0085732D">
        <w:rPr>
          <w:rFonts w:cs="Arial"/>
        </w:rPr>
        <w:t>,</w:t>
      </w:r>
      <w:r w:rsidR="004135A7">
        <w:rPr>
          <w:rFonts w:cs="Arial"/>
        </w:rPr>
        <w:t xml:space="preserve"> 93.9% of people registered with an LMC</w:t>
      </w:r>
      <w:r w:rsidR="0085732D">
        <w:rPr>
          <w:rFonts w:cs="Arial"/>
        </w:rPr>
        <w:t>,</w:t>
      </w:r>
      <w:r w:rsidR="004135A7">
        <w:rPr>
          <w:rFonts w:cs="Arial"/>
        </w:rPr>
        <w:t xml:space="preserve"> </w:t>
      </w:r>
      <w:r w:rsidR="0085732D">
        <w:rPr>
          <w:rFonts w:cs="Arial"/>
        </w:rPr>
        <w:t xml:space="preserve">but </w:t>
      </w:r>
      <w:r w:rsidR="004135A7">
        <w:rPr>
          <w:rFonts w:cs="Arial"/>
        </w:rPr>
        <w:t>there was broad regional variation. For example, in Auckland</w:t>
      </w:r>
      <w:r w:rsidR="0085732D">
        <w:rPr>
          <w:rFonts w:cs="Arial"/>
        </w:rPr>
        <w:t>,</w:t>
      </w:r>
      <w:r w:rsidR="004135A7">
        <w:rPr>
          <w:rFonts w:cs="Arial"/>
        </w:rPr>
        <w:t xml:space="preserve"> LMCs are recorded as providing just 80% of primary care</w:t>
      </w:r>
      <w:r w:rsidR="00641ACD" w:rsidRPr="009F63CE">
        <w:rPr>
          <w:rFonts w:cs="Arial"/>
        </w:rPr>
        <w:t xml:space="preserve"> </w:t>
      </w:r>
      <w:r w:rsidR="004135A7">
        <w:rPr>
          <w:rFonts w:cs="Arial"/>
        </w:rPr>
        <w:t xml:space="preserve">compared </w:t>
      </w:r>
      <w:r w:rsidR="0085732D">
        <w:rPr>
          <w:rFonts w:cs="Arial"/>
        </w:rPr>
        <w:t xml:space="preserve">with 99.7% in </w:t>
      </w:r>
      <w:r w:rsidR="004135A7">
        <w:rPr>
          <w:rFonts w:cs="Arial"/>
        </w:rPr>
        <w:t>Canterbury</w:t>
      </w:r>
      <w:r w:rsidR="0085732D">
        <w:rPr>
          <w:rFonts w:cs="Arial"/>
        </w:rPr>
        <w:t>.</w:t>
      </w:r>
      <w:r w:rsidR="004135A7">
        <w:rPr>
          <w:rStyle w:val="FootnoteReference"/>
          <w:rFonts w:cs="Arial"/>
        </w:rPr>
        <w:footnoteReference w:id="5"/>
      </w:r>
      <w:r w:rsidR="006632A1">
        <w:rPr>
          <w:rFonts w:cs="Arial"/>
        </w:rPr>
        <w:t xml:space="preserve"> </w:t>
      </w:r>
      <w:r w:rsidR="0085732D">
        <w:rPr>
          <w:rFonts w:cs="Arial"/>
        </w:rPr>
        <w:t>I</w:t>
      </w:r>
      <w:r w:rsidR="006632A1" w:rsidRPr="004135A7">
        <w:rPr>
          <w:rFonts w:cs="Arial"/>
        </w:rPr>
        <w:t xml:space="preserve">diosyncrasies in funding systems and maternity data collection across Aotearoa mean that </w:t>
      </w:r>
      <w:r w:rsidR="006632A1" w:rsidRPr="009F63CE">
        <w:rPr>
          <w:rFonts w:cs="Arial"/>
        </w:rPr>
        <w:t>some DHBs</w:t>
      </w:r>
      <w:r w:rsidR="006632A1">
        <w:rPr>
          <w:rFonts w:cs="Arial"/>
        </w:rPr>
        <w:t>/</w:t>
      </w:r>
      <w:r w:rsidR="0085732D">
        <w:rPr>
          <w:rFonts w:cs="Arial"/>
        </w:rPr>
        <w:t>Health New Zealand</w:t>
      </w:r>
      <w:r w:rsidR="006632A1">
        <w:rPr>
          <w:rFonts w:cs="Arial"/>
        </w:rPr>
        <w:t xml:space="preserve"> regions</w:t>
      </w:r>
      <w:r w:rsidR="006632A1" w:rsidRPr="009F63CE">
        <w:rPr>
          <w:rFonts w:cs="Arial"/>
        </w:rPr>
        <w:t xml:space="preserve"> do not provide </w:t>
      </w:r>
      <w:r w:rsidR="006632A1">
        <w:rPr>
          <w:rFonts w:cs="Arial"/>
        </w:rPr>
        <w:t xml:space="preserve">complete </w:t>
      </w:r>
      <w:r w:rsidR="006632A1" w:rsidRPr="009F63CE">
        <w:rPr>
          <w:rFonts w:cs="Arial"/>
        </w:rPr>
        <w:t>primary maternity data to the MAT data set.</w:t>
      </w:r>
      <w:r w:rsidR="006632A1" w:rsidRPr="004135A7">
        <w:t xml:space="preserve"> </w:t>
      </w:r>
      <w:r w:rsidR="006632A1" w:rsidRPr="004135A7">
        <w:rPr>
          <w:rFonts w:cs="Arial"/>
        </w:rPr>
        <w:t>The development and implementation of a ‘perinatal spine’ should resolve many of these issues</w:t>
      </w:r>
      <w:r w:rsidR="0085732D">
        <w:rPr>
          <w:rFonts w:cs="Arial"/>
        </w:rPr>
        <w:t>.</w:t>
      </w:r>
      <w:r w:rsidR="006632A1">
        <w:rPr>
          <w:rStyle w:val="FootnoteReference"/>
          <w:rFonts w:cs="Arial"/>
        </w:rPr>
        <w:footnoteReference w:id="6"/>
      </w:r>
    </w:p>
    <w:p w14:paraId="08F05F44" w14:textId="050492DA" w:rsidR="004135A7" w:rsidRPr="009F63CE" w:rsidRDefault="004135A7" w:rsidP="00943BE6">
      <w:pPr>
        <w:pStyle w:val="ListParagraph"/>
        <w:numPr>
          <w:ilvl w:val="0"/>
          <w:numId w:val="16"/>
        </w:numPr>
        <w:spacing w:after="60"/>
        <w:ind w:hanging="357"/>
        <w:contextualSpacing w:val="0"/>
        <w:rPr>
          <w:rFonts w:cs="Arial"/>
        </w:rPr>
      </w:pPr>
      <w:r w:rsidRPr="009F63CE">
        <w:rPr>
          <w:rFonts w:cs="Arial"/>
        </w:rPr>
        <w:t xml:space="preserve">The variable for LMC is inaccurate for any LMC </w:t>
      </w:r>
      <w:r w:rsidR="0085732D">
        <w:rPr>
          <w:rFonts w:cs="Arial"/>
        </w:rPr>
        <w:t xml:space="preserve">before </w:t>
      </w:r>
      <w:r w:rsidRPr="009F63CE">
        <w:rPr>
          <w:rFonts w:cs="Arial"/>
        </w:rPr>
        <w:t>2008. From 2008</w:t>
      </w:r>
      <w:r w:rsidR="0085732D">
        <w:rPr>
          <w:rFonts w:cs="Arial"/>
        </w:rPr>
        <w:t>,</w:t>
      </w:r>
      <w:r w:rsidRPr="009F63CE">
        <w:rPr>
          <w:rFonts w:cs="Arial"/>
        </w:rPr>
        <w:t xml:space="preserve"> this variable provides a reasonable estimate of LMC for the groups midwife (self-employed or community), private obstetrician and GP. </w:t>
      </w:r>
      <w:r w:rsidR="006632A1">
        <w:rPr>
          <w:rFonts w:cs="Arial"/>
        </w:rPr>
        <w:t>However, data about primary care provided by</w:t>
      </w:r>
      <w:r w:rsidRPr="009F63CE">
        <w:rPr>
          <w:rFonts w:cs="Arial"/>
        </w:rPr>
        <w:t xml:space="preserve"> DHB</w:t>
      </w:r>
      <w:r w:rsidR="006632A1">
        <w:rPr>
          <w:rFonts w:cs="Arial"/>
        </w:rPr>
        <w:t>s</w:t>
      </w:r>
      <w:r w:rsidRPr="009F63CE">
        <w:rPr>
          <w:rFonts w:cs="Arial"/>
        </w:rPr>
        <w:t xml:space="preserve"> remains inaccurate, with some </w:t>
      </w:r>
      <w:r w:rsidR="007A788F">
        <w:rPr>
          <w:rFonts w:cs="Arial"/>
        </w:rPr>
        <w:t>who are</w:t>
      </w:r>
      <w:r w:rsidR="00AD785F" w:rsidRPr="009F63CE">
        <w:rPr>
          <w:rFonts w:cs="Arial"/>
        </w:rPr>
        <w:t xml:space="preserve"> </w:t>
      </w:r>
      <w:r w:rsidRPr="009F63CE">
        <w:rPr>
          <w:rFonts w:cs="Arial"/>
        </w:rPr>
        <w:t>under the care of DHB primary maternity services noted as having ‘</w:t>
      </w:r>
      <w:r w:rsidR="00CA2527">
        <w:rPr>
          <w:rFonts w:cs="Arial"/>
        </w:rPr>
        <w:t>n</w:t>
      </w:r>
      <w:r w:rsidRPr="009F63CE">
        <w:rPr>
          <w:rFonts w:cs="Arial"/>
        </w:rPr>
        <w:t>o LMC’</w:t>
      </w:r>
      <w:r>
        <w:rPr>
          <w:rFonts w:cs="Arial"/>
        </w:rPr>
        <w:t>, some as ‘DHB</w:t>
      </w:r>
      <w:r w:rsidR="00CA2527">
        <w:rPr>
          <w:rFonts w:cs="Arial"/>
        </w:rPr>
        <w:t>’</w:t>
      </w:r>
      <w:r>
        <w:rPr>
          <w:rFonts w:cs="Arial"/>
        </w:rPr>
        <w:t xml:space="preserve"> and some as ‘LMC’</w:t>
      </w:r>
      <w:r w:rsidRPr="009F63CE">
        <w:rPr>
          <w:rFonts w:cs="Arial"/>
        </w:rPr>
        <w:t xml:space="preserve">. </w:t>
      </w:r>
    </w:p>
    <w:p w14:paraId="5E85D638" w14:textId="3EE93092" w:rsidR="00551505" w:rsidRPr="009F63CE" w:rsidRDefault="00710022" w:rsidP="00943BE6">
      <w:pPr>
        <w:pStyle w:val="ListParagraph"/>
        <w:numPr>
          <w:ilvl w:val="0"/>
          <w:numId w:val="16"/>
        </w:numPr>
        <w:spacing w:after="60"/>
        <w:ind w:hanging="357"/>
        <w:contextualSpacing w:val="0"/>
        <w:rPr>
          <w:rFonts w:cs="Arial"/>
        </w:rPr>
      </w:pPr>
      <w:r w:rsidRPr="009F63CE">
        <w:rPr>
          <w:rFonts w:cs="Arial"/>
        </w:rPr>
        <w:t xml:space="preserve">As the PMMR deaths have been merged where possible with records in the MAT </w:t>
      </w:r>
      <w:r w:rsidR="009F63CE" w:rsidRPr="009F63CE">
        <w:rPr>
          <w:rFonts w:cs="Arial"/>
        </w:rPr>
        <w:t>data set</w:t>
      </w:r>
      <w:r w:rsidRPr="009F63CE">
        <w:rPr>
          <w:rFonts w:cs="Arial"/>
        </w:rPr>
        <w:t xml:space="preserve">, data </w:t>
      </w:r>
      <w:r w:rsidR="00EF070E">
        <w:rPr>
          <w:rFonts w:cs="Arial"/>
        </w:rPr>
        <w:t>is</w:t>
      </w:r>
      <w:r w:rsidR="00EF070E" w:rsidRPr="009F63CE">
        <w:rPr>
          <w:rFonts w:cs="Arial"/>
        </w:rPr>
        <w:t xml:space="preserve"> </w:t>
      </w:r>
      <w:r w:rsidRPr="009F63CE">
        <w:rPr>
          <w:rFonts w:cs="Arial"/>
        </w:rPr>
        <w:t xml:space="preserve">now available from both the PMMR </w:t>
      </w:r>
      <w:r w:rsidR="009F63CE" w:rsidRPr="009F63CE">
        <w:rPr>
          <w:rFonts w:cs="Arial"/>
        </w:rPr>
        <w:t>data set</w:t>
      </w:r>
      <w:r w:rsidRPr="009F63CE">
        <w:rPr>
          <w:rFonts w:cs="Arial"/>
        </w:rPr>
        <w:t xml:space="preserve"> and the MAT </w:t>
      </w:r>
      <w:r w:rsidR="009F63CE" w:rsidRPr="009F63CE">
        <w:rPr>
          <w:rFonts w:cs="Arial"/>
        </w:rPr>
        <w:t>data set</w:t>
      </w:r>
      <w:r w:rsidRPr="009F63CE">
        <w:rPr>
          <w:rFonts w:cs="Arial"/>
        </w:rPr>
        <w:t xml:space="preserve"> for the</w:t>
      </w:r>
      <w:r w:rsidR="00F92ABF">
        <w:rPr>
          <w:rFonts w:cs="Arial"/>
        </w:rPr>
        <w:t xml:space="preserve"> babies and</w:t>
      </w:r>
      <w:r w:rsidRPr="009F63CE">
        <w:rPr>
          <w:rFonts w:cs="Arial"/>
        </w:rPr>
        <w:t xml:space="preserve"> </w:t>
      </w:r>
      <w:r w:rsidR="00771211">
        <w:rPr>
          <w:rFonts w:cs="Arial"/>
        </w:rPr>
        <w:t xml:space="preserve">women </w:t>
      </w:r>
      <w:r w:rsidR="00C51137">
        <w:rPr>
          <w:rFonts w:cs="Arial"/>
        </w:rPr>
        <w:t>and</w:t>
      </w:r>
      <w:r w:rsidR="00771211">
        <w:rPr>
          <w:rFonts w:cs="Arial"/>
        </w:rPr>
        <w:t xml:space="preserve"> </w:t>
      </w:r>
      <w:r w:rsidR="000455A9">
        <w:rPr>
          <w:rFonts w:cs="Arial"/>
        </w:rPr>
        <w:t>birthing parents</w:t>
      </w:r>
      <w:r w:rsidR="000455A9" w:rsidRPr="009F63CE">
        <w:rPr>
          <w:rFonts w:cs="Arial"/>
        </w:rPr>
        <w:t xml:space="preserve"> </w:t>
      </w:r>
      <w:r w:rsidR="0050349F" w:rsidRPr="009F63CE">
        <w:rPr>
          <w:rFonts w:cs="Arial"/>
        </w:rPr>
        <w:t xml:space="preserve">of babies who </w:t>
      </w:r>
      <w:r w:rsidR="00502AB2" w:rsidRPr="009F63CE">
        <w:rPr>
          <w:rFonts w:cs="Arial"/>
        </w:rPr>
        <w:t>died in the perinatal period</w:t>
      </w:r>
      <w:r w:rsidR="00502AB2" w:rsidRPr="009F63CE" w:rsidDel="00502AB2">
        <w:rPr>
          <w:rFonts w:cs="Arial"/>
        </w:rPr>
        <w:t xml:space="preserve"> </w:t>
      </w:r>
      <w:r w:rsidR="0050349F" w:rsidRPr="009F63CE">
        <w:rPr>
          <w:rFonts w:cs="Arial"/>
        </w:rPr>
        <w:t xml:space="preserve">or were diagnosed with </w:t>
      </w:r>
      <w:r w:rsidR="00E82AA2" w:rsidRPr="009F63CE">
        <w:rPr>
          <w:rFonts w:cs="Arial"/>
        </w:rPr>
        <w:t>NE</w:t>
      </w:r>
      <w:r w:rsidRPr="009F63CE">
        <w:rPr>
          <w:rFonts w:cs="Arial"/>
        </w:rPr>
        <w:t xml:space="preserve">. It is therefore possible to examine the consistency of some of the collected data fields. Some variables have systematically different measurements in the PMMR </w:t>
      </w:r>
      <w:r w:rsidR="009F63CE" w:rsidRPr="009F63CE">
        <w:rPr>
          <w:rFonts w:cs="Arial"/>
        </w:rPr>
        <w:t>data set</w:t>
      </w:r>
      <w:r w:rsidRPr="009F63CE">
        <w:rPr>
          <w:rFonts w:cs="Arial"/>
        </w:rPr>
        <w:t xml:space="preserve"> compared </w:t>
      </w:r>
      <w:r w:rsidR="00DE34EC">
        <w:rPr>
          <w:rFonts w:cs="Arial"/>
        </w:rPr>
        <w:t>with</w:t>
      </w:r>
      <w:r w:rsidR="00DE34EC" w:rsidRPr="009F63CE">
        <w:rPr>
          <w:rFonts w:cs="Arial"/>
        </w:rPr>
        <w:t xml:space="preserve"> </w:t>
      </w:r>
      <w:r w:rsidRPr="009F63CE">
        <w:rPr>
          <w:rFonts w:cs="Arial"/>
        </w:rPr>
        <w:t>the MAT</w:t>
      </w:r>
      <w:r w:rsidR="00BC67EF" w:rsidRPr="009F63CE">
        <w:rPr>
          <w:rFonts w:cs="Arial"/>
        </w:rPr>
        <w:t xml:space="preserve"> </w:t>
      </w:r>
      <w:r w:rsidR="009F63CE" w:rsidRPr="009F63CE">
        <w:rPr>
          <w:rFonts w:cs="Arial"/>
        </w:rPr>
        <w:t>data set</w:t>
      </w:r>
      <w:r w:rsidRPr="009F63CE">
        <w:rPr>
          <w:rFonts w:cs="Arial"/>
        </w:rPr>
        <w:t xml:space="preserve">; for example, smoking </w:t>
      </w:r>
      <w:r w:rsidR="00B8478A">
        <w:rPr>
          <w:rFonts w:cs="Arial"/>
        </w:rPr>
        <w:t>is</w:t>
      </w:r>
      <w:r w:rsidRPr="009F63CE">
        <w:rPr>
          <w:rFonts w:cs="Arial"/>
        </w:rPr>
        <w:t xml:space="preserve"> systematically higher and more common in the PMMR</w:t>
      </w:r>
      <w:r w:rsidR="00BC67EF" w:rsidRPr="009F63CE">
        <w:rPr>
          <w:rFonts w:cs="Arial"/>
        </w:rPr>
        <w:t xml:space="preserve"> </w:t>
      </w:r>
      <w:r w:rsidR="009F63CE" w:rsidRPr="009F63CE">
        <w:rPr>
          <w:rFonts w:cs="Arial"/>
        </w:rPr>
        <w:t>data set</w:t>
      </w:r>
      <w:r w:rsidRPr="009F63CE">
        <w:rPr>
          <w:rFonts w:cs="Arial"/>
        </w:rPr>
        <w:t xml:space="preserve"> than in the MAT</w:t>
      </w:r>
      <w:r w:rsidR="00BC67EF" w:rsidRPr="009F63CE">
        <w:rPr>
          <w:rFonts w:cs="Arial"/>
        </w:rPr>
        <w:t xml:space="preserve"> </w:t>
      </w:r>
      <w:r w:rsidR="009F63CE" w:rsidRPr="009F63CE">
        <w:rPr>
          <w:rFonts w:cs="Arial"/>
        </w:rPr>
        <w:t>data set</w:t>
      </w:r>
      <w:r w:rsidRPr="009F63CE">
        <w:rPr>
          <w:rFonts w:cs="Arial"/>
        </w:rPr>
        <w:t xml:space="preserve"> for the </w:t>
      </w:r>
      <w:r w:rsidR="00BC58B8">
        <w:rPr>
          <w:rFonts w:cs="Arial"/>
        </w:rPr>
        <w:t>birthing parents</w:t>
      </w:r>
      <w:r w:rsidR="00BC58B8" w:rsidRPr="009F63CE">
        <w:rPr>
          <w:rFonts w:cs="Arial"/>
        </w:rPr>
        <w:t xml:space="preserve"> </w:t>
      </w:r>
      <w:r w:rsidRPr="009F63CE">
        <w:rPr>
          <w:rFonts w:cs="Arial"/>
        </w:rPr>
        <w:t xml:space="preserve">of babies who died in the perinatal period. </w:t>
      </w:r>
      <w:r w:rsidR="00551505" w:rsidRPr="009F63CE">
        <w:rPr>
          <w:rFonts w:cs="Arial"/>
        </w:rPr>
        <w:t xml:space="preserve">In addition, </w:t>
      </w:r>
      <w:r w:rsidR="0088184F">
        <w:rPr>
          <w:rFonts w:cs="Arial"/>
        </w:rPr>
        <w:t xml:space="preserve">some variables do not match directly between the two sets. For example, </w:t>
      </w:r>
      <w:r w:rsidR="00551505" w:rsidRPr="009F63CE">
        <w:rPr>
          <w:rFonts w:cs="Arial"/>
        </w:rPr>
        <w:t xml:space="preserve">smoking data </w:t>
      </w:r>
      <w:r w:rsidR="004B64F3">
        <w:rPr>
          <w:rFonts w:cs="Arial"/>
        </w:rPr>
        <w:t>is</w:t>
      </w:r>
      <w:r w:rsidR="004B64F3" w:rsidRPr="009F63CE">
        <w:rPr>
          <w:rFonts w:cs="Arial"/>
        </w:rPr>
        <w:t xml:space="preserve"> </w:t>
      </w:r>
      <w:r w:rsidR="00551505" w:rsidRPr="009F63CE">
        <w:rPr>
          <w:rFonts w:cs="Arial"/>
        </w:rPr>
        <w:t xml:space="preserve">collected </w:t>
      </w:r>
      <w:r w:rsidR="004B64F3">
        <w:rPr>
          <w:rFonts w:cs="Arial"/>
        </w:rPr>
        <w:t>for</w:t>
      </w:r>
      <w:r w:rsidR="004B64F3" w:rsidRPr="009F63CE">
        <w:rPr>
          <w:rFonts w:cs="Arial"/>
        </w:rPr>
        <w:t xml:space="preserve"> </w:t>
      </w:r>
      <w:r w:rsidR="00551505" w:rsidRPr="009F63CE">
        <w:rPr>
          <w:rFonts w:cs="Arial"/>
        </w:rPr>
        <w:t xml:space="preserve">time of death in the PMMR </w:t>
      </w:r>
      <w:r w:rsidR="009F63CE" w:rsidRPr="009F63CE">
        <w:rPr>
          <w:rFonts w:cs="Arial"/>
        </w:rPr>
        <w:t>data set</w:t>
      </w:r>
      <w:r w:rsidR="00551505" w:rsidRPr="009F63CE">
        <w:rPr>
          <w:rFonts w:cs="Arial"/>
        </w:rPr>
        <w:t xml:space="preserve"> but </w:t>
      </w:r>
      <w:r w:rsidR="004B64F3">
        <w:rPr>
          <w:rFonts w:cs="Arial"/>
        </w:rPr>
        <w:t xml:space="preserve">for </w:t>
      </w:r>
      <w:r w:rsidR="00551505" w:rsidRPr="009F63CE">
        <w:rPr>
          <w:rFonts w:cs="Arial"/>
        </w:rPr>
        <w:t xml:space="preserve">time of registration with an LMC and </w:t>
      </w:r>
      <w:r w:rsidR="004B64F3">
        <w:rPr>
          <w:rFonts w:cs="Arial"/>
        </w:rPr>
        <w:t>for</w:t>
      </w:r>
      <w:r w:rsidR="004B64F3" w:rsidRPr="009F63CE">
        <w:rPr>
          <w:rFonts w:cs="Arial"/>
        </w:rPr>
        <w:t xml:space="preserve"> </w:t>
      </w:r>
      <w:r w:rsidR="004B64F3">
        <w:rPr>
          <w:rFonts w:cs="Arial"/>
        </w:rPr>
        <w:t>2</w:t>
      </w:r>
      <w:r w:rsidR="004B64F3" w:rsidRPr="009F63CE">
        <w:rPr>
          <w:rFonts w:cs="Arial"/>
        </w:rPr>
        <w:t xml:space="preserve"> </w:t>
      </w:r>
      <w:r w:rsidR="00551505" w:rsidRPr="009F63CE">
        <w:rPr>
          <w:rFonts w:cs="Arial"/>
        </w:rPr>
        <w:t xml:space="preserve">weeks postpartum in the MAT </w:t>
      </w:r>
      <w:r w:rsidR="009F63CE" w:rsidRPr="009F63CE">
        <w:rPr>
          <w:rFonts w:cs="Arial"/>
        </w:rPr>
        <w:t>data set</w:t>
      </w:r>
      <w:r w:rsidR="00551505" w:rsidRPr="009F63CE">
        <w:rPr>
          <w:rFonts w:cs="Arial"/>
        </w:rPr>
        <w:t>.</w:t>
      </w:r>
    </w:p>
    <w:p w14:paraId="4F77FEE1" w14:textId="12F93273" w:rsidR="00551505" w:rsidRPr="009F63CE" w:rsidRDefault="00710022" w:rsidP="00881675">
      <w:pPr>
        <w:pStyle w:val="ListParagraph"/>
        <w:spacing w:after="60"/>
        <w:ind w:left="340"/>
        <w:contextualSpacing w:val="0"/>
        <w:rPr>
          <w:rFonts w:cs="Arial"/>
        </w:rPr>
      </w:pPr>
      <w:r w:rsidRPr="009F63CE">
        <w:rPr>
          <w:rFonts w:cs="Arial"/>
        </w:rPr>
        <w:t xml:space="preserve">MAT data have therefore been used for </w:t>
      </w:r>
      <w:r w:rsidR="009649DC">
        <w:rPr>
          <w:rFonts w:cs="Arial"/>
        </w:rPr>
        <w:t xml:space="preserve">both </w:t>
      </w:r>
      <w:r w:rsidRPr="009F63CE">
        <w:rPr>
          <w:rFonts w:cs="Arial"/>
        </w:rPr>
        <w:t xml:space="preserve">the numerator </w:t>
      </w:r>
      <w:r w:rsidR="009649DC">
        <w:rPr>
          <w:rFonts w:cs="Arial"/>
        </w:rPr>
        <w:t xml:space="preserve">and </w:t>
      </w:r>
      <w:r w:rsidRPr="009F63CE">
        <w:rPr>
          <w:rFonts w:cs="Arial"/>
        </w:rPr>
        <w:t>the denominator for smoking to avoid numerator–denominator bias</w:t>
      </w:r>
      <w:r w:rsidR="009649DC">
        <w:rPr>
          <w:rFonts w:cs="Arial"/>
        </w:rPr>
        <w:t>.</w:t>
      </w:r>
      <w:r w:rsidR="000D4608">
        <w:rPr>
          <w:rFonts w:cs="Arial"/>
        </w:rPr>
        <w:t xml:space="preserve"> </w:t>
      </w:r>
      <w:r w:rsidR="009649DC">
        <w:rPr>
          <w:rFonts w:cs="Arial"/>
        </w:rPr>
        <w:t>C</w:t>
      </w:r>
      <w:r w:rsidRPr="009F63CE">
        <w:rPr>
          <w:rFonts w:cs="Arial"/>
        </w:rPr>
        <w:t>onsequen</w:t>
      </w:r>
      <w:r w:rsidR="009649DC">
        <w:rPr>
          <w:rFonts w:cs="Arial"/>
        </w:rPr>
        <w:t>tly</w:t>
      </w:r>
      <w:r w:rsidRPr="009F63CE">
        <w:rPr>
          <w:rFonts w:cs="Arial"/>
        </w:rPr>
        <w:t xml:space="preserve">, the analysis is limited to </w:t>
      </w:r>
      <w:r w:rsidR="00771211">
        <w:rPr>
          <w:rFonts w:cs="Arial"/>
        </w:rPr>
        <w:t xml:space="preserve">women </w:t>
      </w:r>
      <w:r w:rsidR="00C51137">
        <w:rPr>
          <w:rFonts w:cs="Arial"/>
        </w:rPr>
        <w:t>and</w:t>
      </w:r>
      <w:r w:rsidR="00771211">
        <w:rPr>
          <w:rFonts w:cs="Arial"/>
        </w:rPr>
        <w:t xml:space="preserve"> </w:t>
      </w:r>
      <w:r w:rsidR="00DF510B">
        <w:rPr>
          <w:rFonts w:cs="Arial"/>
        </w:rPr>
        <w:t>birthing people</w:t>
      </w:r>
      <w:r w:rsidR="00DF510B" w:rsidRPr="009F63CE">
        <w:rPr>
          <w:rFonts w:cs="Arial"/>
        </w:rPr>
        <w:t xml:space="preserve"> </w:t>
      </w:r>
      <w:r w:rsidRPr="009F63CE">
        <w:rPr>
          <w:rFonts w:cs="Arial"/>
        </w:rPr>
        <w:t>and babies where there was a successful match.</w:t>
      </w:r>
    </w:p>
    <w:p w14:paraId="4979E417" w14:textId="5DA5DA6A" w:rsidR="00710022" w:rsidRPr="009F63CE" w:rsidRDefault="00710022" w:rsidP="00943BE6">
      <w:pPr>
        <w:pStyle w:val="ListParagraph"/>
        <w:spacing w:after="60"/>
        <w:ind w:left="426"/>
        <w:contextualSpacing w:val="0"/>
        <w:rPr>
          <w:rFonts w:cs="Arial"/>
        </w:rPr>
      </w:pPr>
      <w:r w:rsidRPr="009F63CE">
        <w:rPr>
          <w:rFonts w:cs="Arial"/>
        </w:rPr>
        <w:lastRenderedPageBreak/>
        <w:t>For variables (</w:t>
      </w:r>
      <w:r w:rsidR="00725BCB" w:rsidRPr="009F63CE">
        <w:rPr>
          <w:rFonts w:cs="Arial"/>
        </w:rPr>
        <w:t>eg</w:t>
      </w:r>
      <w:r w:rsidRPr="009F63CE">
        <w:rPr>
          <w:rFonts w:cs="Arial"/>
        </w:rPr>
        <w:t xml:space="preserve">, </w:t>
      </w:r>
      <w:r w:rsidR="00E82AA2" w:rsidRPr="009F63CE">
        <w:rPr>
          <w:rFonts w:cs="Arial"/>
        </w:rPr>
        <w:t>gestation</w:t>
      </w:r>
      <w:r w:rsidR="00551505" w:rsidRPr="009F63CE">
        <w:rPr>
          <w:rFonts w:cs="Arial"/>
        </w:rPr>
        <w:t>,</w:t>
      </w:r>
      <w:r w:rsidR="00E82AA2" w:rsidRPr="009F63CE">
        <w:rPr>
          <w:rFonts w:cs="Arial"/>
        </w:rPr>
        <w:t xml:space="preserve"> birthweight</w:t>
      </w:r>
      <w:r w:rsidR="00551505" w:rsidRPr="009F63CE">
        <w:rPr>
          <w:rFonts w:cs="Arial"/>
        </w:rPr>
        <w:t>, plurality</w:t>
      </w:r>
      <w:r w:rsidRPr="009F63CE">
        <w:rPr>
          <w:rFonts w:cs="Arial"/>
        </w:rPr>
        <w:t xml:space="preserve">) where the MAT and PMMR data </w:t>
      </w:r>
      <w:r w:rsidR="00DF510B">
        <w:rPr>
          <w:rFonts w:cs="Arial"/>
        </w:rPr>
        <w:t>is</w:t>
      </w:r>
      <w:r w:rsidR="00DF510B" w:rsidRPr="009F63CE">
        <w:rPr>
          <w:rFonts w:cs="Arial"/>
        </w:rPr>
        <w:t xml:space="preserve"> </w:t>
      </w:r>
      <w:r w:rsidRPr="009F63CE">
        <w:rPr>
          <w:rFonts w:cs="Arial"/>
        </w:rPr>
        <w:t xml:space="preserve">variably inconsistent but not systematically different, the PMMR data </w:t>
      </w:r>
      <w:r w:rsidR="00DF510B">
        <w:rPr>
          <w:rFonts w:cs="Arial"/>
        </w:rPr>
        <w:t>is</w:t>
      </w:r>
      <w:r w:rsidR="00DF510B" w:rsidRPr="009F63CE">
        <w:rPr>
          <w:rFonts w:cs="Arial"/>
        </w:rPr>
        <w:t xml:space="preserve"> </w:t>
      </w:r>
      <w:r w:rsidRPr="009F63CE">
        <w:rPr>
          <w:rFonts w:cs="Arial"/>
        </w:rPr>
        <w:t xml:space="preserve">used for the numerator deaths data because we believe </w:t>
      </w:r>
      <w:r w:rsidR="00DF510B">
        <w:rPr>
          <w:rFonts w:cs="Arial"/>
        </w:rPr>
        <w:t xml:space="preserve">this has </w:t>
      </w:r>
      <w:r w:rsidRPr="009F63CE">
        <w:rPr>
          <w:rFonts w:cs="Arial"/>
        </w:rPr>
        <w:t xml:space="preserve">been checked for accuracy more thoroughly than the MAT </w:t>
      </w:r>
      <w:r w:rsidR="009F63CE" w:rsidRPr="009F63CE">
        <w:rPr>
          <w:rFonts w:cs="Arial"/>
        </w:rPr>
        <w:t>data set</w:t>
      </w:r>
      <w:r w:rsidRPr="009F63CE">
        <w:rPr>
          <w:rFonts w:cs="Arial"/>
        </w:rPr>
        <w:t xml:space="preserve"> and because it means all babies can be included in the analyses. </w:t>
      </w:r>
    </w:p>
    <w:p w14:paraId="260227D2" w14:textId="7D111E58" w:rsidR="00E82AA2" w:rsidRPr="009F63CE" w:rsidRDefault="00E82AA2" w:rsidP="00943BE6">
      <w:pPr>
        <w:pStyle w:val="ListParagraph"/>
        <w:numPr>
          <w:ilvl w:val="0"/>
          <w:numId w:val="16"/>
        </w:numPr>
        <w:spacing w:after="60"/>
        <w:ind w:hanging="357"/>
        <w:contextualSpacing w:val="0"/>
        <w:rPr>
          <w:rFonts w:cs="Arial"/>
        </w:rPr>
      </w:pPr>
      <w:r w:rsidRPr="009F63CE">
        <w:rPr>
          <w:rFonts w:cs="Arial"/>
        </w:rPr>
        <w:t xml:space="preserve">There is a systematic error in the data sent to the MAT </w:t>
      </w:r>
      <w:r w:rsidR="009F63CE" w:rsidRPr="009F63CE">
        <w:rPr>
          <w:rFonts w:cs="Arial"/>
        </w:rPr>
        <w:t>data set</w:t>
      </w:r>
      <w:r w:rsidRPr="009F63CE">
        <w:rPr>
          <w:rFonts w:cs="Arial"/>
        </w:rPr>
        <w:t xml:space="preserve"> by </w:t>
      </w:r>
      <w:r w:rsidR="00C27287">
        <w:rPr>
          <w:rFonts w:cs="Arial"/>
        </w:rPr>
        <w:t xml:space="preserve">some </w:t>
      </w:r>
      <w:r w:rsidRPr="009F63CE">
        <w:rPr>
          <w:rFonts w:cs="Arial"/>
        </w:rPr>
        <w:t xml:space="preserve">DHBs when parity is </w:t>
      </w:r>
      <w:r w:rsidR="00D544F3" w:rsidRPr="009F63CE">
        <w:rPr>
          <w:rFonts w:cs="Arial"/>
        </w:rPr>
        <w:t>‘</w:t>
      </w:r>
      <w:r w:rsidR="00672021" w:rsidRPr="009F63CE">
        <w:rPr>
          <w:rFonts w:cs="Arial"/>
        </w:rPr>
        <w:t>zero</w:t>
      </w:r>
      <w:r w:rsidR="00D544F3" w:rsidRPr="009F63CE">
        <w:rPr>
          <w:rFonts w:cs="Arial"/>
        </w:rPr>
        <w:t>’</w:t>
      </w:r>
      <w:r w:rsidRPr="009F63CE">
        <w:rPr>
          <w:rFonts w:cs="Arial"/>
        </w:rPr>
        <w:t xml:space="preserve"> (nulliparity) such that these </w:t>
      </w:r>
      <w:r w:rsidR="00771211">
        <w:rPr>
          <w:rFonts w:cs="Arial"/>
        </w:rPr>
        <w:t xml:space="preserve">women </w:t>
      </w:r>
      <w:r w:rsidR="00C51137">
        <w:rPr>
          <w:rFonts w:cs="Arial"/>
        </w:rPr>
        <w:t>and</w:t>
      </w:r>
      <w:r w:rsidR="00771211">
        <w:rPr>
          <w:rFonts w:cs="Arial"/>
        </w:rPr>
        <w:t xml:space="preserve"> </w:t>
      </w:r>
      <w:r w:rsidR="00DF510B">
        <w:rPr>
          <w:rFonts w:cs="Arial"/>
        </w:rPr>
        <w:t>birthing people</w:t>
      </w:r>
      <w:r w:rsidR="00DF510B" w:rsidRPr="009F63CE">
        <w:rPr>
          <w:rFonts w:cs="Arial"/>
        </w:rPr>
        <w:t xml:space="preserve"> </w:t>
      </w:r>
      <w:r w:rsidRPr="009F63CE">
        <w:rPr>
          <w:rFonts w:cs="Arial"/>
        </w:rPr>
        <w:t xml:space="preserve">are recorded in the MAT </w:t>
      </w:r>
      <w:r w:rsidR="009F63CE" w:rsidRPr="009F63CE">
        <w:rPr>
          <w:rFonts w:cs="Arial"/>
        </w:rPr>
        <w:t>data set</w:t>
      </w:r>
      <w:r w:rsidRPr="009F63CE">
        <w:rPr>
          <w:rFonts w:cs="Arial"/>
        </w:rPr>
        <w:t xml:space="preserve"> as </w:t>
      </w:r>
      <w:r w:rsidR="00D544F3" w:rsidRPr="009F63CE">
        <w:rPr>
          <w:rFonts w:cs="Arial"/>
        </w:rPr>
        <w:t>‘</w:t>
      </w:r>
      <w:r w:rsidRPr="009F63CE">
        <w:rPr>
          <w:rFonts w:cs="Arial"/>
        </w:rPr>
        <w:t>missing</w:t>
      </w:r>
      <w:r w:rsidR="00D544F3" w:rsidRPr="009F63CE">
        <w:rPr>
          <w:rFonts w:cs="Arial"/>
        </w:rPr>
        <w:t>’</w:t>
      </w:r>
      <w:r w:rsidRPr="009F63CE">
        <w:rPr>
          <w:rFonts w:cs="Arial"/>
        </w:rPr>
        <w:t xml:space="preserve"> parity. </w:t>
      </w:r>
      <w:r w:rsidR="002579CD">
        <w:rPr>
          <w:rFonts w:cs="Arial"/>
        </w:rPr>
        <w:t>The extent of this problem is unknown</w:t>
      </w:r>
      <w:r w:rsidR="00ED693C">
        <w:rPr>
          <w:rFonts w:cs="Arial"/>
        </w:rPr>
        <w:t>,</w:t>
      </w:r>
      <w:r w:rsidR="002579CD">
        <w:rPr>
          <w:rFonts w:cs="Arial"/>
        </w:rPr>
        <w:t xml:space="preserve"> but parity analysis should be treated with caution.</w:t>
      </w:r>
    </w:p>
    <w:p w14:paraId="3BBE635A" w14:textId="14C61B7E" w:rsidR="00551505" w:rsidRPr="009F63CE" w:rsidRDefault="00710022" w:rsidP="00943BE6">
      <w:pPr>
        <w:pStyle w:val="ListParagraph"/>
        <w:numPr>
          <w:ilvl w:val="0"/>
          <w:numId w:val="16"/>
        </w:numPr>
        <w:spacing w:after="60"/>
        <w:ind w:hanging="357"/>
        <w:contextualSpacing w:val="0"/>
        <w:rPr>
          <w:rFonts w:cs="Arial"/>
        </w:rPr>
      </w:pPr>
      <w:r w:rsidRPr="009F63CE">
        <w:rPr>
          <w:rFonts w:cs="Arial"/>
        </w:rPr>
        <w:t xml:space="preserve">There are differences in the ethnicity defined for </w:t>
      </w:r>
      <w:r w:rsidR="00771211">
        <w:rPr>
          <w:rFonts w:cs="Arial"/>
        </w:rPr>
        <w:t xml:space="preserve">women </w:t>
      </w:r>
      <w:r w:rsidR="00C51137">
        <w:rPr>
          <w:rFonts w:cs="Arial"/>
        </w:rPr>
        <w:t>and</w:t>
      </w:r>
      <w:r w:rsidR="00771211">
        <w:rPr>
          <w:rFonts w:cs="Arial"/>
        </w:rPr>
        <w:t xml:space="preserve"> </w:t>
      </w:r>
      <w:r w:rsidR="00DF510B">
        <w:rPr>
          <w:rFonts w:cs="Arial"/>
        </w:rPr>
        <w:t>birthing people</w:t>
      </w:r>
      <w:r w:rsidR="00DF510B" w:rsidRPr="009F63CE">
        <w:rPr>
          <w:rFonts w:cs="Arial"/>
        </w:rPr>
        <w:t xml:space="preserve"> </w:t>
      </w:r>
      <w:r w:rsidRPr="009F63CE">
        <w:rPr>
          <w:rFonts w:cs="Arial"/>
        </w:rPr>
        <w:t xml:space="preserve">and babies </w:t>
      </w:r>
      <w:r w:rsidR="00310337" w:rsidRPr="009F63CE">
        <w:rPr>
          <w:rFonts w:cs="Arial"/>
        </w:rPr>
        <w:t>in</w:t>
      </w:r>
      <w:r w:rsidRPr="009F63CE">
        <w:rPr>
          <w:rFonts w:cs="Arial"/>
        </w:rPr>
        <w:t xml:space="preserve"> the PMMR </w:t>
      </w:r>
      <w:r w:rsidR="009F63CE" w:rsidRPr="009F63CE">
        <w:rPr>
          <w:rFonts w:cs="Arial"/>
        </w:rPr>
        <w:t>data set</w:t>
      </w:r>
      <w:r w:rsidR="00310337" w:rsidRPr="009F63CE">
        <w:rPr>
          <w:rFonts w:cs="Arial"/>
        </w:rPr>
        <w:t xml:space="preserve">s compared </w:t>
      </w:r>
      <w:r w:rsidR="00F636C4">
        <w:rPr>
          <w:rFonts w:cs="Arial"/>
        </w:rPr>
        <w:t xml:space="preserve">with </w:t>
      </w:r>
      <w:r w:rsidRPr="009F63CE">
        <w:rPr>
          <w:rFonts w:cs="Arial"/>
        </w:rPr>
        <w:t xml:space="preserve">the MAT </w:t>
      </w:r>
      <w:r w:rsidR="009F63CE" w:rsidRPr="009F63CE">
        <w:rPr>
          <w:rFonts w:cs="Arial"/>
        </w:rPr>
        <w:t>data</w:t>
      </w:r>
      <w:r w:rsidR="00DF510B">
        <w:rPr>
          <w:rFonts w:cs="Arial"/>
        </w:rPr>
        <w:t xml:space="preserve"> </w:t>
      </w:r>
      <w:r w:rsidR="009F63CE" w:rsidRPr="009F63CE">
        <w:rPr>
          <w:rFonts w:cs="Arial"/>
        </w:rPr>
        <w:t>set</w:t>
      </w:r>
      <w:r w:rsidR="00F636C4">
        <w:rPr>
          <w:rFonts w:cs="Arial"/>
        </w:rPr>
        <w:t>,</w:t>
      </w:r>
      <w:r w:rsidR="008E2EED" w:rsidRPr="008E2EED">
        <w:t xml:space="preserve"> </w:t>
      </w:r>
      <w:r w:rsidR="008E2EED">
        <w:rPr>
          <w:rFonts w:cs="Arial"/>
        </w:rPr>
        <w:t>and this is an</w:t>
      </w:r>
      <w:r w:rsidR="008E2EED" w:rsidRPr="008E2EED">
        <w:rPr>
          <w:rFonts w:cs="Arial"/>
        </w:rPr>
        <w:t xml:space="preserve"> example of</w:t>
      </w:r>
      <w:r w:rsidR="008E2EED">
        <w:rPr>
          <w:rFonts w:cs="Arial"/>
        </w:rPr>
        <w:t xml:space="preserve"> potential </w:t>
      </w:r>
      <w:r w:rsidR="008E2EED" w:rsidRPr="008E2EED">
        <w:rPr>
          <w:rFonts w:cs="Arial"/>
        </w:rPr>
        <w:t>numerator</w:t>
      </w:r>
      <w:r w:rsidR="00F636C4">
        <w:rPr>
          <w:rFonts w:cs="Arial"/>
        </w:rPr>
        <w:t>–</w:t>
      </w:r>
      <w:r w:rsidR="008E2EED" w:rsidRPr="008E2EED">
        <w:rPr>
          <w:rFonts w:cs="Arial"/>
        </w:rPr>
        <w:t>denominator bias</w:t>
      </w:r>
      <w:r w:rsidRPr="009F63CE">
        <w:rPr>
          <w:rFonts w:cs="Arial"/>
        </w:rPr>
        <w:t xml:space="preserve">. </w:t>
      </w:r>
      <w:r w:rsidR="00310337" w:rsidRPr="009F63CE">
        <w:rPr>
          <w:rFonts w:cs="Arial"/>
        </w:rPr>
        <w:t>E</w:t>
      </w:r>
      <w:r w:rsidRPr="009F63CE">
        <w:rPr>
          <w:rFonts w:cs="Arial"/>
        </w:rPr>
        <w:t xml:space="preserve">thnicity for </w:t>
      </w:r>
      <w:r w:rsidR="00310337" w:rsidRPr="009F63CE">
        <w:rPr>
          <w:rFonts w:cs="Arial"/>
        </w:rPr>
        <w:t xml:space="preserve">numerators (perinatal and maternal mortality and </w:t>
      </w:r>
      <w:r w:rsidR="006447CA" w:rsidRPr="009F63CE">
        <w:rPr>
          <w:rFonts w:cs="Arial"/>
        </w:rPr>
        <w:t>NE</w:t>
      </w:r>
      <w:r w:rsidR="00310337" w:rsidRPr="009F63CE">
        <w:rPr>
          <w:rFonts w:cs="Arial"/>
        </w:rPr>
        <w:t>)</w:t>
      </w:r>
      <w:r w:rsidRPr="009F63CE">
        <w:rPr>
          <w:rFonts w:cs="Arial"/>
        </w:rPr>
        <w:t xml:space="preserve"> has been defined </w:t>
      </w:r>
      <w:r w:rsidR="00310337" w:rsidRPr="009F63CE">
        <w:rPr>
          <w:rFonts w:cs="Arial"/>
        </w:rPr>
        <w:t>in most instances using</w:t>
      </w:r>
      <w:r w:rsidRPr="009F63CE">
        <w:rPr>
          <w:rFonts w:cs="Arial"/>
        </w:rPr>
        <w:t xml:space="preserve"> the </w:t>
      </w:r>
      <w:r w:rsidR="00310337" w:rsidRPr="009F63CE">
        <w:rPr>
          <w:rFonts w:cs="Arial"/>
        </w:rPr>
        <w:t xml:space="preserve">ethnicity </w:t>
      </w:r>
      <w:r w:rsidRPr="009F63CE">
        <w:rPr>
          <w:rFonts w:cs="Arial"/>
        </w:rPr>
        <w:t xml:space="preserve">data in the PMMR </w:t>
      </w:r>
      <w:r w:rsidR="009F63CE" w:rsidRPr="009F63CE">
        <w:rPr>
          <w:rFonts w:cs="Arial"/>
        </w:rPr>
        <w:t>data set</w:t>
      </w:r>
      <w:r w:rsidR="00310337" w:rsidRPr="009F63CE">
        <w:rPr>
          <w:rFonts w:cs="Arial"/>
        </w:rPr>
        <w:t>s</w:t>
      </w:r>
      <w:r w:rsidRPr="009F63CE">
        <w:rPr>
          <w:rFonts w:cs="Arial"/>
        </w:rPr>
        <w:t xml:space="preserve"> (primarily obtained from BDM registration)</w:t>
      </w:r>
      <w:r w:rsidR="00562B61" w:rsidRPr="009F63CE">
        <w:rPr>
          <w:rFonts w:cs="Arial"/>
        </w:rPr>
        <w:t xml:space="preserve"> because BDM data </w:t>
      </w:r>
      <w:r w:rsidR="00F636C4">
        <w:rPr>
          <w:rFonts w:cs="Arial"/>
        </w:rPr>
        <w:t>is</w:t>
      </w:r>
      <w:r w:rsidR="00F636C4" w:rsidRPr="009F63CE">
        <w:rPr>
          <w:rFonts w:cs="Arial"/>
        </w:rPr>
        <w:t xml:space="preserve"> </w:t>
      </w:r>
      <w:r w:rsidR="00562B61" w:rsidRPr="009F63CE">
        <w:rPr>
          <w:rFonts w:cs="Arial"/>
        </w:rPr>
        <w:t xml:space="preserve">most similar to </w:t>
      </w:r>
      <w:r w:rsidR="006447CA" w:rsidRPr="009F63CE">
        <w:rPr>
          <w:rFonts w:cs="Arial"/>
        </w:rPr>
        <w:t>c</w:t>
      </w:r>
      <w:r w:rsidR="00562B61" w:rsidRPr="009F63CE">
        <w:rPr>
          <w:rFonts w:cs="Arial"/>
        </w:rPr>
        <w:t xml:space="preserve">ensus data </w:t>
      </w:r>
      <w:r w:rsidR="00310337" w:rsidRPr="009F63CE">
        <w:rPr>
          <w:rFonts w:cs="Arial"/>
        </w:rPr>
        <w:t>(</w:t>
      </w:r>
      <w:r w:rsidR="000F19A5" w:rsidRPr="009F63CE">
        <w:rPr>
          <w:rFonts w:cs="Arial"/>
        </w:rPr>
        <w:t>ie</w:t>
      </w:r>
      <w:r w:rsidR="006447CA" w:rsidRPr="009F63CE">
        <w:rPr>
          <w:rFonts w:cs="Arial"/>
        </w:rPr>
        <w:t>,</w:t>
      </w:r>
      <w:r w:rsidR="00562B61" w:rsidRPr="009F63CE">
        <w:rPr>
          <w:rFonts w:cs="Arial"/>
        </w:rPr>
        <w:t xml:space="preserve"> the ethnicity in the BDM </w:t>
      </w:r>
      <w:r w:rsidR="009F63CE" w:rsidRPr="009F63CE">
        <w:rPr>
          <w:rFonts w:cs="Arial"/>
        </w:rPr>
        <w:t>data set</w:t>
      </w:r>
      <w:r w:rsidR="00562B61" w:rsidRPr="009F63CE">
        <w:rPr>
          <w:rFonts w:cs="Arial"/>
        </w:rPr>
        <w:t xml:space="preserve"> is obtained directly from parents</w:t>
      </w:r>
      <w:r w:rsidR="00310337" w:rsidRPr="009F63CE">
        <w:rPr>
          <w:rFonts w:cs="Arial"/>
        </w:rPr>
        <w:t>)</w:t>
      </w:r>
      <w:r w:rsidRPr="009F63CE">
        <w:rPr>
          <w:rFonts w:cs="Arial"/>
        </w:rPr>
        <w:t xml:space="preserve">. </w:t>
      </w:r>
      <w:r w:rsidR="007F73EF">
        <w:rPr>
          <w:rFonts w:cs="Arial"/>
        </w:rPr>
        <w:t>Any e</w:t>
      </w:r>
      <w:r w:rsidR="00310337" w:rsidRPr="009F63CE">
        <w:rPr>
          <w:rFonts w:cs="Arial"/>
        </w:rPr>
        <w:t xml:space="preserve">xceptions are indicated as footnotes to tables and figures. </w:t>
      </w:r>
      <w:r w:rsidRPr="009F63CE">
        <w:rPr>
          <w:rFonts w:cs="Arial"/>
        </w:rPr>
        <w:t xml:space="preserve">Denominator ethnicity is that defined in the MAT </w:t>
      </w:r>
      <w:r w:rsidR="009F63CE" w:rsidRPr="009F63CE">
        <w:rPr>
          <w:rFonts w:cs="Arial"/>
        </w:rPr>
        <w:t>data set</w:t>
      </w:r>
      <w:r w:rsidRPr="009F63CE">
        <w:rPr>
          <w:rFonts w:cs="Arial"/>
        </w:rPr>
        <w:t xml:space="preserve">. </w:t>
      </w:r>
    </w:p>
    <w:p w14:paraId="11F65927" w14:textId="703A8C2D" w:rsidR="00551505" w:rsidRPr="009F63CE" w:rsidRDefault="00710022" w:rsidP="005802B1">
      <w:pPr>
        <w:pStyle w:val="ListParagraph"/>
        <w:spacing w:after="60"/>
        <w:ind w:left="357"/>
        <w:contextualSpacing w:val="0"/>
        <w:rPr>
          <w:rFonts w:cs="Arial"/>
        </w:rPr>
      </w:pPr>
      <w:r w:rsidRPr="009F63CE">
        <w:rPr>
          <w:rFonts w:cs="Arial"/>
        </w:rPr>
        <w:t xml:space="preserve">Ethnicity in the MAT is ‘derived from ethnic codes reported to NMDS birth and postnatal events, LMC Labour &amp; Birth claims and NHI at time of delivery. The </w:t>
      </w:r>
      <w:r w:rsidR="00487EE3">
        <w:rPr>
          <w:rFonts w:cs="Arial"/>
        </w:rPr>
        <w:t>three</w:t>
      </w:r>
      <w:r w:rsidRPr="009F63CE">
        <w:rPr>
          <w:rFonts w:cs="Arial"/>
        </w:rPr>
        <w:t xml:space="preserve"> highest priority ethnic codes that reach a threshold proportion are stored in the Aggregated Pregnancy table’ (National Health Board Business Unit 2011).</w:t>
      </w:r>
      <w:r w:rsidR="00365A61" w:rsidRPr="009F63CE">
        <w:rPr>
          <w:rFonts w:cs="Arial"/>
        </w:rPr>
        <w:t xml:space="preserve"> </w:t>
      </w:r>
    </w:p>
    <w:p w14:paraId="32C6DE66" w14:textId="164DBA94" w:rsidR="00710022" w:rsidRPr="009F63CE" w:rsidRDefault="00710022" w:rsidP="005802B1">
      <w:pPr>
        <w:pStyle w:val="ListParagraph"/>
        <w:spacing w:after="60"/>
        <w:ind w:left="357"/>
        <w:contextualSpacing w:val="0"/>
        <w:rPr>
          <w:rFonts w:cs="Arial"/>
        </w:rPr>
      </w:pPr>
      <w:r w:rsidRPr="009F63CE">
        <w:rPr>
          <w:rFonts w:cs="Arial"/>
        </w:rPr>
        <w:t xml:space="preserve">Further analysis of the impact of differences in the collection and output of ethnicity data can be found in </w:t>
      </w:r>
      <w:r w:rsidR="00B21A60" w:rsidRPr="009F63CE">
        <w:rPr>
          <w:rFonts w:cs="Arial"/>
        </w:rPr>
        <w:t>chapter 5</w:t>
      </w:r>
      <w:r w:rsidR="00DF510B">
        <w:rPr>
          <w:rFonts w:cs="Arial"/>
        </w:rPr>
        <w:t>, page 138,</w:t>
      </w:r>
      <w:r w:rsidR="00B21A60" w:rsidRPr="009F63CE">
        <w:rPr>
          <w:rFonts w:cs="Arial"/>
        </w:rPr>
        <w:t xml:space="preserve"> </w:t>
      </w:r>
      <w:r w:rsidR="00551505" w:rsidRPr="009F63CE">
        <w:rPr>
          <w:rFonts w:cs="Arial"/>
        </w:rPr>
        <w:t xml:space="preserve">of the 11th </w:t>
      </w:r>
      <w:r w:rsidR="004F7A0B" w:rsidRPr="009F63CE">
        <w:rPr>
          <w:rFonts w:cs="Arial"/>
        </w:rPr>
        <w:t xml:space="preserve">PMMRC </w:t>
      </w:r>
      <w:r w:rsidR="00551505" w:rsidRPr="009F63CE">
        <w:rPr>
          <w:rFonts w:cs="Arial"/>
        </w:rPr>
        <w:t xml:space="preserve">report </w:t>
      </w:r>
      <w:r w:rsidR="00DE52A1" w:rsidRPr="009F63CE">
        <w:rPr>
          <w:rFonts w:cs="Arial"/>
        </w:rPr>
        <w:t>(PMMRC 2017)</w:t>
      </w:r>
      <w:r w:rsidR="006C68ED" w:rsidRPr="009F63CE">
        <w:rPr>
          <w:rFonts w:cs="Arial"/>
        </w:rPr>
        <w:t>.</w:t>
      </w:r>
      <w:r w:rsidR="00562B61" w:rsidRPr="009F63CE">
        <w:rPr>
          <w:rFonts w:cs="Arial"/>
        </w:rPr>
        <w:t xml:space="preserve"> Briefly, it appears that the MAT </w:t>
      </w:r>
      <w:r w:rsidR="009F63CE" w:rsidRPr="009F63CE">
        <w:rPr>
          <w:rFonts w:cs="Arial"/>
        </w:rPr>
        <w:t>data set</w:t>
      </w:r>
      <w:r w:rsidR="00562B61" w:rsidRPr="009F63CE">
        <w:rPr>
          <w:rFonts w:cs="Arial"/>
        </w:rPr>
        <w:t xml:space="preserve"> overestimates Māori </w:t>
      </w:r>
      <w:r w:rsidR="00BB42A3" w:rsidRPr="009F63CE">
        <w:rPr>
          <w:rFonts w:cs="Arial"/>
        </w:rPr>
        <w:t xml:space="preserve">ethnicity </w:t>
      </w:r>
      <w:r w:rsidR="00562B61" w:rsidRPr="009F63CE">
        <w:rPr>
          <w:rFonts w:cs="Arial"/>
        </w:rPr>
        <w:t xml:space="preserve">in comparison </w:t>
      </w:r>
      <w:r w:rsidR="00F636C4">
        <w:rPr>
          <w:rFonts w:cs="Arial"/>
        </w:rPr>
        <w:t xml:space="preserve">with </w:t>
      </w:r>
      <w:r w:rsidR="00562B61" w:rsidRPr="009F63CE">
        <w:rPr>
          <w:rFonts w:cs="Arial"/>
        </w:rPr>
        <w:t xml:space="preserve">BDM data, at least for live births. When BDM data </w:t>
      </w:r>
      <w:r w:rsidR="00F636C4">
        <w:rPr>
          <w:rFonts w:cs="Arial"/>
        </w:rPr>
        <w:t>is</w:t>
      </w:r>
      <w:r w:rsidR="00F636C4" w:rsidRPr="009F63CE">
        <w:rPr>
          <w:rFonts w:cs="Arial"/>
        </w:rPr>
        <w:t xml:space="preserve"> </w:t>
      </w:r>
      <w:r w:rsidR="00562B61" w:rsidRPr="009F63CE">
        <w:rPr>
          <w:rFonts w:cs="Arial"/>
        </w:rPr>
        <w:t xml:space="preserve">used for deaths (numerator) and BDM data </w:t>
      </w:r>
      <w:r w:rsidR="003B07D8">
        <w:rPr>
          <w:rFonts w:cs="Arial"/>
        </w:rPr>
        <w:t>is</w:t>
      </w:r>
      <w:r w:rsidR="003B07D8" w:rsidRPr="009F63CE">
        <w:rPr>
          <w:rFonts w:cs="Arial"/>
        </w:rPr>
        <w:t xml:space="preserve"> </w:t>
      </w:r>
      <w:r w:rsidR="00065BD1" w:rsidRPr="009F63CE">
        <w:rPr>
          <w:rFonts w:cs="Arial"/>
        </w:rPr>
        <w:t xml:space="preserve">used </w:t>
      </w:r>
      <w:r w:rsidR="00562B61" w:rsidRPr="009F63CE">
        <w:rPr>
          <w:rFonts w:cs="Arial"/>
        </w:rPr>
        <w:t>for births (denominator)</w:t>
      </w:r>
      <w:r w:rsidR="00065BD1" w:rsidRPr="009F63CE">
        <w:rPr>
          <w:rFonts w:cs="Arial"/>
        </w:rPr>
        <w:t>,</w:t>
      </w:r>
      <w:r w:rsidR="00562B61" w:rsidRPr="009F63CE">
        <w:rPr>
          <w:rFonts w:cs="Arial"/>
        </w:rPr>
        <w:t xml:space="preserve"> </w:t>
      </w:r>
      <w:r w:rsidR="00A92194" w:rsidRPr="009F63CE">
        <w:rPr>
          <w:rFonts w:cs="Arial"/>
        </w:rPr>
        <w:t>a higher perinatal related mortality</w:t>
      </w:r>
      <w:r w:rsidR="001944D2" w:rsidRPr="009F63CE">
        <w:rPr>
          <w:rFonts w:cs="Arial"/>
        </w:rPr>
        <w:t xml:space="preserve"> rate</w:t>
      </w:r>
      <w:r w:rsidR="00A92194" w:rsidRPr="009F63CE">
        <w:rPr>
          <w:rFonts w:cs="Arial"/>
        </w:rPr>
        <w:t xml:space="preserve"> is observed than when MAT data </w:t>
      </w:r>
      <w:r w:rsidR="002A456A">
        <w:rPr>
          <w:rFonts w:cs="Arial"/>
        </w:rPr>
        <w:t xml:space="preserve">is </w:t>
      </w:r>
      <w:r w:rsidR="00A92194" w:rsidRPr="009F63CE">
        <w:rPr>
          <w:rFonts w:cs="Arial"/>
        </w:rPr>
        <w:t>used for either denominator alone or for both numerator and denominator.</w:t>
      </w:r>
      <w:r w:rsidR="00562B61" w:rsidRPr="009F63CE">
        <w:rPr>
          <w:rFonts w:cs="Arial"/>
        </w:rPr>
        <w:t xml:space="preserve"> </w:t>
      </w:r>
      <w:r w:rsidR="00D2139B" w:rsidRPr="009F63CE">
        <w:rPr>
          <w:rFonts w:cs="Arial"/>
        </w:rPr>
        <w:t xml:space="preserve">The 11th </w:t>
      </w:r>
      <w:r w:rsidR="00065BD1" w:rsidRPr="009F63CE">
        <w:rPr>
          <w:rFonts w:cs="Arial"/>
        </w:rPr>
        <w:t xml:space="preserve">PMMRC </w:t>
      </w:r>
      <w:r w:rsidR="00D2139B" w:rsidRPr="009F63CE">
        <w:rPr>
          <w:rFonts w:cs="Arial"/>
        </w:rPr>
        <w:t xml:space="preserve">report changed to using the MAT </w:t>
      </w:r>
      <w:r w:rsidR="009F63CE" w:rsidRPr="009F63CE">
        <w:rPr>
          <w:rFonts w:cs="Arial"/>
        </w:rPr>
        <w:t>data set</w:t>
      </w:r>
      <w:r w:rsidR="00D2139B" w:rsidRPr="009F63CE">
        <w:rPr>
          <w:rFonts w:cs="Arial"/>
        </w:rPr>
        <w:t xml:space="preserve"> as the preferred denominator</w:t>
      </w:r>
      <w:r w:rsidR="00065BD1" w:rsidRPr="009F63CE">
        <w:rPr>
          <w:rFonts w:cs="Arial"/>
        </w:rPr>
        <w:t xml:space="preserve"> because</w:t>
      </w:r>
      <w:r w:rsidR="00D2139B" w:rsidRPr="009F63CE">
        <w:rPr>
          <w:rFonts w:cs="Arial"/>
        </w:rPr>
        <w:t xml:space="preserve"> the BDM denominator </w:t>
      </w:r>
      <w:r w:rsidR="009F63CE" w:rsidRPr="009F63CE">
        <w:rPr>
          <w:rFonts w:cs="Arial"/>
        </w:rPr>
        <w:t>data set</w:t>
      </w:r>
      <w:r w:rsidR="00D2139B" w:rsidRPr="009F63CE">
        <w:rPr>
          <w:rFonts w:cs="Arial"/>
        </w:rPr>
        <w:t xml:space="preserve"> includes very few variables for analyses in maternity; in addition, it does not </w:t>
      </w:r>
      <w:r w:rsidR="00310337" w:rsidRPr="009F63CE">
        <w:rPr>
          <w:rFonts w:cs="Arial"/>
        </w:rPr>
        <w:t>retain</w:t>
      </w:r>
      <w:r w:rsidR="00D2139B" w:rsidRPr="009F63CE">
        <w:rPr>
          <w:rFonts w:cs="Arial"/>
        </w:rPr>
        <w:t xml:space="preserve"> NHIs</w:t>
      </w:r>
      <w:r w:rsidR="001944D2" w:rsidRPr="009F63CE">
        <w:rPr>
          <w:rFonts w:cs="Arial"/>
        </w:rPr>
        <w:t>,</w:t>
      </w:r>
      <w:r w:rsidR="00D2139B" w:rsidRPr="009F63CE">
        <w:rPr>
          <w:rFonts w:cs="Arial"/>
        </w:rPr>
        <w:t xml:space="preserve"> so data </w:t>
      </w:r>
      <w:r w:rsidR="002A456A">
        <w:rPr>
          <w:rFonts w:cs="Arial"/>
        </w:rPr>
        <w:t>is</w:t>
      </w:r>
      <w:r w:rsidR="002A456A" w:rsidRPr="009F63CE">
        <w:rPr>
          <w:rFonts w:cs="Arial"/>
        </w:rPr>
        <w:t xml:space="preserve"> </w:t>
      </w:r>
      <w:r w:rsidR="00D2139B" w:rsidRPr="009F63CE">
        <w:rPr>
          <w:rFonts w:cs="Arial"/>
        </w:rPr>
        <w:t>not easy</w:t>
      </w:r>
      <w:r w:rsidR="00310337" w:rsidRPr="009F63CE">
        <w:rPr>
          <w:rFonts w:cs="Arial"/>
        </w:rPr>
        <w:t xml:space="preserve"> to</w:t>
      </w:r>
      <w:r w:rsidR="00D2139B" w:rsidRPr="009F63CE">
        <w:rPr>
          <w:rFonts w:cs="Arial"/>
        </w:rPr>
        <w:t xml:space="preserve"> merge. Using the MAT denominator for PMMR analyses enabled linking of the PMMR </w:t>
      </w:r>
      <w:r w:rsidR="009F63CE" w:rsidRPr="009F63CE">
        <w:rPr>
          <w:rFonts w:cs="Arial"/>
        </w:rPr>
        <w:t>data set</w:t>
      </w:r>
      <w:r w:rsidR="00D2139B" w:rsidRPr="009F63CE">
        <w:rPr>
          <w:rFonts w:cs="Arial"/>
        </w:rPr>
        <w:t xml:space="preserve"> of deaths with the birth data in the MAT </w:t>
      </w:r>
      <w:r w:rsidR="009F63CE" w:rsidRPr="009F63CE">
        <w:rPr>
          <w:rFonts w:cs="Arial"/>
        </w:rPr>
        <w:t>data set</w:t>
      </w:r>
      <w:r w:rsidR="00D2139B" w:rsidRPr="009F63CE">
        <w:rPr>
          <w:rFonts w:cs="Arial"/>
        </w:rPr>
        <w:t xml:space="preserve"> and therefore provided a </w:t>
      </w:r>
      <w:r w:rsidR="009F63CE" w:rsidRPr="009F63CE">
        <w:rPr>
          <w:rFonts w:cs="Arial"/>
        </w:rPr>
        <w:t>data set</w:t>
      </w:r>
      <w:r w:rsidR="00D2139B" w:rsidRPr="009F63CE">
        <w:rPr>
          <w:rFonts w:cs="Arial"/>
        </w:rPr>
        <w:t xml:space="preserve"> </w:t>
      </w:r>
      <w:r w:rsidR="00065BD1" w:rsidRPr="009F63CE">
        <w:rPr>
          <w:rFonts w:cs="Arial"/>
        </w:rPr>
        <w:t xml:space="preserve">that </w:t>
      </w:r>
      <w:r w:rsidR="00D2139B" w:rsidRPr="009F63CE">
        <w:rPr>
          <w:rFonts w:cs="Arial"/>
        </w:rPr>
        <w:t xml:space="preserve">could be used for more extensive analysis. In the 12th </w:t>
      </w:r>
      <w:r w:rsidR="00065BD1" w:rsidRPr="009F63CE">
        <w:rPr>
          <w:rFonts w:cs="Arial"/>
        </w:rPr>
        <w:t xml:space="preserve">PMMRC </w:t>
      </w:r>
      <w:r w:rsidR="00D2139B" w:rsidRPr="009F63CE">
        <w:rPr>
          <w:rFonts w:cs="Arial"/>
        </w:rPr>
        <w:t>report</w:t>
      </w:r>
      <w:r w:rsidR="009E6D86">
        <w:rPr>
          <w:rFonts w:cs="Arial"/>
        </w:rPr>
        <w:t xml:space="preserve"> (PMMRC 2018)</w:t>
      </w:r>
      <w:r w:rsidR="004C115C" w:rsidRPr="009F63CE">
        <w:rPr>
          <w:rFonts w:cs="Arial"/>
        </w:rPr>
        <w:t>,</w:t>
      </w:r>
      <w:r w:rsidR="00D2139B" w:rsidRPr="009F63CE">
        <w:rPr>
          <w:rFonts w:cs="Arial"/>
        </w:rPr>
        <w:t xml:space="preserve"> </w:t>
      </w:r>
      <w:r w:rsidR="002461B5" w:rsidRPr="009F63CE">
        <w:rPr>
          <w:rFonts w:cs="Arial"/>
        </w:rPr>
        <w:t>NE</w:t>
      </w:r>
      <w:r w:rsidR="00D2139B" w:rsidRPr="009F63CE">
        <w:rPr>
          <w:rFonts w:cs="Arial"/>
        </w:rPr>
        <w:t xml:space="preserve"> data </w:t>
      </w:r>
      <w:r w:rsidR="009E6D86">
        <w:rPr>
          <w:rFonts w:cs="Arial"/>
        </w:rPr>
        <w:t xml:space="preserve">was </w:t>
      </w:r>
      <w:r w:rsidR="00D2139B" w:rsidRPr="009F63CE">
        <w:rPr>
          <w:rFonts w:cs="Arial"/>
        </w:rPr>
        <w:t xml:space="preserve">also linked to the MAT </w:t>
      </w:r>
      <w:r w:rsidR="009F63CE" w:rsidRPr="009F63CE">
        <w:rPr>
          <w:rFonts w:cs="Arial"/>
        </w:rPr>
        <w:t>data set</w:t>
      </w:r>
      <w:r w:rsidR="00D2139B" w:rsidRPr="009F63CE">
        <w:rPr>
          <w:rFonts w:cs="Arial"/>
        </w:rPr>
        <w:t xml:space="preserve"> of births.</w:t>
      </w:r>
      <w:r w:rsidR="00A92194" w:rsidRPr="009F63CE">
        <w:rPr>
          <w:rFonts w:cs="Arial"/>
        </w:rPr>
        <w:t xml:space="preserve"> On a number of occasions</w:t>
      </w:r>
      <w:r w:rsidR="003B07D8">
        <w:rPr>
          <w:rFonts w:cs="Arial"/>
        </w:rPr>
        <w:t>,</w:t>
      </w:r>
      <w:r w:rsidR="00A92194" w:rsidRPr="009F63CE">
        <w:rPr>
          <w:rFonts w:cs="Arial"/>
        </w:rPr>
        <w:t xml:space="preserve"> the </w:t>
      </w:r>
      <w:r w:rsidR="002579CD">
        <w:rPr>
          <w:rFonts w:cs="Arial"/>
        </w:rPr>
        <w:t xml:space="preserve">former </w:t>
      </w:r>
      <w:r w:rsidR="00A92194" w:rsidRPr="009F63CE">
        <w:rPr>
          <w:rFonts w:cs="Arial"/>
        </w:rPr>
        <w:t xml:space="preserve">PMMRC has recommended that </w:t>
      </w:r>
      <w:r w:rsidR="005A4ED9">
        <w:rPr>
          <w:rFonts w:cs="Arial"/>
        </w:rPr>
        <w:t xml:space="preserve">Manatū Hauora </w:t>
      </w:r>
      <w:r w:rsidR="00A92194" w:rsidRPr="009F63CE">
        <w:rPr>
          <w:rFonts w:cs="Arial"/>
        </w:rPr>
        <w:t xml:space="preserve">Ministry of Health retain the ethnicity data shared with it by BDM within the MAT </w:t>
      </w:r>
      <w:r w:rsidR="009F63CE" w:rsidRPr="009F63CE">
        <w:rPr>
          <w:rFonts w:cs="Arial"/>
        </w:rPr>
        <w:t>data set</w:t>
      </w:r>
      <w:r w:rsidR="00A92194" w:rsidRPr="009F63CE">
        <w:rPr>
          <w:rFonts w:cs="Arial"/>
        </w:rPr>
        <w:t xml:space="preserve"> so that an ethnicity variable </w:t>
      </w:r>
      <w:r w:rsidR="00065BD1" w:rsidRPr="009F63CE">
        <w:rPr>
          <w:rFonts w:cs="Arial"/>
        </w:rPr>
        <w:t xml:space="preserve">that </w:t>
      </w:r>
      <w:r w:rsidR="00A92194" w:rsidRPr="009F63CE">
        <w:rPr>
          <w:rFonts w:cs="Arial"/>
        </w:rPr>
        <w:t>more closely resembles Census data (at least in definition) could be available for more accurate analysis of ethnicity associations within maternity</w:t>
      </w:r>
      <w:r w:rsidR="00D2139B" w:rsidRPr="009F63CE">
        <w:rPr>
          <w:rFonts w:cs="Arial"/>
        </w:rPr>
        <w:t xml:space="preserve"> (PMMRC </w:t>
      </w:r>
      <w:r w:rsidR="004C115C" w:rsidRPr="009F63CE">
        <w:rPr>
          <w:rFonts w:cs="Arial"/>
        </w:rPr>
        <w:t xml:space="preserve">2015, </w:t>
      </w:r>
      <w:r w:rsidR="00942E5F" w:rsidRPr="009F63CE">
        <w:rPr>
          <w:rFonts w:cs="Arial"/>
        </w:rPr>
        <w:t>2017</w:t>
      </w:r>
      <w:r w:rsidR="00BB42A3" w:rsidRPr="009F63CE">
        <w:rPr>
          <w:rFonts w:cs="Arial"/>
        </w:rPr>
        <w:t>)</w:t>
      </w:r>
      <w:r w:rsidR="00A92194" w:rsidRPr="009F63CE">
        <w:rPr>
          <w:rFonts w:cs="Arial"/>
        </w:rPr>
        <w:t xml:space="preserve">. </w:t>
      </w:r>
    </w:p>
    <w:p w14:paraId="124EAF7F" w14:textId="1D557E62" w:rsidR="00710022" w:rsidRDefault="00710022" w:rsidP="00943BE6">
      <w:pPr>
        <w:pStyle w:val="ListParagraph"/>
        <w:numPr>
          <w:ilvl w:val="0"/>
          <w:numId w:val="16"/>
        </w:numPr>
        <w:spacing w:after="60"/>
        <w:ind w:hanging="357"/>
        <w:contextualSpacing w:val="0"/>
        <w:rPr>
          <w:rFonts w:cs="Arial"/>
        </w:rPr>
      </w:pPr>
      <w:r w:rsidRPr="009F63CE">
        <w:rPr>
          <w:rFonts w:cs="Arial"/>
        </w:rPr>
        <w:t>In the MAT</w:t>
      </w:r>
      <w:r w:rsidR="00BC67EF" w:rsidRPr="009F63CE">
        <w:rPr>
          <w:rFonts w:cs="Arial"/>
        </w:rPr>
        <w:t xml:space="preserve"> </w:t>
      </w:r>
      <w:r w:rsidR="009F63CE" w:rsidRPr="009F63CE">
        <w:rPr>
          <w:rFonts w:cs="Arial"/>
        </w:rPr>
        <w:t>data set</w:t>
      </w:r>
      <w:r w:rsidRPr="009F63CE">
        <w:rPr>
          <w:rFonts w:cs="Arial"/>
        </w:rPr>
        <w:t xml:space="preserve">, only </w:t>
      </w:r>
      <w:r w:rsidR="005A4ED9">
        <w:rPr>
          <w:rFonts w:cs="Arial"/>
        </w:rPr>
        <w:t xml:space="preserve">the </w:t>
      </w:r>
      <w:r w:rsidRPr="009F63CE">
        <w:rPr>
          <w:rFonts w:cs="Arial"/>
        </w:rPr>
        <w:t>census area unit</w:t>
      </w:r>
      <w:r w:rsidR="009F63CE">
        <w:rPr>
          <w:rFonts w:cs="Arial"/>
        </w:rPr>
        <w:t>-</w:t>
      </w:r>
      <w:r w:rsidRPr="009F63CE">
        <w:rPr>
          <w:rFonts w:cs="Arial"/>
        </w:rPr>
        <w:t>based deprivation score is available as a measure of residence</w:t>
      </w:r>
      <w:r w:rsidR="00A0726E" w:rsidRPr="009F63CE">
        <w:rPr>
          <w:rFonts w:cs="Arial"/>
        </w:rPr>
        <w:t>-</w:t>
      </w:r>
      <w:r w:rsidRPr="009F63CE">
        <w:rPr>
          <w:rFonts w:cs="Arial"/>
        </w:rPr>
        <w:t>based deprivation</w:t>
      </w:r>
      <w:r w:rsidR="00657ABD">
        <w:rPr>
          <w:rFonts w:cs="Arial"/>
        </w:rPr>
        <w:t xml:space="preserve">. This </w:t>
      </w:r>
      <w:r w:rsidR="00657ABD" w:rsidRPr="008629C9">
        <w:rPr>
          <w:rFonts w:cs="Arial"/>
        </w:rPr>
        <w:t>changed to</w:t>
      </w:r>
      <w:r w:rsidR="008629C9" w:rsidRPr="008629C9">
        <w:rPr>
          <w:rFonts w:cs="Arial"/>
        </w:rPr>
        <w:t xml:space="preserve"> </w:t>
      </w:r>
      <w:r w:rsidR="008629C9" w:rsidRPr="00881675">
        <w:rPr>
          <w:rStyle w:val="cf01"/>
          <w:rFonts w:ascii="Arial" w:hAnsi="Arial" w:cs="Arial"/>
          <w:sz w:val="22"/>
          <w:szCs w:val="22"/>
        </w:rPr>
        <w:t>Statistical Area 2</w:t>
      </w:r>
      <w:r w:rsidR="00657ABD" w:rsidRPr="008629C9">
        <w:rPr>
          <w:rFonts w:cs="Arial"/>
        </w:rPr>
        <w:t xml:space="preserve"> </w:t>
      </w:r>
      <w:r w:rsidR="008629C9" w:rsidRPr="008629C9">
        <w:rPr>
          <w:rFonts w:cs="Arial"/>
        </w:rPr>
        <w:t>(</w:t>
      </w:r>
      <w:r w:rsidR="000158E7" w:rsidRPr="008629C9">
        <w:rPr>
          <w:rFonts w:cs="Arial"/>
        </w:rPr>
        <w:t>SA</w:t>
      </w:r>
      <w:r w:rsidR="00657ABD" w:rsidRPr="008629C9">
        <w:rPr>
          <w:rFonts w:cs="Arial"/>
        </w:rPr>
        <w:t>2</w:t>
      </w:r>
      <w:r w:rsidR="008629C9" w:rsidRPr="008629C9">
        <w:rPr>
          <w:rFonts w:cs="Arial"/>
        </w:rPr>
        <w:t>) in the NZD</w:t>
      </w:r>
      <w:r w:rsidR="00751AF1">
        <w:rPr>
          <w:rFonts w:cs="Arial"/>
        </w:rPr>
        <w:t>ep</w:t>
      </w:r>
      <w:r w:rsidR="00657ABD" w:rsidRPr="008629C9">
        <w:rPr>
          <w:rFonts w:cs="Arial"/>
        </w:rPr>
        <w:t xml:space="preserve"> from 2018</w:t>
      </w:r>
      <w:r w:rsidRPr="008629C9">
        <w:rPr>
          <w:rFonts w:cs="Arial"/>
        </w:rPr>
        <w:t xml:space="preserve">. Previously, </w:t>
      </w:r>
      <w:r w:rsidR="005A4ED9" w:rsidRPr="008629C9">
        <w:rPr>
          <w:rFonts w:cs="Arial"/>
        </w:rPr>
        <w:t xml:space="preserve">the </w:t>
      </w:r>
      <w:r w:rsidRPr="008629C9">
        <w:rPr>
          <w:rFonts w:cs="Arial"/>
        </w:rPr>
        <w:t>meshblock</w:t>
      </w:r>
      <w:r w:rsidR="00A0726E" w:rsidRPr="008629C9">
        <w:rPr>
          <w:rFonts w:cs="Arial"/>
        </w:rPr>
        <w:t>-</w:t>
      </w:r>
      <w:r w:rsidRPr="008629C9">
        <w:rPr>
          <w:rFonts w:cs="Arial"/>
        </w:rPr>
        <w:t>based deprivation score was used in</w:t>
      </w:r>
      <w:r w:rsidRPr="009F63CE">
        <w:rPr>
          <w:rFonts w:cs="Arial"/>
        </w:rPr>
        <w:t xml:space="preserve"> PMMRC analyses. Census area units</w:t>
      </w:r>
      <w:r w:rsidR="00657ABD">
        <w:rPr>
          <w:rFonts w:cs="Arial"/>
        </w:rPr>
        <w:t xml:space="preserve"> and SA2s </w:t>
      </w:r>
      <w:r w:rsidRPr="009F63CE">
        <w:rPr>
          <w:rFonts w:cs="Arial"/>
        </w:rPr>
        <w:t xml:space="preserve">are larger than meshblocks. </w:t>
      </w:r>
      <w:r w:rsidR="004E10E5">
        <w:rPr>
          <w:rFonts w:cs="Arial"/>
        </w:rPr>
        <w:t xml:space="preserve">Deprivation scores based on Census area units </w:t>
      </w:r>
      <w:r w:rsidR="00657ABD">
        <w:rPr>
          <w:rFonts w:cs="Arial"/>
        </w:rPr>
        <w:t>(</w:t>
      </w:r>
      <w:r w:rsidR="004E10E5">
        <w:rPr>
          <w:rFonts w:cs="Arial"/>
        </w:rPr>
        <w:t xml:space="preserve">before </w:t>
      </w:r>
      <w:r w:rsidR="00657ABD">
        <w:rPr>
          <w:rFonts w:cs="Arial"/>
        </w:rPr>
        <w:t xml:space="preserve">2018) and SA2 (from 2018) </w:t>
      </w:r>
      <w:r w:rsidRPr="009F63CE">
        <w:rPr>
          <w:rFonts w:cs="Arial"/>
        </w:rPr>
        <w:t>will be used for both numerator and denominator so rates can still be presented.</w:t>
      </w:r>
    </w:p>
    <w:p w14:paraId="6FAF56B4" w14:textId="77777777" w:rsidR="001C4055" w:rsidRPr="009F63CE" w:rsidRDefault="001C4055" w:rsidP="001A5150">
      <w:pPr>
        <w:pStyle w:val="TeThHauorahead1"/>
      </w:pPr>
      <w:bookmarkStart w:id="46" w:name="_Toc480971553"/>
      <w:bookmarkStart w:id="47" w:name="_Toc483987183"/>
      <w:bookmarkStart w:id="48" w:name="_Toc169524781"/>
      <w:r w:rsidRPr="009F63CE">
        <w:lastRenderedPageBreak/>
        <w:t>Data analysis</w:t>
      </w:r>
      <w:bookmarkEnd w:id="46"/>
      <w:bookmarkEnd w:id="47"/>
      <w:bookmarkEnd w:id="48"/>
    </w:p>
    <w:p w14:paraId="349E20BE" w14:textId="77777777" w:rsidR="001C4055" w:rsidRPr="009F63CE" w:rsidRDefault="001C4055" w:rsidP="001A5150">
      <w:pPr>
        <w:pStyle w:val="TeThHauorahead2"/>
      </w:pPr>
      <w:bookmarkStart w:id="49" w:name="_Toc169524782"/>
      <w:r w:rsidRPr="009F63CE">
        <w:t>Percentages</w:t>
      </w:r>
      <w:bookmarkEnd w:id="49"/>
    </w:p>
    <w:p w14:paraId="315ADB7C" w14:textId="683E009A" w:rsidR="001C4055" w:rsidRPr="009F63CE" w:rsidRDefault="001C4055" w:rsidP="00526787">
      <w:pPr>
        <w:pStyle w:val="TeThHauorabodytext"/>
      </w:pPr>
      <w:r w:rsidRPr="009F63CE">
        <w:t>Percentages have been displayed with one decimal place or without decimal places when the denominator is small. In some cases, the percentages do not add to exactly 100</w:t>
      </w:r>
      <w:r w:rsidR="005637A9">
        <w:t>%</w:t>
      </w:r>
      <w:r w:rsidRPr="009F63CE">
        <w:t xml:space="preserve"> </w:t>
      </w:r>
      <w:r w:rsidR="005637A9">
        <w:t>because of rounding</w:t>
      </w:r>
      <w:r w:rsidRPr="009F63CE">
        <w:t>.</w:t>
      </w:r>
    </w:p>
    <w:p w14:paraId="5DD5E2A7" w14:textId="77777777" w:rsidR="001C4055" w:rsidRPr="009F63CE" w:rsidRDefault="001C4055" w:rsidP="001A5150">
      <w:pPr>
        <w:pStyle w:val="TeThHauorahead2"/>
      </w:pPr>
      <w:bookmarkStart w:id="50" w:name="_Toc169524783"/>
      <w:r w:rsidRPr="009F63CE">
        <w:t>Confidence intervals</w:t>
      </w:r>
      <w:bookmarkEnd w:id="50"/>
    </w:p>
    <w:p w14:paraId="716504FF" w14:textId="6ED9DE3C" w:rsidR="001C4055" w:rsidRPr="009F63CE" w:rsidRDefault="007A240E" w:rsidP="00526787">
      <w:pPr>
        <w:pStyle w:val="TeThHauorabodytext"/>
      </w:pPr>
      <w:r>
        <w:t xml:space="preserve">We have computed 95% </w:t>
      </w:r>
      <w:r w:rsidR="001C4055" w:rsidRPr="009F63CE">
        <w:t>confidence intervals (CIs) for perinatal mortality rates using the methods for vital statistics described by the Centers for Disease Control and Prevention (Heron 2011). The CI represents the degree of uncertainty around the point estimate of the rate for the particular period.</w:t>
      </w:r>
    </w:p>
    <w:p w14:paraId="4B7D8CCB" w14:textId="2BC47A50" w:rsidR="001C4055" w:rsidRPr="009F63CE" w:rsidRDefault="001C4055" w:rsidP="00526787">
      <w:pPr>
        <w:pStyle w:val="TeThHauorabodytext"/>
      </w:pPr>
      <w:r w:rsidRPr="009F63CE">
        <w:t>This uncertainty depends on the absolute number of deaths and the number of births from which the deaths arose. If the number of births is large, then the CI (</w:t>
      </w:r>
      <w:r w:rsidR="000F19A5" w:rsidRPr="009F63CE">
        <w:t>ie</w:t>
      </w:r>
      <w:r w:rsidRPr="009F63CE">
        <w:t>, the level of uncertainty) is generally small; if the number of births is small, the CI is large. The CI represents the limits within which the ‘true’ rate is most likely to lie. This calculation is necessary when numbers are small because the point estimate of the rate calculated from the data given may by chance have taken a wide range of values. The CI describes this range.</w:t>
      </w:r>
    </w:p>
    <w:p w14:paraId="2A8F1FCA" w14:textId="54311137" w:rsidR="001C4055" w:rsidRDefault="001C4055" w:rsidP="00526787">
      <w:pPr>
        <w:pStyle w:val="TeThHauorabodytext"/>
      </w:pPr>
      <w:r w:rsidRPr="009F63CE">
        <w:t xml:space="preserve">It is possible to compare rates by looking at the CI. If the CI for </w:t>
      </w:r>
      <w:r w:rsidR="00D64C0D" w:rsidRPr="009F63CE">
        <w:t>one</w:t>
      </w:r>
      <w:r w:rsidRPr="009F63CE">
        <w:t xml:space="preserve"> rate does not overlap the estimate of </w:t>
      </w:r>
      <w:r w:rsidR="00D64C0D" w:rsidRPr="009F63CE">
        <w:t>an</w:t>
      </w:r>
      <w:r w:rsidRPr="009F63CE">
        <w:t>other rate, it is likely that the rates are different. This is equivalent to the rates being statistically significantly different at the p</w:t>
      </w:r>
      <w:r w:rsidR="007A240E">
        <w:t xml:space="preserve"> </w:t>
      </w:r>
      <w:r w:rsidRPr="009F63CE">
        <w:t>&lt;0.05 level. If the CI does overlap the estimate, the rates may or may not be different.</w:t>
      </w:r>
      <w:r w:rsidR="000F19A5" w:rsidRPr="009F63CE">
        <w:t xml:space="preserve"> </w:t>
      </w:r>
    </w:p>
    <w:p w14:paraId="5EDEF32F" w14:textId="372F9FF4" w:rsidR="00024E16" w:rsidRDefault="00280DDB" w:rsidP="001A5150">
      <w:pPr>
        <w:pStyle w:val="TeThHauorahead2"/>
      </w:pPr>
      <w:bookmarkStart w:id="51" w:name="_Toc169524784"/>
      <w:r>
        <w:t xml:space="preserve">Rate </w:t>
      </w:r>
      <w:r w:rsidR="006D7AE5">
        <w:t>r</w:t>
      </w:r>
      <w:r>
        <w:t>atio</w:t>
      </w:r>
      <w:bookmarkEnd w:id="51"/>
    </w:p>
    <w:p w14:paraId="48E25E7C" w14:textId="0F197EA1" w:rsidR="00024E16" w:rsidRDefault="00024E16" w:rsidP="00526787">
      <w:pPr>
        <w:pStyle w:val="TeThHauorabodytext"/>
        <w:rPr>
          <w:bCs/>
        </w:rPr>
      </w:pPr>
      <w:r>
        <w:rPr>
          <w:bCs/>
        </w:rPr>
        <w:t>R</w:t>
      </w:r>
      <w:r w:rsidRPr="00024E16">
        <w:t xml:space="preserve">ate ratio is calculated as the ratio of the incidence rate for an exposed group and an unexposed or less exposed group. For example, the ratio of the maternal mortality rate associated with </w:t>
      </w:r>
      <w:r w:rsidR="007F618D">
        <w:t xml:space="preserve">women </w:t>
      </w:r>
      <w:r w:rsidR="00C51137">
        <w:t>and</w:t>
      </w:r>
      <w:r w:rsidR="007F618D">
        <w:t xml:space="preserve"> </w:t>
      </w:r>
      <w:r w:rsidR="00C35617">
        <w:t xml:space="preserve">birthing people </w:t>
      </w:r>
      <w:r w:rsidRPr="00024E16">
        <w:t>living in deprivation quintile 5 areas (exposed group) versus those living in deprivation quintile 1 (less/unexposed group)</w:t>
      </w:r>
      <w:r>
        <w:rPr>
          <w:bCs/>
        </w:rPr>
        <w:t>.</w:t>
      </w:r>
    </w:p>
    <w:p w14:paraId="6EA130C4" w14:textId="5D779EE7" w:rsidR="007C2DC4" w:rsidRDefault="007C2DC4" w:rsidP="001A5150">
      <w:pPr>
        <w:pStyle w:val="TeThHauorahead2"/>
      </w:pPr>
      <w:bookmarkStart w:id="52" w:name="_Toc169524785"/>
      <w:r>
        <w:t xml:space="preserve">Odds </w:t>
      </w:r>
      <w:r w:rsidR="008F6B2F">
        <w:t>r</w:t>
      </w:r>
      <w:r>
        <w:t>atio</w:t>
      </w:r>
      <w:bookmarkEnd w:id="52"/>
    </w:p>
    <w:p w14:paraId="280BCA18" w14:textId="68C2624B" w:rsidR="007C2DC4" w:rsidRDefault="007C2DC4" w:rsidP="00526787">
      <w:pPr>
        <w:pStyle w:val="TeThHauorabodytext"/>
        <w:rPr>
          <w:bCs/>
        </w:rPr>
      </w:pPr>
      <w:r w:rsidRPr="007C2DC4">
        <w:rPr>
          <w:bCs/>
        </w:rPr>
        <w:t xml:space="preserve">The </w:t>
      </w:r>
      <w:r w:rsidR="008F6B2F">
        <w:rPr>
          <w:bCs/>
        </w:rPr>
        <w:t>o</w:t>
      </w:r>
      <w:r w:rsidRPr="007C2DC4">
        <w:rPr>
          <w:bCs/>
        </w:rPr>
        <w:t xml:space="preserve">dds </w:t>
      </w:r>
      <w:r w:rsidR="008F6B2F">
        <w:rPr>
          <w:bCs/>
        </w:rPr>
        <w:t>r</w:t>
      </w:r>
      <w:r w:rsidRPr="007C2DC4">
        <w:rPr>
          <w:bCs/>
        </w:rPr>
        <w:t xml:space="preserve">atio (OR) is a statistical measure of the association between the outcome and the exposure. The OR is calculated as the ratio of the odds of the outcome occurring in the exposure group to the odds of it occurring in the non-exposure group. An OR of 1 indicates no </w:t>
      </w:r>
      <w:r w:rsidRPr="00526787">
        <w:t>association</w:t>
      </w:r>
      <w:r w:rsidRPr="007C2DC4">
        <w:rPr>
          <w:bCs/>
        </w:rPr>
        <w:t xml:space="preserve"> between the outcome and the exposure.</w:t>
      </w:r>
      <w:r>
        <w:rPr>
          <w:bCs/>
        </w:rPr>
        <w:t xml:space="preserve"> This was </w:t>
      </w:r>
      <w:r w:rsidR="00423224">
        <w:rPr>
          <w:bCs/>
        </w:rPr>
        <w:t xml:space="preserve">used </w:t>
      </w:r>
      <w:r>
        <w:rPr>
          <w:bCs/>
        </w:rPr>
        <w:t>in the COVID-19 section where we calculated the OR of a perinatal related mortality if there was a confirmed COVID-19 infection in pregnancy.</w:t>
      </w:r>
    </w:p>
    <w:p w14:paraId="4FC34C44" w14:textId="7FE680A6" w:rsidR="001C4055" w:rsidRPr="009F63CE" w:rsidRDefault="001C4055" w:rsidP="001A5150">
      <w:pPr>
        <w:pStyle w:val="TeThHauorahead2"/>
      </w:pPr>
      <w:bookmarkStart w:id="53" w:name="_Toc169524786"/>
      <w:r w:rsidRPr="009F63CE">
        <w:t>Statistical testing</w:t>
      </w:r>
      <w:bookmarkEnd w:id="53"/>
    </w:p>
    <w:p w14:paraId="1251BC46" w14:textId="7CAF7C99" w:rsidR="001C4055" w:rsidRPr="009F63CE" w:rsidRDefault="001C4055" w:rsidP="00526787">
      <w:pPr>
        <w:pStyle w:val="TeThHauorabodytext"/>
      </w:pPr>
      <w:r w:rsidRPr="009F63CE">
        <w:t xml:space="preserve">Where the text notes a statistically significant difference or association, this indicates that a statistical test has been applied and that the p-value is less than 0.05. Conversely, if a difference is said to be not statistically significant, then the p-value is equal to or greater than </w:t>
      </w:r>
      <w:r w:rsidRPr="009F63CE">
        <w:lastRenderedPageBreak/>
        <w:t>0.05. If the words ‘statistically significant’ are not used to describe a difference or association, it can be assumed that a statistical test has not been applied.</w:t>
      </w:r>
    </w:p>
    <w:p w14:paraId="50E3F65F" w14:textId="36220946" w:rsidR="003B77BB" w:rsidRDefault="003B77BB" w:rsidP="00526787">
      <w:pPr>
        <w:pStyle w:val="TeThHauorabodytext"/>
      </w:pPr>
      <w:r>
        <w:t xml:space="preserve">Simple </w:t>
      </w:r>
      <w:r w:rsidRPr="009F63CE">
        <w:t>linear regressio</w:t>
      </w:r>
      <w:r>
        <w:t xml:space="preserve">n analysis has been used to investigate linear change across time. Autocorrelation and normality of the residuals was investigated for all models. </w:t>
      </w:r>
      <w:r w:rsidR="00CA3843">
        <w:t>From each model</w:t>
      </w:r>
      <w:r w:rsidR="00423224">
        <w:t>,</w:t>
      </w:r>
      <w:r w:rsidR="00CA3843">
        <w:t xml:space="preserve"> the change across time is estimated</w:t>
      </w:r>
      <w:r w:rsidR="00423224">
        <w:t>,</w:t>
      </w:r>
      <w:r w:rsidR="00CA3843">
        <w:t xml:space="preserve"> along with the 95% </w:t>
      </w:r>
      <w:r w:rsidR="007A240E">
        <w:t>CI</w:t>
      </w:r>
      <w:r w:rsidR="00CA3843">
        <w:t xml:space="preserve">. </w:t>
      </w:r>
      <w:r w:rsidR="00423224">
        <w:t>A</w:t>
      </w:r>
      <w:r w:rsidR="00CA3843">
        <w:t xml:space="preserve"> positive</w:t>
      </w:r>
      <w:r w:rsidR="00423224">
        <w:t xml:space="preserve"> slope</w:t>
      </w:r>
      <w:r w:rsidR="00CA3843">
        <w:t xml:space="preserve"> indicates an increase in rate during that time</w:t>
      </w:r>
      <w:r w:rsidR="00423224">
        <w:t xml:space="preserve"> </w:t>
      </w:r>
      <w:r w:rsidR="00CA3843">
        <w:t>period</w:t>
      </w:r>
      <w:r w:rsidR="00423224">
        <w:t xml:space="preserve">; a negative slope </w:t>
      </w:r>
      <w:r w:rsidR="00CA3843">
        <w:t>indicates a decrease over time.</w:t>
      </w:r>
    </w:p>
    <w:p w14:paraId="1ED905D8" w14:textId="52CA9719" w:rsidR="003B77BB" w:rsidRDefault="003B77BB" w:rsidP="00526787">
      <w:pPr>
        <w:pStyle w:val="TeThHauorabodytext"/>
      </w:pPr>
      <w:r>
        <w:t>Where applicable, chi</w:t>
      </w:r>
      <w:r w:rsidR="00B378C6">
        <w:t>-</w:t>
      </w:r>
      <w:r>
        <w:t>squared tests were used to investigate the association between categorical variables.</w:t>
      </w:r>
    </w:p>
    <w:p w14:paraId="645DE34D" w14:textId="77777777" w:rsidR="001C4055" w:rsidRPr="009F63CE" w:rsidRDefault="001C4055" w:rsidP="001A5150">
      <w:pPr>
        <w:pStyle w:val="TeThHauorahead2"/>
      </w:pPr>
      <w:bookmarkStart w:id="54" w:name="_Toc169524787"/>
      <w:r w:rsidRPr="009F63CE">
        <w:t>Missing data</w:t>
      </w:r>
      <w:bookmarkEnd w:id="54"/>
    </w:p>
    <w:p w14:paraId="00E5EF1F" w14:textId="06074458" w:rsidR="001C4055" w:rsidRPr="009F63CE" w:rsidRDefault="001C4055" w:rsidP="00526787">
      <w:pPr>
        <w:pStyle w:val="TeThHauorabodytext"/>
      </w:pPr>
      <w:r w:rsidRPr="009F63CE">
        <w:t xml:space="preserve">Cases </w:t>
      </w:r>
      <w:r w:rsidR="00B378C6">
        <w:t xml:space="preserve">with </w:t>
      </w:r>
      <w:r w:rsidRPr="009F63CE">
        <w:t xml:space="preserve">missing data </w:t>
      </w:r>
      <w:r w:rsidR="007A240E">
        <w:t>are</w:t>
      </w:r>
      <w:r w:rsidR="007A240E" w:rsidRPr="009F63CE">
        <w:t xml:space="preserve"> </w:t>
      </w:r>
      <w:r w:rsidRPr="009F63CE">
        <w:t>still included in the data tables</w:t>
      </w:r>
      <w:r w:rsidR="00284AA7">
        <w:t xml:space="preserve">. </w:t>
      </w:r>
      <w:r w:rsidRPr="009F63CE">
        <w:t>However, where missing data exceed</w:t>
      </w:r>
      <w:r w:rsidR="00B378C6">
        <w:t>s</w:t>
      </w:r>
      <w:r w:rsidRPr="009F63CE">
        <w:t xml:space="preserve"> 30</w:t>
      </w:r>
      <w:r w:rsidR="00B378C6">
        <w:t>%</w:t>
      </w:r>
      <w:r w:rsidRPr="009F63CE">
        <w:t xml:space="preserve"> of all possible data points, the data </w:t>
      </w:r>
      <w:r w:rsidR="00B378C6">
        <w:t xml:space="preserve">has </w:t>
      </w:r>
      <w:r w:rsidRPr="009F63CE">
        <w:t>generally not been presented.</w:t>
      </w:r>
    </w:p>
    <w:p w14:paraId="10132C31" w14:textId="6C4223B4" w:rsidR="001C4055" w:rsidRPr="009F63CE" w:rsidRDefault="001C4055" w:rsidP="00526787">
      <w:pPr>
        <w:pStyle w:val="TeThHauorabodytext"/>
      </w:pPr>
      <w:r w:rsidRPr="009F63CE">
        <w:t>At the lower extremes of gestation and birthweight</w:t>
      </w:r>
      <w:r w:rsidR="00BA65FA">
        <w:t xml:space="preserve">, </w:t>
      </w:r>
      <w:bookmarkStart w:id="55" w:name="_Hlk114651258"/>
      <w:r w:rsidR="00BA65FA">
        <w:t>for example less than 23 weeks’ gestation or less than 500</w:t>
      </w:r>
      <w:r w:rsidR="00BB413E">
        <w:t xml:space="preserve"> </w:t>
      </w:r>
      <w:r w:rsidR="00BA65FA">
        <w:t>g birthweight</w:t>
      </w:r>
      <w:bookmarkEnd w:id="55"/>
      <w:r w:rsidRPr="009F63CE">
        <w:t>, denominator numbers are small and almost all babies will not survive. If the denominator</w:t>
      </w:r>
      <w:r w:rsidR="00BC67EF" w:rsidRPr="009F63CE">
        <w:t xml:space="preserve"> </w:t>
      </w:r>
      <w:r w:rsidR="009F63CE" w:rsidRPr="009F63CE">
        <w:t>data set</w:t>
      </w:r>
      <w:r w:rsidRPr="009F63CE">
        <w:t xml:space="preserve"> does not include all births</w:t>
      </w:r>
      <w:r w:rsidR="00BB413E">
        <w:t>,</w:t>
      </w:r>
      <w:r w:rsidRPr="009F63CE">
        <w:t xml:space="preserve"> for whatever reason, then it </w:t>
      </w:r>
      <w:r w:rsidR="006A20C8">
        <w:t>may</w:t>
      </w:r>
      <w:r w:rsidRPr="009F63CE">
        <w:t xml:space="preserve"> appear that more babies died than were born. </w:t>
      </w:r>
    </w:p>
    <w:p w14:paraId="4A93028F" w14:textId="77777777" w:rsidR="001C4055" w:rsidRPr="009F63CE" w:rsidRDefault="001C4055" w:rsidP="001A5150">
      <w:pPr>
        <w:pStyle w:val="TeThHauorahead2"/>
      </w:pPr>
      <w:bookmarkStart w:id="56" w:name="_Toc169524788"/>
      <w:r w:rsidRPr="009F63CE">
        <w:t>Multiple-year data</w:t>
      </w:r>
      <w:bookmarkEnd w:id="56"/>
      <w:r w:rsidR="00997783" w:rsidRPr="009F63CE">
        <w:t xml:space="preserve"> </w:t>
      </w:r>
    </w:p>
    <w:p w14:paraId="04D5F41E" w14:textId="1AD6C638" w:rsidR="001C4055" w:rsidRDefault="008C3279" w:rsidP="00526787">
      <w:pPr>
        <w:pStyle w:val="TeThHauorabodytext"/>
      </w:pPr>
      <w:r w:rsidRPr="009F63CE">
        <w:t>F</w:t>
      </w:r>
      <w:r w:rsidR="001C4055" w:rsidRPr="009F63CE">
        <w:t>igures</w:t>
      </w:r>
      <w:r w:rsidRPr="009F63CE">
        <w:t xml:space="preserve"> (and tables)</w:t>
      </w:r>
      <w:r w:rsidR="001C4055" w:rsidRPr="009F63CE">
        <w:t xml:space="preserve"> </w:t>
      </w:r>
      <w:r w:rsidRPr="009F63CE">
        <w:t>in the reports</w:t>
      </w:r>
      <w:r w:rsidR="001C4055" w:rsidRPr="009F63CE">
        <w:t xml:space="preserve"> sometimes include combined data for the most recent </w:t>
      </w:r>
      <w:r w:rsidR="00BB413E">
        <w:t>10</w:t>
      </w:r>
      <w:r w:rsidR="00BB413E" w:rsidRPr="009F63CE">
        <w:t xml:space="preserve"> </w:t>
      </w:r>
      <w:r w:rsidR="001C4055" w:rsidRPr="009F63CE">
        <w:t>years</w:t>
      </w:r>
      <w:r w:rsidR="002D58DC" w:rsidRPr="009F63CE">
        <w:t xml:space="preserve"> (or for all years)</w:t>
      </w:r>
      <w:r w:rsidR="001C4055" w:rsidRPr="009F63CE">
        <w:t xml:space="preserve"> that the PMMR</w:t>
      </w:r>
      <w:r w:rsidRPr="009F63CE">
        <w:t>C has collected data</w:t>
      </w:r>
      <w:r w:rsidR="001C4055" w:rsidRPr="009F63CE">
        <w:t>. This increases the numbers and so improves the confidence around the estimates given.</w:t>
      </w:r>
    </w:p>
    <w:p w14:paraId="6AAFB563" w14:textId="20DDACC8" w:rsidR="002512E5" w:rsidRDefault="002512E5" w:rsidP="001A5150">
      <w:pPr>
        <w:pStyle w:val="TeThHauorahead2"/>
      </w:pPr>
      <w:bookmarkStart w:id="57" w:name="_Toc169524789"/>
      <w:r>
        <w:t>National rates</w:t>
      </w:r>
      <w:bookmarkEnd w:id="57"/>
    </w:p>
    <w:p w14:paraId="733A2CB3" w14:textId="5D0C1173" w:rsidR="002512E5" w:rsidRPr="002512E5" w:rsidRDefault="00BB413E" w:rsidP="00526787">
      <w:pPr>
        <w:pStyle w:val="TeThHauorabodytext"/>
      </w:pPr>
      <w:r>
        <w:t>S</w:t>
      </w:r>
      <w:r w:rsidR="002512E5">
        <w:t xml:space="preserve">ome figures presenting DHB data </w:t>
      </w:r>
      <w:r>
        <w:t xml:space="preserve">indicate </w:t>
      </w:r>
      <w:r w:rsidR="002512E5">
        <w:t>a national rate. This</w:t>
      </w:r>
      <w:r w:rsidR="002512E5" w:rsidRPr="002512E5">
        <w:t xml:space="preserve"> is calculated as a total rate over the stated time period for all DHBs shown</w:t>
      </w:r>
      <w:r w:rsidR="002512E5">
        <w:t>.</w:t>
      </w:r>
    </w:p>
    <w:p w14:paraId="1F02DBB2" w14:textId="77777777" w:rsidR="00997783" w:rsidRPr="009F63CE" w:rsidRDefault="00997783" w:rsidP="001A5150">
      <w:pPr>
        <w:pStyle w:val="TeThHauorahead2"/>
      </w:pPr>
      <w:bookmarkStart w:id="58" w:name="_Toc169524790"/>
      <w:r w:rsidRPr="009F63CE">
        <w:t>Management of late notifications</w:t>
      </w:r>
      <w:bookmarkEnd w:id="58"/>
    </w:p>
    <w:p w14:paraId="2E7B1C7D" w14:textId="6BF41007" w:rsidR="00C64FF2" w:rsidRPr="009F63CE" w:rsidRDefault="00997783" w:rsidP="00526787">
      <w:pPr>
        <w:pStyle w:val="TeThHauorabodytext"/>
        <w:rPr>
          <w:color w:val="C00000"/>
          <w:sz w:val="28"/>
        </w:rPr>
      </w:pPr>
      <w:r w:rsidRPr="009F63CE">
        <w:t xml:space="preserve">Cases notified after the </w:t>
      </w:r>
      <w:r w:rsidR="009F63CE" w:rsidRPr="009F63CE">
        <w:t>data set</w:t>
      </w:r>
      <w:r w:rsidRPr="009F63CE">
        <w:t xml:space="preserve"> is closed are included in overall mortality rates in the initial tables of each section but not in subsequent tables.</w:t>
      </w:r>
      <w:bookmarkStart w:id="59" w:name="_Toc511381613"/>
      <w:bookmarkStart w:id="60" w:name="_Toc511823262"/>
      <w:bookmarkEnd w:id="59"/>
      <w:bookmarkEnd w:id="60"/>
      <w:r w:rsidR="00C64FF2" w:rsidRPr="009F63CE">
        <w:br w:type="page"/>
      </w:r>
    </w:p>
    <w:p w14:paraId="4400A9DF" w14:textId="77777777" w:rsidR="001C4055" w:rsidRDefault="004C115C" w:rsidP="002839C2">
      <w:pPr>
        <w:pStyle w:val="TeThHauorahead1"/>
      </w:pPr>
      <w:bookmarkStart w:id="61" w:name="_Toc169524791"/>
      <w:r w:rsidRPr="009F63CE">
        <w:lastRenderedPageBreak/>
        <w:t xml:space="preserve">List of </w:t>
      </w:r>
      <w:bookmarkStart w:id="62" w:name="_Toc480797230"/>
      <w:bookmarkStart w:id="63" w:name="_Ref482617864"/>
      <w:bookmarkStart w:id="64" w:name="_Ref482617904"/>
      <w:bookmarkStart w:id="65" w:name="_Toc483987266"/>
      <w:r w:rsidR="008E46B1" w:rsidRPr="009F63CE">
        <w:t>a</w:t>
      </w:r>
      <w:r w:rsidR="001C4055" w:rsidRPr="009F63CE">
        <w:t>bbreviations</w:t>
      </w:r>
      <w:bookmarkEnd w:id="61"/>
      <w:bookmarkEnd w:id="62"/>
      <w:bookmarkEnd w:id="63"/>
      <w:bookmarkEnd w:id="64"/>
      <w:bookmarkEnd w:id="65"/>
      <w:r w:rsidR="001C4055" w:rsidRPr="009F63CE">
        <w:t xml:space="preserve"> </w:t>
      </w:r>
    </w:p>
    <w:p w14:paraId="6881AE45" w14:textId="77777777" w:rsidR="0000678F" w:rsidRPr="0000678F" w:rsidRDefault="0000678F" w:rsidP="0000678F">
      <w:pPr>
        <w:rPr>
          <w:lang w:val="en-US"/>
        </w:rPr>
      </w:pPr>
    </w:p>
    <w:p w14:paraId="52077A3C" w14:textId="4A920DD6" w:rsidR="001C4055" w:rsidRPr="009F63CE" w:rsidRDefault="001C4055" w:rsidP="00526787">
      <w:pPr>
        <w:pStyle w:val="TeThHauorabodytext"/>
        <w:tabs>
          <w:tab w:val="left" w:pos="1560"/>
        </w:tabs>
      </w:pPr>
      <w:r w:rsidRPr="009F63CE">
        <w:t>BDM</w:t>
      </w:r>
      <w:r w:rsidRPr="009F63CE">
        <w:tab/>
        <w:t>Births, Deaths</w:t>
      </w:r>
      <w:r w:rsidR="009A1CB5">
        <w:t>,</w:t>
      </w:r>
      <w:r w:rsidRPr="009F63CE">
        <w:t xml:space="preserve"> and Marriages</w:t>
      </w:r>
    </w:p>
    <w:p w14:paraId="3873DE1F" w14:textId="74299135" w:rsidR="008418D1" w:rsidRPr="009F63CE" w:rsidRDefault="008418D1" w:rsidP="00526787">
      <w:pPr>
        <w:pStyle w:val="TeThHauorabodytext"/>
        <w:tabs>
          <w:tab w:val="left" w:pos="1560"/>
        </w:tabs>
      </w:pPr>
      <w:r>
        <w:t>CBWC</w:t>
      </w:r>
      <w:r>
        <w:tab/>
        <w:t>Customised birthweight centile</w:t>
      </w:r>
    </w:p>
    <w:p w14:paraId="26AC58D3" w14:textId="77777777" w:rsidR="00D85A99" w:rsidRPr="009F63CE" w:rsidRDefault="001C4055" w:rsidP="00526787">
      <w:pPr>
        <w:pStyle w:val="TeThHauorabodytext"/>
        <w:tabs>
          <w:tab w:val="left" w:pos="1560"/>
        </w:tabs>
      </w:pPr>
      <w:r w:rsidRPr="009F63CE">
        <w:t>CI</w:t>
      </w:r>
      <w:r w:rsidRPr="009F63CE">
        <w:tab/>
        <w:t>Confidence interval</w:t>
      </w:r>
    </w:p>
    <w:p w14:paraId="3CD85272" w14:textId="77777777" w:rsidR="001C4055" w:rsidRDefault="001C4055" w:rsidP="00526787">
      <w:pPr>
        <w:pStyle w:val="TeThHauorabodytext"/>
        <w:tabs>
          <w:tab w:val="left" w:pos="1560"/>
        </w:tabs>
      </w:pPr>
      <w:r w:rsidRPr="009F63CE">
        <w:t>DHB</w:t>
      </w:r>
      <w:r w:rsidRPr="009F63CE">
        <w:tab/>
        <w:t>District health board</w:t>
      </w:r>
    </w:p>
    <w:p w14:paraId="7528A487" w14:textId="490058EC" w:rsidR="00DA531D" w:rsidRPr="009F63CE" w:rsidRDefault="00DA531D" w:rsidP="00526787">
      <w:pPr>
        <w:pStyle w:val="TeThHauorabodytext"/>
        <w:tabs>
          <w:tab w:val="left" w:pos="1560"/>
        </w:tabs>
      </w:pPr>
      <w:r>
        <w:t>GCH</w:t>
      </w:r>
      <w:r>
        <w:tab/>
        <w:t>Geographical classification for health</w:t>
      </w:r>
      <w:r>
        <w:tab/>
      </w:r>
    </w:p>
    <w:p w14:paraId="51DFB74E" w14:textId="77777777" w:rsidR="001C4055" w:rsidRPr="009F63CE" w:rsidRDefault="001C4055" w:rsidP="00526787">
      <w:pPr>
        <w:pStyle w:val="TeThHauorabodytext"/>
        <w:tabs>
          <w:tab w:val="left" w:pos="1560"/>
        </w:tabs>
      </w:pPr>
      <w:r w:rsidRPr="009F63CE">
        <w:t>GP</w:t>
      </w:r>
      <w:r w:rsidRPr="009F63CE">
        <w:tab/>
        <w:t>General practitioner</w:t>
      </w:r>
    </w:p>
    <w:p w14:paraId="0E8807A7" w14:textId="77777777" w:rsidR="00502D17" w:rsidRPr="009F63CE" w:rsidRDefault="00502D17" w:rsidP="00526787">
      <w:pPr>
        <w:pStyle w:val="TeThHauorabodytext"/>
        <w:tabs>
          <w:tab w:val="left" w:pos="1560"/>
        </w:tabs>
      </w:pPr>
      <w:r w:rsidRPr="009F63CE">
        <w:t>HISO</w:t>
      </w:r>
      <w:r w:rsidRPr="009F63CE">
        <w:tab/>
        <w:t>Health Information Standards Organisation</w:t>
      </w:r>
    </w:p>
    <w:p w14:paraId="139A3CC1" w14:textId="77777777" w:rsidR="001C4055" w:rsidRPr="009F63CE" w:rsidRDefault="001C4055" w:rsidP="00526787">
      <w:pPr>
        <w:pStyle w:val="TeThHauorabodytext"/>
        <w:tabs>
          <w:tab w:val="left" w:pos="1560"/>
        </w:tabs>
      </w:pPr>
      <w:r w:rsidRPr="009F63CE">
        <w:t>LMC</w:t>
      </w:r>
      <w:r w:rsidRPr="009F63CE">
        <w:tab/>
        <w:t>Lead maternity carer</w:t>
      </w:r>
    </w:p>
    <w:p w14:paraId="1F197C9A" w14:textId="77777777" w:rsidR="001C4055" w:rsidRPr="009F63CE" w:rsidRDefault="001C4055" w:rsidP="00526787">
      <w:pPr>
        <w:pStyle w:val="TeThHauorabodytext"/>
        <w:tabs>
          <w:tab w:val="left" w:pos="1560"/>
        </w:tabs>
      </w:pPr>
      <w:r w:rsidRPr="009F63CE">
        <w:t>MAT</w:t>
      </w:r>
      <w:r w:rsidRPr="009F63CE">
        <w:tab/>
        <w:t>New Zealand National Maternity Collection</w:t>
      </w:r>
    </w:p>
    <w:p w14:paraId="2FCDD42C" w14:textId="77777777" w:rsidR="00E06C74" w:rsidRPr="009F63CE" w:rsidRDefault="00E06C74" w:rsidP="00526787">
      <w:pPr>
        <w:pStyle w:val="TeThHauorabodytext"/>
        <w:tabs>
          <w:tab w:val="left" w:pos="1560"/>
        </w:tabs>
      </w:pPr>
      <w:r w:rsidRPr="009F63CE">
        <w:t>MELAA</w:t>
      </w:r>
      <w:r w:rsidRPr="009F63CE">
        <w:tab/>
        <w:t xml:space="preserve">Middle Eastern, Latin American </w:t>
      </w:r>
      <w:r w:rsidR="00EA2974" w:rsidRPr="009F63CE">
        <w:t xml:space="preserve">or </w:t>
      </w:r>
      <w:r w:rsidRPr="009F63CE">
        <w:t>African</w:t>
      </w:r>
    </w:p>
    <w:p w14:paraId="0651669E" w14:textId="77777777" w:rsidR="001C4055" w:rsidRPr="009F63CE" w:rsidRDefault="001C4055" w:rsidP="00526787">
      <w:pPr>
        <w:pStyle w:val="TeThHauorabodytext"/>
        <w:tabs>
          <w:tab w:val="left" w:pos="1560"/>
        </w:tabs>
      </w:pPr>
      <w:r w:rsidRPr="009F63CE">
        <w:t>MMRWG</w:t>
      </w:r>
      <w:r w:rsidRPr="009F63CE">
        <w:tab/>
        <w:t>Maternal Mortality Review Working Group</w:t>
      </w:r>
    </w:p>
    <w:p w14:paraId="7BDA6B93" w14:textId="77777777" w:rsidR="001C4055" w:rsidRPr="009F63CE" w:rsidRDefault="001C4055" w:rsidP="00526787">
      <w:pPr>
        <w:pStyle w:val="TeThHauorabodytext"/>
        <w:tabs>
          <w:tab w:val="left" w:pos="1560"/>
        </w:tabs>
      </w:pPr>
      <w:r w:rsidRPr="009F63CE">
        <w:t>NE</w:t>
      </w:r>
      <w:r w:rsidRPr="009F63CE">
        <w:tab/>
        <w:t>Neonatal encephalopathy</w:t>
      </w:r>
    </w:p>
    <w:p w14:paraId="055DDEBE" w14:textId="77777777" w:rsidR="001C4055" w:rsidRPr="009F63CE" w:rsidRDefault="001C4055" w:rsidP="00526787">
      <w:pPr>
        <w:pStyle w:val="TeThHauorabodytext"/>
        <w:tabs>
          <w:tab w:val="left" w:pos="1560"/>
        </w:tabs>
      </w:pPr>
      <w:r w:rsidRPr="009F63CE">
        <w:t>NHI</w:t>
      </w:r>
      <w:r w:rsidRPr="009F63CE">
        <w:tab/>
        <w:t>National Health Index</w:t>
      </w:r>
    </w:p>
    <w:p w14:paraId="39985CCC" w14:textId="77777777" w:rsidR="001C4055" w:rsidRPr="009F63CE" w:rsidRDefault="001C4055" w:rsidP="00526787">
      <w:pPr>
        <w:pStyle w:val="TeThHauorabodytext"/>
        <w:tabs>
          <w:tab w:val="left" w:pos="1560"/>
        </w:tabs>
      </w:pPr>
      <w:r w:rsidRPr="009F63CE">
        <w:t>NMDS</w:t>
      </w:r>
      <w:r w:rsidRPr="009F63CE">
        <w:tab/>
        <w:t>National Minimum Dataset</w:t>
      </w:r>
    </w:p>
    <w:p w14:paraId="252CC345" w14:textId="77777777" w:rsidR="001C4055" w:rsidRPr="009F63CE" w:rsidRDefault="001C4055" w:rsidP="00526787">
      <w:pPr>
        <w:pStyle w:val="TeThHauorabodytext"/>
        <w:tabs>
          <w:tab w:val="left" w:pos="1560"/>
        </w:tabs>
      </w:pPr>
      <w:r w:rsidRPr="009F63CE">
        <w:t>NZDep</w:t>
      </w:r>
      <w:r w:rsidRPr="009F63CE">
        <w:tab/>
        <w:t xml:space="preserve">New Zealand Index of Deprivation </w:t>
      </w:r>
    </w:p>
    <w:p w14:paraId="472D8232" w14:textId="6E7F731D" w:rsidR="00355031" w:rsidRDefault="00355031" w:rsidP="00526787">
      <w:pPr>
        <w:pStyle w:val="TeThHauorabodytext"/>
        <w:tabs>
          <w:tab w:val="left" w:pos="1560"/>
        </w:tabs>
      </w:pPr>
      <w:r>
        <w:t>PMMR</w:t>
      </w:r>
      <w:r>
        <w:tab/>
        <w:t>Perinatal and maternal mortality review</w:t>
      </w:r>
    </w:p>
    <w:p w14:paraId="414BFAA5" w14:textId="2BE68FF5" w:rsidR="001C4055" w:rsidRPr="009F63CE" w:rsidRDefault="001C4055" w:rsidP="00526787">
      <w:pPr>
        <w:pStyle w:val="TeThHauorabodytext"/>
        <w:tabs>
          <w:tab w:val="left" w:pos="1560"/>
        </w:tabs>
      </w:pPr>
      <w:r w:rsidRPr="009F63CE">
        <w:t>PMMRC</w:t>
      </w:r>
      <w:r w:rsidRPr="009F63CE">
        <w:tab/>
        <w:t>Perinatal and Maternal Mortality Review Committee</w:t>
      </w:r>
    </w:p>
    <w:p w14:paraId="1ADB57D9" w14:textId="77777777" w:rsidR="001C4055" w:rsidRPr="009F63CE" w:rsidRDefault="001C4055" w:rsidP="00526787">
      <w:pPr>
        <w:pStyle w:val="TeThHauorabodytext"/>
        <w:tabs>
          <w:tab w:val="left" w:pos="1560"/>
        </w:tabs>
      </w:pPr>
      <w:r w:rsidRPr="009F63CE">
        <w:t>PSANZ</w:t>
      </w:r>
      <w:r w:rsidRPr="009F63CE">
        <w:tab/>
        <w:t>Perinatal Society of Australia and New Zealand</w:t>
      </w:r>
    </w:p>
    <w:p w14:paraId="6BC5D361" w14:textId="77777777" w:rsidR="001C4055" w:rsidRPr="009F63CE" w:rsidRDefault="001C4055" w:rsidP="00526787">
      <w:pPr>
        <w:pStyle w:val="TeThHauorabodytext"/>
        <w:tabs>
          <w:tab w:val="left" w:pos="1560"/>
        </w:tabs>
      </w:pPr>
      <w:r w:rsidRPr="009F63CE">
        <w:t>PSANZ-NDC</w:t>
      </w:r>
      <w:r w:rsidRPr="009F63CE">
        <w:tab/>
        <w:t xml:space="preserve">PSANZ </w:t>
      </w:r>
      <w:r w:rsidR="00906B7A" w:rsidRPr="009F63CE">
        <w:t>Neonatal Death Classification</w:t>
      </w:r>
    </w:p>
    <w:p w14:paraId="1F4B2F3E" w14:textId="77777777" w:rsidR="001C4055" w:rsidRPr="009F63CE" w:rsidRDefault="001C4055" w:rsidP="00526787">
      <w:pPr>
        <w:pStyle w:val="TeThHauorabodytext"/>
        <w:tabs>
          <w:tab w:val="left" w:pos="1560"/>
        </w:tabs>
      </w:pPr>
      <w:r w:rsidRPr="009F63CE">
        <w:t>PSANZ-PDC</w:t>
      </w:r>
      <w:r w:rsidRPr="009F63CE">
        <w:tab/>
        <w:t xml:space="preserve">PSANZ </w:t>
      </w:r>
      <w:r w:rsidR="00906B7A" w:rsidRPr="009F63CE">
        <w:t>Perinatal Death Classification</w:t>
      </w:r>
    </w:p>
    <w:p w14:paraId="226032DE" w14:textId="77777777" w:rsidR="001C4055" w:rsidRPr="009F63CE" w:rsidRDefault="001C4055" w:rsidP="00526787">
      <w:pPr>
        <w:pStyle w:val="TeThHauorabodytext"/>
        <w:tabs>
          <w:tab w:val="left" w:pos="1560"/>
        </w:tabs>
      </w:pPr>
      <w:r w:rsidRPr="009F63CE">
        <w:t>WHO</w:t>
      </w:r>
      <w:r w:rsidRPr="009F63CE">
        <w:tab/>
        <w:t>World Health Organization</w:t>
      </w:r>
      <w:bookmarkStart w:id="66" w:name="_Toc417715658"/>
    </w:p>
    <w:bookmarkEnd w:id="66"/>
    <w:p w14:paraId="5F8C4437" w14:textId="77777777" w:rsidR="00C923B7" w:rsidRPr="009F63CE" w:rsidRDefault="00C923B7" w:rsidP="00312B36">
      <w:pPr>
        <w:tabs>
          <w:tab w:val="left" w:pos="1418"/>
        </w:tabs>
        <w:spacing w:before="120" w:after="120" w:line="240" w:lineRule="auto"/>
        <w:rPr>
          <w:rFonts w:eastAsiaTheme="majorEastAsia" w:cs="Arial"/>
          <w:color w:val="C00000"/>
          <w:spacing w:val="5"/>
          <w:kern w:val="28"/>
          <w:sz w:val="28"/>
          <w:szCs w:val="52"/>
          <w:highlight w:val="yellow"/>
        </w:rPr>
      </w:pPr>
    </w:p>
    <w:p w14:paraId="2321DC75" w14:textId="77777777" w:rsidR="00C64FF2" w:rsidRPr="009F63CE" w:rsidRDefault="00C64FF2">
      <w:pPr>
        <w:rPr>
          <w:rFonts w:cs="Arial"/>
          <w:color w:val="C00000"/>
          <w:sz w:val="28"/>
        </w:rPr>
      </w:pPr>
      <w:r w:rsidRPr="009F63CE">
        <w:rPr>
          <w:rFonts w:cs="Arial"/>
        </w:rPr>
        <w:br w:type="page"/>
      </w:r>
    </w:p>
    <w:p w14:paraId="65132C40" w14:textId="77777777" w:rsidR="001C4055" w:rsidRDefault="00C923B7" w:rsidP="002839C2">
      <w:pPr>
        <w:pStyle w:val="TeThHauorahead1"/>
      </w:pPr>
      <w:bookmarkStart w:id="67" w:name="_Toc169524792"/>
      <w:r w:rsidRPr="009F63CE">
        <w:lastRenderedPageBreak/>
        <w:t>References</w:t>
      </w:r>
      <w:bookmarkEnd w:id="67"/>
    </w:p>
    <w:p w14:paraId="1F55D3B8" w14:textId="5C9F9203" w:rsidR="00C923B7" w:rsidRPr="000269A3" w:rsidRDefault="009C37B2" w:rsidP="00407730">
      <w:pPr>
        <w:spacing w:after="120"/>
        <w:rPr>
          <w:rFonts w:cs="Arial"/>
        </w:rPr>
      </w:pPr>
      <w:r>
        <w:rPr>
          <w:rFonts w:cs="Arial"/>
        </w:rPr>
        <w:t xml:space="preserve">Waldman RN, Wu YW. </w:t>
      </w:r>
      <w:r w:rsidR="00751AF1">
        <w:rPr>
          <w:rFonts w:cs="Arial"/>
        </w:rPr>
        <w:t xml:space="preserve">2014. </w:t>
      </w:r>
      <w:r w:rsidR="001770C4" w:rsidRPr="001770C4">
        <w:rPr>
          <w:rFonts w:cs="Arial"/>
        </w:rPr>
        <w:t xml:space="preserve">Neonatal encephalopathy and neurologic outcome, second edition. </w:t>
      </w:r>
      <w:r w:rsidR="001770C4" w:rsidRPr="005C7AE5">
        <w:rPr>
          <w:rFonts w:cs="Arial"/>
          <w:i/>
          <w:iCs/>
        </w:rPr>
        <w:t>Pediatrics</w:t>
      </w:r>
      <w:r w:rsidR="001770C4" w:rsidRPr="001770C4">
        <w:rPr>
          <w:rFonts w:cs="Arial"/>
        </w:rPr>
        <w:t> 133(5): e1482–8. DOI: 10.1542/peds.2014-0724</w:t>
      </w:r>
      <w:r w:rsidR="00C923B7" w:rsidRPr="000269A3">
        <w:rPr>
          <w:rFonts w:cs="Arial"/>
        </w:rPr>
        <w:t xml:space="preserve">. URL: </w:t>
      </w:r>
      <w:hyperlink r:id="rId30" w:history="1">
        <w:r w:rsidR="00C923B7" w:rsidRPr="000269A3">
          <w:rPr>
            <w:rFonts w:cs="Arial"/>
            <w:color w:val="0000FF"/>
            <w:u w:val="single"/>
          </w:rPr>
          <w:t>pediatrics.aappublications.org/content/133/5/e1482</w:t>
        </w:r>
      </w:hyperlink>
      <w:r w:rsidR="00C923B7" w:rsidRPr="000269A3">
        <w:rPr>
          <w:rFonts w:cs="Arial"/>
        </w:rPr>
        <w:t xml:space="preserve"> (accessed </w:t>
      </w:r>
      <w:r w:rsidR="00A611B5" w:rsidRPr="000269A3">
        <w:rPr>
          <w:rFonts w:cs="Arial"/>
        </w:rPr>
        <w:t>February</w:t>
      </w:r>
      <w:r w:rsidR="00C923B7" w:rsidRPr="000269A3">
        <w:rPr>
          <w:rFonts w:cs="Arial"/>
        </w:rPr>
        <w:t xml:space="preserve"> 20</w:t>
      </w:r>
      <w:r w:rsidR="00A611B5" w:rsidRPr="000269A3">
        <w:rPr>
          <w:rFonts w:cs="Arial"/>
        </w:rPr>
        <w:t>24</w:t>
      </w:r>
      <w:r w:rsidR="00C923B7" w:rsidRPr="000269A3">
        <w:rPr>
          <w:rFonts w:cs="Arial"/>
        </w:rPr>
        <w:t>).</w:t>
      </w:r>
    </w:p>
    <w:p w14:paraId="3AA7F710" w14:textId="5190BE66" w:rsidR="00A47EFB" w:rsidRPr="000269A3" w:rsidRDefault="00C923B7" w:rsidP="00407730">
      <w:pPr>
        <w:pStyle w:val="Bibliography"/>
        <w:spacing w:after="120"/>
      </w:pPr>
      <w:r w:rsidRPr="000269A3">
        <w:rPr>
          <w:rFonts w:cs="Arial"/>
        </w:rPr>
        <w:t xml:space="preserve">Atkinson J, Salmond C, Crampton P. 2014. </w:t>
      </w:r>
      <w:r w:rsidRPr="000269A3">
        <w:rPr>
          <w:rFonts w:cs="Arial"/>
          <w:i/>
        </w:rPr>
        <w:t>NZDep2013 Index of Deprivation.</w:t>
      </w:r>
      <w:r w:rsidRPr="000269A3">
        <w:rPr>
          <w:rFonts w:cs="Arial"/>
        </w:rPr>
        <w:t xml:space="preserve"> Wellington: Department of Public Health, University of Otago. URL: </w:t>
      </w:r>
      <w:hyperlink r:id="rId31" w:history="1">
        <w:r w:rsidR="00B61FB0" w:rsidRPr="000269A3">
          <w:rPr>
            <w:rStyle w:val="Hyperlink"/>
            <w:rFonts w:cs="Arial"/>
          </w:rPr>
          <w:t>www.otago.ac.nz/wellington/otago069936.pdf</w:t>
        </w:r>
      </w:hyperlink>
      <w:r w:rsidRPr="000269A3">
        <w:rPr>
          <w:rFonts w:cs="Arial"/>
        </w:rPr>
        <w:t xml:space="preserve"> (accessed </w:t>
      </w:r>
      <w:r w:rsidR="00C22518" w:rsidRPr="000269A3">
        <w:rPr>
          <w:rFonts w:cs="Arial"/>
        </w:rPr>
        <w:t>January 2024</w:t>
      </w:r>
      <w:r w:rsidRPr="000269A3">
        <w:rPr>
          <w:rFonts w:cs="Arial"/>
        </w:rPr>
        <w:t>).</w:t>
      </w:r>
      <w:r w:rsidR="00A47EFB" w:rsidRPr="000269A3">
        <w:t xml:space="preserve"> </w:t>
      </w:r>
    </w:p>
    <w:p w14:paraId="6BC40CD1" w14:textId="4F6D7294" w:rsidR="00282106" w:rsidRPr="000269A3" w:rsidRDefault="00282106" w:rsidP="00407730">
      <w:pPr>
        <w:spacing w:after="120"/>
      </w:pPr>
      <w:r w:rsidRPr="000269A3">
        <w:t xml:space="preserve">Atkinson J, Salmond C, Crampton P. 2019. </w:t>
      </w:r>
      <w:r w:rsidRPr="000269A3">
        <w:rPr>
          <w:i/>
          <w:iCs/>
        </w:rPr>
        <w:t xml:space="preserve">NZDep2018 </w:t>
      </w:r>
      <w:r w:rsidR="00C255AE" w:rsidRPr="000269A3">
        <w:rPr>
          <w:i/>
          <w:iCs/>
        </w:rPr>
        <w:t>I</w:t>
      </w:r>
      <w:r w:rsidRPr="000269A3">
        <w:rPr>
          <w:i/>
          <w:iCs/>
        </w:rPr>
        <w:t xml:space="preserve">ndex of </w:t>
      </w:r>
      <w:r w:rsidR="00C255AE" w:rsidRPr="000269A3">
        <w:rPr>
          <w:i/>
          <w:iCs/>
        </w:rPr>
        <w:t>D</w:t>
      </w:r>
      <w:r w:rsidRPr="000269A3">
        <w:rPr>
          <w:i/>
          <w:iCs/>
        </w:rPr>
        <w:t xml:space="preserve">eprivation: </w:t>
      </w:r>
      <w:r w:rsidR="00C255AE" w:rsidRPr="000269A3">
        <w:rPr>
          <w:i/>
          <w:iCs/>
        </w:rPr>
        <w:t>I</w:t>
      </w:r>
      <w:r w:rsidRPr="000269A3">
        <w:rPr>
          <w:i/>
          <w:iCs/>
        </w:rPr>
        <w:t xml:space="preserve">nterim </w:t>
      </w:r>
      <w:r w:rsidR="00C255AE" w:rsidRPr="000269A3">
        <w:rPr>
          <w:i/>
          <w:iCs/>
        </w:rPr>
        <w:t>R</w:t>
      </w:r>
      <w:r w:rsidRPr="000269A3">
        <w:rPr>
          <w:i/>
          <w:iCs/>
        </w:rPr>
        <w:t xml:space="preserve">esearch </w:t>
      </w:r>
      <w:r w:rsidR="00C255AE" w:rsidRPr="000269A3">
        <w:rPr>
          <w:i/>
          <w:iCs/>
        </w:rPr>
        <w:t>R</w:t>
      </w:r>
      <w:r w:rsidRPr="000269A3">
        <w:rPr>
          <w:i/>
          <w:iCs/>
        </w:rPr>
        <w:t>eport,</w:t>
      </w:r>
      <w:r w:rsidRPr="000269A3">
        <w:t xml:space="preserve"> </w:t>
      </w:r>
      <w:r w:rsidRPr="000269A3">
        <w:rPr>
          <w:i/>
          <w:iCs/>
        </w:rPr>
        <w:t>December 2019</w:t>
      </w:r>
      <w:r w:rsidRPr="000269A3">
        <w:t>. Wellington</w:t>
      </w:r>
      <w:r w:rsidR="00C255AE" w:rsidRPr="000269A3">
        <w:t>: Department of Public Health, University of Otago</w:t>
      </w:r>
      <w:r w:rsidRPr="000269A3">
        <w:t xml:space="preserve">. URL: </w:t>
      </w:r>
      <w:hyperlink r:id="rId32" w:history="1">
        <w:r w:rsidR="009428AA" w:rsidRPr="000269A3">
          <w:rPr>
            <w:rStyle w:val="Hyperlink"/>
          </w:rPr>
          <w:t>www.otago.ac.nz/wellington/otago730394.pdf</w:t>
        </w:r>
      </w:hyperlink>
      <w:r w:rsidRPr="000269A3">
        <w:t xml:space="preserve"> </w:t>
      </w:r>
      <w:r w:rsidR="00A47EFB" w:rsidRPr="000269A3">
        <w:t xml:space="preserve">(accessed </w:t>
      </w:r>
      <w:r w:rsidR="00C22518" w:rsidRPr="000269A3">
        <w:t>January</w:t>
      </w:r>
      <w:r w:rsidR="00A47EFB" w:rsidRPr="000269A3">
        <w:t xml:space="preserve"> 202</w:t>
      </w:r>
      <w:r w:rsidR="00C22518" w:rsidRPr="000269A3">
        <w:t>4</w:t>
      </w:r>
      <w:r w:rsidR="00A47EFB" w:rsidRPr="000269A3">
        <w:t>).</w:t>
      </w:r>
    </w:p>
    <w:p w14:paraId="0E321877" w14:textId="4B23105B" w:rsidR="00B66F3F" w:rsidRPr="000269A3" w:rsidRDefault="00B66F3F" w:rsidP="00407730">
      <w:pPr>
        <w:pStyle w:val="Bibliography"/>
        <w:spacing w:after="120"/>
        <w:rPr>
          <w:rFonts w:cs="Arial"/>
        </w:rPr>
      </w:pPr>
      <w:r w:rsidRPr="000269A3">
        <w:rPr>
          <w:rFonts w:cs="Arial"/>
        </w:rPr>
        <w:t>Australian Institute of Health and Welfare</w:t>
      </w:r>
      <w:r w:rsidR="00B61FB0" w:rsidRPr="000269A3">
        <w:rPr>
          <w:rFonts w:cs="Arial"/>
        </w:rPr>
        <w:t>.</w:t>
      </w:r>
      <w:r w:rsidRPr="000269A3">
        <w:rPr>
          <w:rFonts w:cs="Arial"/>
        </w:rPr>
        <w:t xml:space="preserve"> 2021.</w:t>
      </w:r>
      <w:r w:rsidR="009428AA" w:rsidRPr="000269A3">
        <w:rPr>
          <w:rFonts w:cs="Arial"/>
        </w:rPr>
        <w:t xml:space="preserve"> </w:t>
      </w:r>
      <w:r w:rsidRPr="000269A3">
        <w:rPr>
          <w:rFonts w:cs="Arial"/>
        </w:rPr>
        <w:t>National Perinatal Data Collection, 2021: Quality Statement</w:t>
      </w:r>
      <w:r w:rsidR="009428AA" w:rsidRPr="000269A3">
        <w:rPr>
          <w:rFonts w:cs="Arial"/>
        </w:rPr>
        <w:t>.</w:t>
      </w:r>
      <w:r w:rsidRPr="000269A3">
        <w:rPr>
          <w:rFonts w:cs="Arial"/>
        </w:rPr>
        <w:t xml:space="preserve"> URL: </w:t>
      </w:r>
      <w:hyperlink r:id="rId33" w:history="1">
        <w:r w:rsidRPr="000269A3">
          <w:rPr>
            <w:rStyle w:val="Hyperlink"/>
          </w:rPr>
          <w:t>meteor.aihw.gov.au/content/778883</w:t>
        </w:r>
      </w:hyperlink>
      <w:r w:rsidRPr="000269A3">
        <w:rPr>
          <w:rFonts w:cs="Arial"/>
        </w:rPr>
        <w:t xml:space="preserve"> (accessed January 2024).</w:t>
      </w:r>
    </w:p>
    <w:p w14:paraId="2AD5A08B" w14:textId="3E47B616" w:rsidR="00CC0C73" w:rsidRPr="000269A3" w:rsidRDefault="00CC0C73" w:rsidP="00407730">
      <w:pPr>
        <w:spacing w:after="120"/>
      </w:pPr>
      <w:r w:rsidRPr="000269A3">
        <w:t xml:space="preserve">Cormack D, Robson C. </w:t>
      </w:r>
      <w:r w:rsidR="009428AA" w:rsidRPr="000269A3">
        <w:t>2010</w:t>
      </w:r>
      <w:r w:rsidR="00FF0D97" w:rsidRPr="000269A3">
        <w:t>.</w:t>
      </w:r>
      <w:r w:rsidR="009428AA" w:rsidRPr="000269A3">
        <w:t xml:space="preserve"> </w:t>
      </w:r>
      <w:r w:rsidRPr="00651676">
        <w:rPr>
          <w:i/>
          <w:iCs/>
        </w:rPr>
        <w:t xml:space="preserve">Classification and </w:t>
      </w:r>
      <w:r w:rsidR="0095621E" w:rsidRPr="00651676">
        <w:rPr>
          <w:i/>
          <w:iCs/>
        </w:rPr>
        <w:t xml:space="preserve">Output </w:t>
      </w:r>
      <w:r w:rsidRPr="00651676">
        <w:rPr>
          <w:i/>
          <w:iCs/>
        </w:rPr>
        <w:t xml:space="preserve">of </w:t>
      </w:r>
      <w:r w:rsidR="0095621E" w:rsidRPr="00651676">
        <w:rPr>
          <w:i/>
          <w:iCs/>
        </w:rPr>
        <w:t>Multiple Ethnicities</w:t>
      </w:r>
      <w:r w:rsidRPr="00651676">
        <w:rPr>
          <w:i/>
          <w:iCs/>
        </w:rPr>
        <w:t xml:space="preserve">: </w:t>
      </w:r>
      <w:r w:rsidR="0095621E" w:rsidRPr="00651676">
        <w:rPr>
          <w:i/>
          <w:iCs/>
        </w:rPr>
        <w:t>C</w:t>
      </w:r>
      <w:r w:rsidR="00FF0D97" w:rsidRPr="00651676">
        <w:rPr>
          <w:i/>
          <w:iCs/>
        </w:rPr>
        <w:t xml:space="preserve">onsiderations </w:t>
      </w:r>
      <w:r w:rsidRPr="00651676">
        <w:rPr>
          <w:i/>
          <w:iCs/>
        </w:rPr>
        <w:t xml:space="preserve">for </w:t>
      </w:r>
      <w:r w:rsidR="0095621E" w:rsidRPr="00651676">
        <w:rPr>
          <w:i/>
          <w:iCs/>
        </w:rPr>
        <w:t>Monitoring Māori Health</w:t>
      </w:r>
      <w:r w:rsidRPr="00651676">
        <w:rPr>
          <w:i/>
          <w:iCs/>
        </w:rPr>
        <w:t>.</w:t>
      </w:r>
      <w:r w:rsidRPr="000269A3">
        <w:t xml:space="preserve"> Wellington: Te Rōpū Rangahau Hauora a Eru Pōmare.</w:t>
      </w:r>
      <w:r w:rsidR="0095621E" w:rsidRPr="000269A3">
        <w:t xml:space="preserve"> URL: </w:t>
      </w:r>
      <w:hyperlink r:id="rId34" w:history="1">
        <w:r w:rsidR="00651676" w:rsidRPr="00DB75C6">
          <w:rPr>
            <w:rStyle w:val="Hyperlink"/>
          </w:rPr>
          <w:t>www.fmhs.auckland.ac.nz/assets/fmhs/Te%20Kupenga%20Hauora%20Māori/docs/classification.pdf</w:t>
        </w:r>
      </w:hyperlink>
    </w:p>
    <w:p w14:paraId="4C33A890" w14:textId="33028A70" w:rsidR="00C95036" w:rsidRPr="000269A3" w:rsidRDefault="00C95036" w:rsidP="00407730">
      <w:pPr>
        <w:pStyle w:val="Bibliography"/>
        <w:spacing w:after="120"/>
        <w:rPr>
          <w:rFonts w:cs="Arial"/>
        </w:rPr>
      </w:pPr>
      <w:r w:rsidRPr="000269A3">
        <w:rPr>
          <w:rFonts w:cs="Arial"/>
        </w:rPr>
        <w:t xml:space="preserve">Heron M. 2011. Deaths: Leading </w:t>
      </w:r>
      <w:r w:rsidR="005E286F" w:rsidRPr="000269A3">
        <w:rPr>
          <w:rFonts w:cs="Arial"/>
        </w:rPr>
        <w:t xml:space="preserve">causes </w:t>
      </w:r>
      <w:r w:rsidRPr="000269A3">
        <w:rPr>
          <w:rFonts w:cs="Arial"/>
        </w:rPr>
        <w:t xml:space="preserve">for 2007. </w:t>
      </w:r>
      <w:r w:rsidRPr="000269A3">
        <w:rPr>
          <w:rFonts w:cs="Arial"/>
          <w:i/>
        </w:rPr>
        <w:t xml:space="preserve">National Vital Statistics Reports </w:t>
      </w:r>
      <w:r w:rsidRPr="000269A3">
        <w:rPr>
          <w:rFonts w:cs="Arial"/>
        </w:rPr>
        <w:t xml:space="preserve">59(8). URL: </w:t>
      </w:r>
      <w:hyperlink r:id="rId35" w:history="1">
        <w:r w:rsidR="00164C29" w:rsidRPr="000269A3">
          <w:rPr>
            <w:rStyle w:val="Hyperlink"/>
            <w:rFonts w:cs="Arial"/>
          </w:rPr>
          <w:t>www.cdc.gov/nchs/data/nvsr/nvsr59/nvsr59_08.pdf</w:t>
        </w:r>
      </w:hyperlink>
      <w:r w:rsidRPr="000269A3">
        <w:rPr>
          <w:rFonts w:cs="Arial"/>
        </w:rPr>
        <w:t xml:space="preserve"> (accessed </w:t>
      </w:r>
      <w:r w:rsidR="00290AA4" w:rsidRPr="000269A3">
        <w:rPr>
          <w:rFonts w:cs="Arial"/>
        </w:rPr>
        <w:t>January</w:t>
      </w:r>
      <w:r w:rsidRPr="000269A3">
        <w:rPr>
          <w:rFonts w:cs="Arial"/>
        </w:rPr>
        <w:t xml:space="preserve"> 20</w:t>
      </w:r>
      <w:r w:rsidR="00290AA4" w:rsidRPr="000269A3">
        <w:rPr>
          <w:rFonts w:cs="Arial"/>
        </w:rPr>
        <w:t>24</w:t>
      </w:r>
      <w:r w:rsidRPr="000269A3">
        <w:rPr>
          <w:rFonts w:cs="Arial"/>
        </w:rPr>
        <w:t>).</w:t>
      </w:r>
    </w:p>
    <w:p w14:paraId="60C4DBC1" w14:textId="5E493A66" w:rsidR="00C923B7" w:rsidRPr="000269A3" w:rsidRDefault="00C923B7" w:rsidP="00407730">
      <w:pPr>
        <w:pStyle w:val="Bibliography"/>
        <w:spacing w:after="120"/>
        <w:rPr>
          <w:rFonts w:cs="Arial"/>
        </w:rPr>
      </w:pPr>
      <w:r w:rsidRPr="000269A3">
        <w:rPr>
          <w:rFonts w:cs="Arial"/>
        </w:rPr>
        <w:t xml:space="preserve">Ministry of Health. 2010. </w:t>
      </w:r>
      <w:r w:rsidRPr="000269A3">
        <w:rPr>
          <w:rFonts w:cs="Arial"/>
          <w:i/>
        </w:rPr>
        <w:t xml:space="preserve">Fetal </w:t>
      </w:r>
      <w:r w:rsidR="00A40647" w:rsidRPr="000269A3">
        <w:rPr>
          <w:rFonts w:cs="Arial"/>
          <w:i/>
        </w:rPr>
        <w:t xml:space="preserve">and </w:t>
      </w:r>
      <w:r w:rsidR="00164C29" w:rsidRPr="000269A3">
        <w:rPr>
          <w:rFonts w:cs="Arial"/>
          <w:i/>
        </w:rPr>
        <w:t xml:space="preserve">Infant Deaths </w:t>
      </w:r>
      <w:r w:rsidRPr="000269A3">
        <w:rPr>
          <w:rFonts w:cs="Arial"/>
          <w:i/>
        </w:rPr>
        <w:t>2006</w:t>
      </w:r>
      <w:r w:rsidRPr="000269A3">
        <w:rPr>
          <w:rFonts w:cs="Arial"/>
        </w:rPr>
        <w:t xml:space="preserve">. Wellington: Ministry of Health. URL: </w:t>
      </w:r>
      <w:r w:rsidR="001770C4" w:rsidRPr="001770C4">
        <w:rPr>
          <w:rFonts w:cs="Arial"/>
          <w:color w:val="0000FF" w:themeColor="hyperlink"/>
          <w:u w:val="single"/>
        </w:rPr>
        <w:t>thehub.swa.govt.nz/resources/fetal-and-infant-deaths-2006</w:t>
      </w:r>
      <w:r w:rsidR="005C7AE5" w:rsidRPr="005C7AE5">
        <w:t xml:space="preserve"> </w:t>
      </w:r>
      <w:r w:rsidRPr="000269A3">
        <w:rPr>
          <w:rFonts w:cs="Arial"/>
        </w:rPr>
        <w:t xml:space="preserve">(accessed </w:t>
      </w:r>
      <w:r w:rsidR="001770C4">
        <w:rPr>
          <w:rFonts w:cs="Arial"/>
        </w:rPr>
        <w:t>June</w:t>
      </w:r>
      <w:r w:rsidR="001770C4" w:rsidRPr="000269A3">
        <w:rPr>
          <w:rFonts w:cs="Arial"/>
        </w:rPr>
        <w:t xml:space="preserve"> </w:t>
      </w:r>
      <w:r w:rsidRPr="000269A3">
        <w:rPr>
          <w:rFonts w:cs="Arial"/>
        </w:rPr>
        <w:t>20</w:t>
      </w:r>
      <w:r w:rsidR="00997087" w:rsidRPr="000269A3">
        <w:rPr>
          <w:rFonts w:cs="Arial"/>
        </w:rPr>
        <w:t>24</w:t>
      </w:r>
      <w:r w:rsidRPr="000269A3">
        <w:rPr>
          <w:rFonts w:cs="Arial"/>
        </w:rPr>
        <w:t>).</w:t>
      </w:r>
    </w:p>
    <w:p w14:paraId="64E8C322" w14:textId="6E54B761" w:rsidR="005249FB" w:rsidRPr="000269A3" w:rsidRDefault="005249FB" w:rsidP="00407730">
      <w:pPr>
        <w:pStyle w:val="Bibliography"/>
        <w:spacing w:after="120"/>
        <w:rPr>
          <w:rFonts w:cs="Arial"/>
        </w:rPr>
      </w:pPr>
      <w:r w:rsidRPr="000269A3">
        <w:rPr>
          <w:rFonts w:cs="Arial"/>
        </w:rPr>
        <w:t xml:space="preserve">Ministry of Health. 2017. </w:t>
      </w:r>
      <w:r w:rsidRPr="000269A3">
        <w:rPr>
          <w:rFonts w:cs="Arial"/>
          <w:i/>
        </w:rPr>
        <w:t xml:space="preserve">HISO </w:t>
      </w:r>
      <w:r w:rsidR="00502D17" w:rsidRPr="000269A3">
        <w:rPr>
          <w:rFonts w:cs="Arial"/>
          <w:i/>
        </w:rPr>
        <w:t xml:space="preserve">10001:2017 </w:t>
      </w:r>
      <w:r w:rsidRPr="000269A3">
        <w:rPr>
          <w:rFonts w:cs="Arial"/>
          <w:i/>
        </w:rPr>
        <w:t>Ethnicity Data Protocols</w:t>
      </w:r>
      <w:r w:rsidRPr="000269A3">
        <w:rPr>
          <w:rFonts w:cs="Arial"/>
        </w:rPr>
        <w:t xml:space="preserve">. Wellington: Ministry of Health. URL: </w:t>
      </w:r>
      <w:hyperlink r:id="rId36" w:history="1">
        <w:r w:rsidR="00902F08" w:rsidRPr="000269A3">
          <w:rPr>
            <w:rStyle w:val="Hyperlink"/>
          </w:rPr>
          <w:t>www.tewhatuora.govt.nz/our-health-system/digital-health/data-and-digital-standards/approved-standards/identity-standards</w:t>
        </w:r>
      </w:hyperlink>
      <w:r w:rsidR="0089645A" w:rsidRPr="000269A3">
        <w:t xml:space="preserve"> </w:t>
      </w:r>
      <w:r w:rsidRPr="000269A3">
        <w:rPr>
          <w:rFonts w:cs="Arial"/>
        </w:rPr>
        <w:t xml:space="preserve">(accessed </w:t>
      </w:r>
      <w:r w:rsidR="0089645A" w:rsidRPr="000269A3">
        <w:rPr>
          <w:rFonts w:cs="Arial"/>
        </w:rPr>
        <w:t>January 2024</w:t>
      </w:r>
      <w:r w:rsidRPr="000269A3">
        <w:rPr>
          <w:rFonts w:cs="Arial"/>
        </w:rPr>
        <w:t>).</w:t>
      </w:r>
    </w:p>
    <w:p w14:paraId="5092E6DD" w14:textId="5296392B" w:rsidR="005249FB" w:rsidRPr="000269A3" w:rsidRDefault="005249FB" w:rsidP="00407730">
      <w:pPr>
        <w:pStyle w:val="Bibliography"/>
        <w:spacing w:after="120"/>
        <w:rPr>
          <w:rFonts w:cs="Arial"/>
        </w:rPr>
      </w:pPr>
      <w:r w:rsidRPr="000269A3">
        <w:rPr>
          <w:rFonts w:cs="Arial"/>
        </w:rPr>
        <w:t xml:space="preserve">National Health Board Business Unit. 2011. </w:t>
      </w:r>
      <w:r w:rsidRPr="000269A3">
        <w:rPr>
          <w:rFonts w:cs="Arial"/>
          <w:i/>
        </w:rPr>
        <w:t>National Maternity Collection Data Mart Data Dictionary.</w:t>
      </w:r>
      <w:r w:rsidRPr="000269A3">
        <w:rPr>
          <w:rFonts w:cs="Arial"/>
        </w:rPr>
        <w:t xml:space="preserve"> Wellington: Ministry of Health. URL: </w:t>
      </w:r>
      <w:hyperlink r:id="rId37" w:history="1">
        <w:r w:rsidR="00E239E6" w:rsidRPr="000269A3">
          <w:rPr>
            <w:rStyle w:val="Hyperlink"/>
          </w:rPr>
          <w:t>www.tewhatuora.govt.nz/assets/Our-health-system/Data-and-statistics/NZ-health-stats/Data-references/Data-dictionaries/mat-dict-v1-0.pdf</w:t>
        </w:r>
      </w:hyperlink>
      <w:r w:rsidR="0089645A" w:rsidRPr="000269A3">
        <w:t xml:space="preserve"> </w:t>
      </w:r>
      <w:r w:rsidRPr="000269A3">
        <w:rPr>
          <w:rFonts w:cs="Arial"/>
        </w:rPr>
        <w:t xml:space="preserve">(accessed </w:t>
      </w:r>
      <w:r w:rsidR="0089645A" w:rsidRPr="000269A3">
        <w:rPr>
          <w:rFonts w:cs="Arial"/>
        </w:rPr>
        <w:t>January 2024</w:t>
      </w:r>
      <w:r w:rsidRPr="000269A3">
        <w:rPr>
          <w:rFonts w:cs="Arial"/>
        </w:rPr>
        <w:t>).</w:t>
      </w:r>
    </w:p>
    <w:p w14:paraId="4B9B4B06" w14:textId="2A17712C" w:rsidR="00B66F3F" w:rsidRPr="000269A3" w:rsidRDefault="00B66F3F" w:rsidP="00407730">
      <w:pPr>
        <w:pStyle w:val="Bibliography"/>
        <w:spacing w:after="120"/>
        <w:rPr>
          <w:rFonts w:cs="Arial"/>
        </w:rPr>
      </w:pPr>
      <w:r w:rsidRPr="000269A3">
        <w:rPr>
          <w:rFonts w:cs="Arial"/>
        </w:rPr>
        <w:t>National Perinatal Epidemiology Unit</w:t>
      </w:r>
      <w:r w:rsidR="00E239E6" w:rsidRPr="000269A3">
        <w:rPr>
          <w:rFonts w:cs="Arial"/>
        </w:rPr>
        <w:t>.</w:t>
      </w:r>
      <w:r w:rsidRPr="000269A3">
        <w:rPr>
          <w:rFonts w:cs="Arial"/>
        </w:rPr>
        <w:t xml:space="preserve"> 2023</w:t>
      </w:r>
      <w:r w:rsidR="00E239E6" w:rsidRPr="000269A3">
        <w:rPr>
          <w:rFonts w:cs="Arial"/>
        </w:rPr>
        <w:t>.</w:t>
      </w:r>
      <w:r w:rsidRPr="000269A3">
        <w:rPr>
          <w:rFonts w:cs="Arial"/>
        </w:rPr>
        <w:t xml:space="preserve"> </w:t>
      </w:r>
      <w:r w:rsidRPr="000269A3">
        <w:rPr>
          <w:rFonts w:cs="Arial"/>
          <w:i/>
          <w:iCs/>
        </w:rPr>
        <w:t>MBRRACE-UK Perinatal Mortality Surveillance</w:t>
      </w:r>
      <w:r w:rsidR="00A443F9" w:rsidRPr="000269A3">
        <w:rPr>
          <w:rFonts w:cs="Arial"/>
          <w:i/>
          <w:iCs/>
        </w:rPr>
        <w:t>:</w:t>
      </w:r>
      <w:r w:rsidRPr="000269A3">
        <w:rPr>
          <w:rFonts w:cs="Arial"/>
          <w:i/>
          <w:iCs/>
        </w:rPr>
        <w:t xml:space="preserve"> Technical Manual</w:t>
      </w:r>
      <w:r w:rsidR="00A443F9" w:rsidRPr="000269A3">
        <w:rPr>
          <w:rFonts w:cs="Arial"/>
          <w:i/>
          <w:iCs/>
        </w:rPr>
        <w:t>,</w:t>
      </w:r>
      <w:r w:rsidRPr="000269A3">
        <w:rPr>
          <w:rFonts w:cs="Arial"/>
          <w:i/>
          <w:iCs/>
        </w:rPr>
        <w:t xml:space="preserve"> Version 1.</w:t>
      </w:r>
      <w:r w:rsidR="001770C4">
        <w:rPr>
          <w:rFonts w:cs="Arial"/>
          <w:i/>
          <w:iCs/>
        </w:rPr>
        <w:t>3</w:t>
      </w:r>
      <w:r w:rsidRPr="000269A3">
        <w:rPr>
          <w:rFonts w:cs="Arial"/>
          <w:i/>
          <w:iCs/>
        </w:rPr>
        <w:t xml:space="preserve">. </w:t>
      </w:r>
      <w:r w:rsidRPr="000269A3">
        <w:rPr>
          <w:rFonts w:cs="Arial"/>
        </w:rPr>
        <w:t xml:space="preserve">URL: </w:t>
      </w:r>
      <w:hyperlink r:id="rId38" w:history="1">
        <w:r w:rsidRPr="000269A3">
          <w:rPr>
            <w:rStyle w:val="Hyperlink"/>
          </w:rPr>
          <w:t>https://timms.le.ac.uk/mbrrace-uk-perinatal-mortality/surveillance/technical-</w:t>
        </w:r>
        <w:r w:rsidR="00A443F9" w:rsidRPr="000269A3">
          <w:rPr>
            <w:rStyle w:val="Hyperlink"/>
          </w:rPr>
          <w:t>Manual</w:t>
        </w:r>
        <w:r w:rsidRPr="000269A3">
          <w:rPr>
            <w:rStyle w:val="Hyperlink"/>
          </w:rPr>
          <w:t>.html</w:t>
        </w:r>
      </w:hyperlink>
      <w:r w:rsidRPr="000269A3">
        <w:t xml:space="preserve"> </w:t>
      </w:r>
      <w:r w:rsidRPr="000269A3">
        <w:rPr>
          <w:rFonts w:cs="Arial"/>
        </w:rPr>
        <w:t xml:space="preserve">(accessed January 2024). </w:t>
      </w:r>
    </w:p>
    <w:p w14:paraId="2EAF7B43" w14:textId="46F32733" w:rsidR="005249FB" w:rsidRPr="000269A3" w:rsidRDefault="005249FB" w:rsidP="00407730">
      <w:pPr>
        <w:pStyle w:val="Bibliography"/>
        <w:spacing w:after="120"/>
        <w:rPr>
          <w:rFonts w:cs="Arial"/>
        </w:rPr>
      </w:pPr>
      <w:r w:rsidRPr="000269A3">
        <w:rPr>
          <w:rFonts w:cs="Arial"/>
        </w:rPr>
        <w:t xml:space="preserve">Nelson KB, Leviton A. 1991. How much of neonatal encephalopathy is due to birth asphyxia? </w:t>
      </w:r>
      <w:r w:rsidRPr="000269A3">
        <w:rPr>
          <w:rFonts w:cs="Arial"/>
          <w:i/>
        </w:rPr>
        <w:t>American Journal of Diseases of Children</w:t>
      </w:r>
      <w:r w:rsidRPr="000269A3" w:rsidDel="002A5B1B">
        <w:rPr>
          <w:rFonts w:cs="Arial"/>
          <w:i/>
        </w:rPr>
        <w:t xml:space="preserve"> </w:t>
      </w:r>
      <w:r w:rsidRPr="000269A3">
        <w:rPr>
          <w:rFonts w:cs="Arial"/>
        </w:rPr>
        <w:t>145(11): 1325–31.</w:t>
      </w:r>
      <w:r w:rsidR="00FC02FD" w:rsidRPr="000269A3">
        <w:t xml:space="preserve"> </w:t>
      </w:r>
      <w:r w:rsidR="00FC02FD" w:rsidRPr="000269A3">
        <w:rPr>
          <w:rFonts w:cs="Arial"/>
        </w:rPr>
        <w:t>DOI: 10.1001/archpedi.1991.02160110117034.</w:t>
      </w:r>
    </w:p>
    <w:p w14:paraId="1D187E0D" w14:textId="4B5EE045" w:rsidR="005249FB" w:rsidRPr="000269A3" w:rsidRDefault="005249FB" w:rsidP="00407730">
      <w:pPr>
        <w:pStyle w:val="Bibliography"/>
        <w:spacing w:after="120"/>
        <w:rPr>
          <w:rFonts w:cs="Arial"/>
        </w:rPr>
      </w:pPr>
      <w:r w:rsidRPr="000269A3">
        <w:rPr>
          <w:rFonts w:cs="Arial"/>
        </w:rPr>
        <w:t xml:space="preserve">New Zealand Health Information Service. 2007. </w:t>
      </w:r>
      <w:r w:rsidRPr="000269A3">
        <w:rPr>
          <w:rFonts w:cs="Arial"/>
          <w:i/>
        </w:rPr>
        <w:t xml:space="preserve">Fetal </w:t>
      </w:r>
      <w:r w:rsidR="00A40647" w:rsidRPr="000269A3">
        <w:rPr>
          <w:rFonts w:cs="Arial"/>
          <w:i/>
        </w:rPr>
        <w:t xml:space="preserve">and </w:t>
      </w:r>
      <w:r w:rsidR="00A443F9" w:rsidRPr="000269A3">
        <w:rPr>
          <w:rFonts w:cs="Arial"/>
          <w:i/>
        </w:rPr>
        <w:t xml:space="preserve">Infant Deaths </w:t>
      </w:r>
      <w:r w:rsidRPr="000269A3">
        <w:rPr>
          <w:rFonts w:cs="Arial"/>
          <w:i/>
        </w:rPr>
        <w:t>2003 &amp; 2004</w:t>
      </w:r>
      <w:r w:rsidRPr="000269A3">
        <w:rPr>
          <w:rFonts w:cs="Arial"/>
        </w:rPr>
        <w:t xml:space="preserve">. Wellington: Ministry of Health. URL: </w:t>
      </w:r>
      <w:r w:rsidR="001770C4" w:rsidRPr="001770C4">
        <w:rPr>
          <w:rFonts w:cs="Arial"/>
          <w:szCs w:val="24"/>
        </w:rPr>
        <w:t>thehub.swa.govt.nz/resources/fetal-and-infant-deaths-2003-and-2004/</w:t>
      </w:r>
      <w:r w:rsidR="001770C4" w:rsidRPr="001770C4" w:rsidDel="001770C4">
        <w:rPr>
          <w:rFonts w:cs="Arial"/>
          <w:szCs w:val="24"/>
        </w:rPr>
        <w:t xml:space="preserve"> </w:t>
      </w:r>
      <w:r w:rsidRPr="000269A3">
        <w:rPr>
          <w:rFonts w:cs="Arial"/>
        </w:rPr>
        <w:t xml:space="preserve">(accessed </w:t>
      </w:r>
      <w:r w:rsidR="001770C4">
        <w:rPr>
          <w:rFonts w:cs="Arial"/>
        </w:rPr>
        <w:t>June</w:t>
      </w:r>
      <w:r w:rsidR="001770C4" w:rsidRPr="000269A3">
        <w:rPr>
          <w:rFonts w:cs="Arial"/>
        </w:rPr>
        <w:t xml:space="preserve"> </w:t>
      </w:r>
      <w:r w:rsidR="00E54B13" w:rsidRPr="000269A3">
        <w:rPr>
          <w:rFonts w:cs="Arial"/>
        </w:rPr>
        <w:t>2024</w:t>
      </w:r>
      <w:r w:rsidRPr="000269A3">
        <w:rPr>
          <w:rFonts w:cs="Arial"/>
        </w:rPr>
        <w:t xml:space="preserve">). </w:t>
      </w:r>
    </w:p>
    <w:p w14:paraId="4FA881DA" w14:textId="44AD2BC2" w:rsidR="005249FB" w:rsidRPr="000269A3" w:rsidRDefault="005249FB" w:rsidP="00407730">
      <w:pPr>
        <w:pStyle w:val="Bibliography"/>
        <w:spacing w:after="120"/>
        <w:rPr>
          <w:rFonts w:cs="Arial"/>
        </w:rPr>
      </w:pPr>
      <w:r w:rsidRPr="000269A3">
        <w:rPr>
          <w:rFonts w:cs="Arial"/>
        </w:rPr>
        <w:t xml:space="preserve">PMMRC. 2007. </w:t>
      </w:r>
      <w:r w:rsidRPr="000269A3">
        <w:rPr>
          <w:rFonts w:cs="Arial"/>
          <w:i/>
        </w:rPr>
        <w:t xml:space="preserve">First </w:t>
      </w:r>
      <w:r w:rsidR="00756B2F" w:rsidRPr="000269A3">
        <w:rPr>
          <w:rFonts w:cs="Arial"/>
          <w:i/>
        </w:rPr>
        <w:t xml:space="preserve">Report </w:t>
      </w:r>
      <w:r w:rsidRPr="000269A3">
        <w:rPr>
          <w:rFonts w:cs="Arial"/>
          <w:i/>
        </w:rPr>
        <w:t>to the Minister of Health: June 2005 to June 2007</w:t>
      </w:r>
      <w:r w:rsidRPr="000269A3">
        <w:rPr>
          <w:rFonts w:cs="Arial"/>
        </w:rPr>
        <w:t xml:space="preserve">. Wellington: Health Quality &amp; Safety Commission, Perinatal and Maternal Mortality Review Committee. URL: </w:t>
      </w:r>
      <w:hyperlink r:id="rId39" w:history="1">
        <w:r w:rsidR="005632EF" w:rsidRPr="000269A3">
          <w:rPr>
            <w:rStyle w:val="Hyperlink"/>
          </w:rPr>
          <w:t>www.hqsc.govt.nz/assets/Our-work/Mortality-review-committee/PMMRC/Publications-resources/PMMRC-1st-Report-2005-07.pdf</w:t>
        </w:r>
      </w:hyperlink>
      <w:r w:rsidR="0050350C" w:rsidRPr="000269A3">
        <w:t xml:space="preserve"> </w:t>
      </w:r>
      <w:r w:rsidRPr="000269A3">
        <w:rPr>
          <w:rFonts w:cs="Arial"/>
        </w:rPr>
        <w:t xml:space="preserve">(accessed </w:t>
      </w:r>
      <w:r w:rsidR="00E54B13" w:rsidRPr="000269A3">
        <w:rPr>
          <w:rFonts w:cs="Arial"/>
        </w:rPr>
        <w:t>January 2024</w:t>
      </w:r>
      <w:r w:rsidRPr="000269A3">
        <w:rPr>
          <w:rFonts w:cs="Arial"/>
        </w:rPr>
        <w:t>).</w:t>
      </w:r>
    </w:p>
    <w:p w14:paraId="0E8A6CD4" w14:textId="2C3B239A" w:rsidR="005249FB" w:rsidRPr="000269A3" w:rsidRDefault="005249FB" w:rsidP="00407730">
      <w:pPr>
        <w:pStyle w:val="Bibliography"/>
        <w:spacing w:after="120"/>
        <w:rPr>
          <w:rFonts w:cs="Arial"/>
        </w:rPr>
      </w:pPr>
      <w:r w:rsidRPr="000269A3">
        <w:rPr>
          <w:rFonts w:cs="Arial"/>
        </w:rPr>
        <w:lastRenderedPageBreak/>
        <w:t xml:space="preserve">PMMRC. 2011. </w:t>
      </w:r>
      <w:r w:rsidRPr="000269A3">
        <w:rPr>
          <w:rFonts w:cs="Arial"/>
          <w:i/>
        </w:rPr>
        <w:t xml:space="preserve">Fifth </w:t>
      </w:r>
      <w:r w:rsidR="00A40647" w:rsidRPr="000269A3">
        <w:rPr>
          <w:rFonts w:cs="Arial"/>
          <w:i/>
        </w:rPr>
        <w:t xml:space="preserve">annual report </w:t>
      </w:r>
      <w:r w:rsidRPr="000269A3">
        <w:rPr>
          <w:rFonts w:cs="Arial"/>
          <w:i/>
        </w:rPr>
        <w:t>of the Perinatal and Maternal Mortality Review Committee: Reporting mortality 2009</w:t>
      </w:r>
      <w:r w:rsidRPr="000269A3">
        <w:rPr>
          <w:rFonts w:cs="Arial"/>
        </w:rPr>
        <w:t xml:space="preserve">. Wellington: Health Quality &amp; Safety Commission, Perinatal and Maternal Mortality Review Committee. URL: </w:t>
      </w:r>
      <w:hyperlink r:id="rId40" w:history="1">
        <w:r w:rsidR="00406F71" w:rsidRPr="00DB75C6">
          <w:rPr>
            <w:rStyle w:val="Hyperlink"/>
          </w:rPr>
          <w:t>https://www.hqsc.govt.nz/resources/resource-library/summary-of-perinatal-and-maternal-mortality-review-committee-pmmrc-reports/</w:t>
        </w:r>
      </w:hyperlink>
      <w:r w:rsidR="00406F71">
        <w:t xml:space="preserve"> </w:t>
      </w:r>
      <w:r w:rsidRPr="000269A3">
        <w:rPr>
          <w:rFonts w:cs="Arial"/>
        </w:rPr>
        <w:t xml:space="preserve">(accessed </w:t>
      </w:r>
      <w:r w:rsidR="00A611B5" w:rsidRPr="000269A3">
        <w:rPr>
          <w:rFonts w:cs="Arial"/>
        </w:rPr>
        <w:t>February</w:t>
      </w:r>
      <w:r w:rsidRPr="000269A3">
        <w:rPr>
          <w:rFonts w:cs="Arial"/>
        </w:rPr>
        <w:t xml:space="preserve"> 20</w:t>
      </w:r>
      <w:r w:rsidR="00A611B5" w:rsidRPr="000269A3">
        <w:rPr>
          <w:rFonts w:cs="Arial"/>
        </w:rPr>
        <w:t>24</w:t>
      </w:r>
      <w:r w:rsidRPr="000269A3">
        <w:rPr>
          <w:rFonts w:cs="Arial"/>
        </w:rPr>
        <w:t>).</w:t>
      </w:r>
    </w:p>
    <w:p w14:paraId="6F7DB251" w14:textId="08AFA059" w:rsidR="005249FB" w:rsidRPr="000269A3" w:rsidRDefault="005249FB" w:rsidP="00407730">
      <w:pPr>
        <w:spacing w:after="120"/>
        <w:rPr>
          <w:rFonts w:cs="Arial"/>
        </w:rPr>
      </w:pPr>
      <w:r w:rsidRPr="000269A3">
        <w:rPr>
          <w:rFonts w:cs="Arial"/>
        </w:rPr>
        <w:t xml:space="preserve">PMMRC. 2015. </w:t>
      </w:r>
      <w:r w:rsidRPr="000269A3">
        <w:rPr>
          <w:rFonts w:cs="Arial"/>
          <w:i/>
        </w:rPr>
        <w:t xml:space="preserve">Ninth </w:t>
      </w:r>
      <w:r w:rsidR="00A40647" w:rsidRPr="000269A3">
        <w:rPr>
          <w:rFonts w:cs="Arial"/>
          <w:i/>
        </w:rPr>
        <w:t xml:space="preserve">annual report </w:t>
      </w:r>
      <w:r w:rsidRPr="000269A3">
        <w:rPr>
          <w:rFonts w:cs="Arial"/>
          <w:i/>
        </w:rPr>
        <w:t>of the Perinatal and Maternal Mortality Review Committee: Reporting mortality 2013</w:t>
      </w:r>
      <w:r w:rsidRPr="000269A3">
        <w:rPr>
          <w:rFonts w:cs="Arial"/>
        </w:rPr>
        <w:t xml:space="preserve">. Wellington: Health Quality &amp; Safety Commission, Perinatal and Maternal Mortality Review Committee. URL: </w:t>
      </w:r>
      <w:hyperlink r:id="rId41" w:history="1">
        <w:r w:rsidR="00FE55B0" w:rsidRPr="000269A3">
          <w:rPr>
            <w:rStyle w:val="Hyperlink"/>
          </w:rPr>
          <w:t>www.hqsc.govt.nz/our-programmes/mrc/pmmrc/publications-and-resources/publication/2123</w:t>
        </w:r>
      </w:hyperlink>
      <w:r w:rsidR="0050350C" w:rsidRPr="000269A3">
        <w:t xml:space="preserve"> </w:t>
      </w:r>
      <w:r w:rsidRPr="000269A3">
        <w:rPr>
          <w:rFonts w:cs="Arial"/>
        </w:rPr>
        <w:t xml:space="preserve">(accessed </w:t>
      </w:r>
      <w:r w:rsidR="00A611B5" w:rsidRPr="000269A3">
        <w:rPr>
          <w:rFonts w:cs="Arial"/>
        </w:rPr>
        <w:t>February 2024</w:t>
      </w:r>
      <w:r w:rsidRPr="000269A3">
        <w:rPr>
          <w:rFonts w:cs="Arial"/>
        </w:rPr>
        <w:t>).</w:t>
      </w:r>
    </w:p>
    <w:p w14:paraId="442EBB32" w14:textId="4BF1BCFF" w:rsidR="005249FB" w:rsidRPr="000269A3" w:rsidRDefault="005249FB" w:rsidP="00407730">
      <w:pPr>
        <w:pStyle w:val="Bibliography"/>
        <w:spacing w:after="120"/>
        <w:rPr>
          <w:rFonts w:cs="Arial"/>
        </w:rPr>
      </w:pPr>
      <w:r w:rsidRPr="000269A3">
        <w:rPr>
          <w:rFonts w:cs="Arial"/>
        </w:rPr>
        <w:t xml:space="preserve">PMMRC. 2017. </w:t>
      </w:r>
      <w:r w:rsidRPr="000269A3">
        <w:rPr>
          <w:rFonts w:cs="Arial"/>
          <w:i/>
        </w:rPr>
        <w:t xml:space="preserve">Eleventh </w:t>
      </w:r>
      <w:r w:rsidR="00A40647" w:rsidRPr="000269A3">
        <w:rPr>
          <w:rFonts w:cs="Arial"/>
          <w:i/>
        </w:rPr>
        <w:t xml:space="preserve">annual report </w:t>
      </w:r>
      <w:r w:rsidRPr="000269A3">
        <w:rPr>
          <w:rFonts w:cs="Arial"/>
          <w:i/>
        </w:rPr>
        <w:t>of the Perinatal and Maternal Mortality Review Committee: Reporting mortality 2015</w:t>
      </w:r>
      <w:r w:rsidRPr="000269A3">
        <w:rPr>
          <w:rFonts w:cs="Arial"/>
        </w:rPr>
        <w:t xml:space="preserve">. Wellington: Health Quality &amp; Safety Commission, Perinatal and Maternal Mortality Review Committee. URL: </w:t>
      </w:r>
      <w:hyperlink r:id="rId42" w:history="1">
        <w:r w:rsidR="008B6444" w:rsidRPr="000269A3">
          <w:rPr>
            <w:rStyle w:val="Hyperlink"/>
          </w:rPr>
          <w:t>www.hqsc.govt.nz/our-programmes/mrc/pmmrc/publications-and-resources/publication/2929</w:t>
        </w:r>
      </w:hyperlink>
      <w:r w:rsidR="0050350C" w:rsidRPr="000269A3">
        <w:t xml:space="preserve"> </w:t>
      </w:r>
      <w:r w:rsidRPr="000269A3">
        <w:rPr>
          <w:rFonts w:cs="Arial"/>
        </w:rPr>
        <w:t xml:space="preserve">(accessed </w:t>
      </w:r>
      <w:r w:rsidR="00A611B5" w:rsidRPr="000269A3">
        <w:rPr>
          <w:rFonts w:cs="Arial"/>
        </w:rPr>
        <w:t>Feburary</w:t>
      </w:r>
      <w:r w:rsidRPr="000269A3">
        <w:rPr>
          <w:rFonts w:cs="Arial"/>
        </w:rPr>
        <w:t xml:space="preserve"> 20</w:t>
      </w:r>
      <w:r w:rsidR="00A611B5" w:rsidRPr="000269A3">
        <w:rPr>
          <w:rFonts w:cs="Arial"/>
        </w:rPr>
        <w:t>24</w:t>
      </w:r>
      <w:r w:rsidRPr="000269A3">
        <w:rPr>
          <w:rFonts w:cs="Arial"/>
        </w:rPr>
        <w:t>).</w:t>
      </w:r>
    </w:p>
    <w:p w14:paraId="4663FBB8" w14:textId="04CC1B81" w:rsidR="00406F71" w:rsidRDefault="00406F71" w:rsidP="00407730">
      <w:pPr>
        <w:pStyle w:val="Bibliography"/>
        <w:spacing w:after="120"/>
        <w:rPr>
          <w:rFonts w:cs="Arial"/>
        </w:rPr>
      </w:pPr>
      <w:r>
        <w:rPr>
          <w:rFonts w:cs="Arial"/>
        </w:rPr>
        <w:t xml:space="preserve">PMMRC. 2018. </w:t>
      </w:r>
      <w:r w:rsidRPr="00406F71">
        <w:rPr>
          <w:rFonts w:cs="Arial"/>
          <w:i/>
          <w:iCs/>
        </w:rPr>
        <w:t xml:space="preserve">Twelfth </w:t>
      </w:r>
      <w:r w:rsidRPr="000269A3">
        <w:rPr>
          <w:rFonts w:cs="Arial"/>
          <w:i/>
        </w:rPr>
        <w:t>annual report of the Perinatal and Maternal Mortality Review Committee: Reporting mortality 201</w:t>
      </w:r>
      <w:r>
        <w:rPr>
          <w:rFonts w:cs="Arial"/>
          <w:i/>
        </w:rPr>
        <w:t>6</w:t>
      </w:r>
      <w:r w:rsidRPr="000269A3">
        <w:rPr>
          <w:rFonts w:cs="Arial"/>
        </w:rPr>
        <w:t>. Wellington: Health Quality &amp; Safety Commission, Perinatal and Maternal Mortality Review Committee. URL</w:t>
      </w:r>
      <w:r>
        <w:rPr>
          <w:rFonts w:cs="Arial"/>
        </w:rPr>
        <w:t xml:space="preserve">: </w:t>
      </w:r>
      <w:hyperlink r:id="rId43" w:history="1">
        <w:r w:rsidRPr="00DB75C6">
          <w:rPr>
            <w:rStyle w:val="Hyperlink"/>
          </w:rPr>
          <w:t>https://www.hqsc.govt.nz/resources/resource-library/summary-of-perinatal-and-maternal-mortality-review-committee-pmmrc-reports/</w:t>
        </w:r>
      </w:hyperlink>
      <w:r>
        <w:t xml:space="preserve"> (accessed June 2024).</w:t>
      </w:r>
    </w:p>
    <w:p w14:paraId="04DBFC0E" w14:textId="63FB9A86" w:rsidR="005249FB" w:rsidRPr="000269A3" w:rsidRDefault="005249FB" w:rsidP="00407730">
      <w:pPr>
        <w:pStyle w:val="Bibliography"/>
        <w:spacing w:after="120"/>
        <w:rPr>
          <w:rFonts w:cs="Arial"/>
        </w:rPr>
      </w:pPr>
      <w:r w:rsidRPr="000269A3">
        <w:rPr>
          <w:rFonts w:cs="Arial"/>
        </w:rPr>
        <w:t xml:space="preserve">Salmond C, Crampton P, Atkinson J. 2007. </w:t>
      </w:r>
      <w:r w:rsidRPr="000269A3">
        <w:rPr>
          <w:rFonts w:cs="Arial"/>
          <w:i/>
        </w:rPr>
        <w:t>NZDep2006 Index of Deprivation</w:t>
      </w:r>
      <w:r w:rsidR="0038648B" w:rsidRPr="000269A3">
        <w:rPr>
          <w:rFonts w:cs="Arial"/>
          <w:i/>
        </w:rPr>
        <w:t xml:space="preserve"> </w:t>
      </w:r>
      <w:r w:rsidR="00A40647" w:rsidRPr="000269A3">
        <w:rPr>
          <w:rFonts w:cs="Arial"/>
          <w:i/>
        </w:rPr>
        <w:t>user’s manual</w:t>
      </w:r>
      <w:r w:rsidRPr="000269A3">
        <w:rPr>
          <w:rFonts w:cs="Arial"/>
        </w:rPr>
        <w:t xml:space="preserve">. Wellington: Department of Public Health, University of Otago. URL: </w:t>
      </w:r>
      <w:hyperlink r:id="rId44" w:history="1">
        <w:r w:rsidR="00487EE3" w:rsidRPr="000269A3">
          <w:rPr>
            <w:rStyle w:val="Hyperlink"/>
            <w:rFonts w:cs="Arial"/>
          </w:rPr>
          <w:t>www.otago.ac.nz/wellington/otago020337.pdf</w:t>
        </w:r>
      </w:hyperlink>
      <w:r w:rsidRPr="000269A3">
        <w:rPr>
          <w:rFonts w:cs="Arial"/>
        </w:rPr>
        <w:t xml:space="preserve"> (accessed </w:t>
      </w:r>
      <w:r w:rsidR="006563AC" w:rsidRPr="000269A3">
        <w:rPr>
          <w:rFonts w:cs="Arial"/>
        </w:rPr>
        <w:t xml:space="preserve">January </w:t>
      </w:r>
      <w:r w:rsidRPr="000269A3">
        <w:rPr>
          <w:rFonts w:cs="Arial"/>
        </w:rPr>
        <w:t>20</w:t>
      </w:r>
      <w:r w:rsidR="006563AC" w:rsidRPr="000269A3">
        <w:rPr>
          <w:rFonts w:cs="Arial"/>
        </w:rPr>
        <w:t>24</w:t>
      </w:r>
      <w:r w:rsidRPr="000269A3">
        <w:rPr>
          <w:rFonts w:cs="Arial"/>
        </w:rPr>
        <w:t>).</w:t>
      </w:r>
    </w:p>
    <w:p w14:paraId="2104E50D" w14:textId="58719938" w:rsidR="003F7CBE" w:rsidRPr="000269A3" w:rsidRDefault="003F7CBE" w:rsidP="00407730">
      <w:pPr>
        <w:spacing w:after="120"/>
        <w:rPr>
          <w:color w:val="auto"/>
        </w:rPr>
      </w:pPr>
      <w:r w:rsidRPr="000269A3">
        <w:rPr>
          <w:color w:val="auto"/>
        </w:rPr>
        <w:t>Te Whatu Ora. 2023</w:t>
      </w:r>
      <w:r w:rsidR="001E5065" w:rsidRPr="000269A3">
        <w:rPr>
          <w:color w:val="auto"/>
        </w:rPr>
        <w:t>.</w:t>
      </w:r>
      <w:r w:rsidRPr="000269A3">
        <w:rPr>
          <w:color w:val="auto"/>
        </w:rPr>
        <w:t xml:space="preserve"> </w:t>
      </w:r>
      <w:r w:rsidRPr="000269A3">
        <w:rPr>
          <w:i/>
          <w:iCs/>
          <w:color w:val="auto"/>
        </w:rPr>
        <w:t xml:space="preserve">Guidelines for </w:t>
      </w:r>
      <w:r w:rsidR="00B255E6" w:rsidRPr="000269A3">
        <w:rPr>
          <w:i/>
          <w:iCs/>
          <w:color w:val="auto"/>
        </w:rPr>
        <w:t xml:space="preserve">Consultation </w:t>
      </w:r>
      <w:r w:rsidRPr="000269A3">
        <w:rPr>
          <w:i/>
          <w:iCs/>
          <w:color w:val="auto"/>
        </w:rPr>
        <w:t xml:space="preserve">with </w:t>
      </w:r>
      <w:r w:rsidR="00B255E6" w:rsidRPr="000269A3">
        <w:rPr>
          <w:i/>
          <w:iCs/>
          <w:color w:val="auto"/>
        </w:rPr>
        <w:t xml:space="preserve">Obstetric </w:t>
      </w:r>
      <w:r w:rsidRPr="000269A3">
        <w:rPr>
          <w:i/>
          <w:iCs/>
          <w:color w:val="auto"/>
        </w:rPr>
        <w:t xml:space="preserve">and </w:t>
      </w:r>
      <w:r w:rsidR="00B255E6" w:rsidRPr="000269A3">
        <w:rPr>
          <w:i/>
          <w:iCs/>
          <w:color w:val="auto"/>
        </w:rPr>
        <w:t xml:space="preserve">Related Medical Services </w:t>
      </w:r>
      <w:r w:rsidRPr="000269A3">
        <w:rPr>
          <w:i/>
          <w:iCs/>
          <w:color w:val="auto"/>
        </w:rPr>
        <w:t>(</w:t>
      </w:r>
      <w:r w:rsidR="00B255E6" w:rsidRPr="000269A3">
        <w:rPr>
          <w:i/>
          <w:iCs/>
          <w:color w:val="auto"/>
        </w:rPr>
        <w:t>Referral Guidelines</w:t>
      </w:r>
      <w:r w:rsidRPr="000269A3">
        <w:rPr>
          <w:i/>
          <w:iCs/>
          <w:color w:val="auto"/>
        </w:rPr>
        <w:t>).</w:t>
      </w:r>
      <w:r w:rsidRPr="000269A3">
        <w:rPr>
          <w:color w:val="auto"/>
        </w:rPr>
        <w:t xml:space="preserve"> Wellington: Te Whatu Ora. URL: </w:t>
      </w:r>
      <w:hyperlink r:id="rId45" w:history="1">
        <w:r w:rsidR="00B255E6" w:rsidRPr="000269A3">
          <w:rPr>
            <w:rStyle w:val="Hyperlink"/>
          </w:rPr>
          <w:t>www.tewhatuora.govt.nz/publications/guidelines-for-consultation-with-obstetric-and-related-medical-services-referral-guidelines/</w:t>
        </w:r>
      </w:hyperlink>
      <w:r w:rsidRPr="000269A3">
        <w:rPr>
          <w:color w:val="auto"/>
        </w:rPr>
        <w:t xml:space="preserve"> (accessed January 2024).</w:t>
      </w:r>
    </w:p>
    <w:p w14:paraId="59FECA8E" w14:textId="029ED2BE" w:rsidR="006C65E0" w:rsidRPr="000269A3" w:rsidRDefault="006C65E0" w:rsidP="00407730">
      <w:pPr>
        <w:spacing w:after="120"/>
        <w:rPr>
          <w:color w:val="auto"/>
        </w:rPr>
      </w:pPr>
      <w:r w:rsidRPr="000269A3">
        <w:rPr>
          <w:color w:val="auto"/>
        </w:rPr>
        <w:t xml:space="preserve">Whitehead J, </w:t>
      </w:r>
      <w:r w:rsidR="00554BF7" w:rsidRPr="000269A3">
        <w:rPr>
          <w:color w:val="auto"/>
        </w:rPr>
        <w:t xml:space="preserve">Davie G, de Graaf B, </w:t>
      </w:r>
      <w:r w:rsidRPr="000269A3">
        <w:rPr>
          <w:color w:val="auto"/>
        </w:rPr>
        <w:t xml:space="preserve">et al. 2022. Defining </w:t>
      </w:r>
      <w:r w:rsidR="00554BF7" w:rsidRPr="000269A3">
        <w:rPr>
          <w:color w:val="auto"/>
        </w:rPr>
        <w:t>r</w:t>
      </w:r>
      <w:r w:rsidRPr="000269A3">
        <w:rPr>
          <w:color w:val="auto"/>
        </w:rPr>
        <w:t xml:space="preserve">ural </w:t>
      </w:r>
      <w:r w:rsidR="00554BF7" w:rsidRPr="000269A3">
        <w:rPr>
          <w:color w:val="auto"/>
        </w:rPr>
        <w:t>i</w:t>
      </w:r>
      <w:r w:rsidRPr="000269A3">
        <w:rPr>
          <w:color w:val="auto"/>
        </w:rPr>
        <w:t xml:space="preserve">n Aotearoa New Zealand: </w:t>
      </w:r>
      <w:r w:rsidR="00554BF7" w:rsidRPr="000269A3">
        <w:rPr>
          <w:color w:val="auto"/>
        </w:rPr>
        <w:t>a</w:t>
      </w:r>
      <w:r w:rsidRPr="000269A3">
        <w:rPr>
          <w:color w:val="auto"/>
        </w:rPr>
        <w:t xml:space="preserve"> </w:t>
      </w:r>
      <w:r w:rsidR="00554BF7" w:rsidRPr="000269A3">
        <w:rPr>
          <w:color w:val="auto"/>
        </w:rPr>
        <w:t>n</w:t>
      </w:r>
      <w:r w:rsidRPr="000269A3">
        <w:rPr>
          <w:color w:val="auto"/>
        </w:rPr>
        <w:t xml:space="preserve">ovel </w:t>
      </w:r>
      <w:r w:rsidR="00554BF7" w:rsidRPr="000269A3">
        <w:rPr>
          <w:color w:val="auto"/>
        </w:rPr>
        <w:t>g</w:t>
      </w:r>
      <w:r w:rsidRPr="000269A3">
        <w:rPr>
          <w:color w:val="auto"/>
        </w:rPr>
        <w:t xml:space="preserve">eographic </w:t>
      </w:r>
      <w:r w:rsidR="00554BF7" w:rsidRPr="000269A3">
        <w:rPr>
          <w:color w:val="auto"/>
        </w:rPr>
        <w:t>c</w:t>
      </w:r>
      <w:r w:rsidRPr="000269A3">
        <w:rPr>
          <w:color w:val="auto"/>
        </w:rPr>
        <w:t xml:space="preserve">lassification </w:t>
      </w:r>
      <w:r w:rsidR="00554BF7" w:rsidRPr="000269A3">
        <w:rPr>
          <w:color w:val="auto"/>
        </w:rPr>
        <w:t>f</w:t>
      </w:r>
      <w:r w:rsidRPr="000269A3">
        <w:rPr>
          <w:color w:val="auto"/>
        </w:rPr>
        <w:t xml:space="preserve">or </w:t>
      </w:r>
      <w:r w:rsidR="00554BF7" w:rsidRPr="000269A3">
        <w:rPr>
          <w:color w:val="auto"/>
        </w:rPr>
        <w:t>h</w:t>
      </w:r>
      <w:r w:rsidRPr="000269A3">
        <w:rPr>
          <w:color w:val="auto"/>
        </w:rPr>
        <w:t xml:space="preserve">ealth </w:t>
      </w:r>
      <w:r w:rsidR="00554BF7" w:rsidRPr="000269A3">
        <w:rPr>
          <w:color w:val="auto"/>
        </w:rPr>
        <w:t>p</w:t>
      </w:r>
      <w:r w:rsidRPr="000269A3">
        <w:rPr>
          <w:color w:val="auto"/>
        </w:rPr>
        <w:t xml:space="preserve">urposes. </w:t>
      </w:r>
      <w:r w:rsidRPr="000269A3">
        <w:rPr>
          <w:i/>
          <w:iCs/>
          <w:color w:val="auto"/>
        </w:rPr>
        <w:t>New Zealand Medical Journal</w:t>
      </w:r>
      <w:r w:rsidRPr="000269A3">
        <w:rPr>
          <w:color w:val="auto"/>
        </w:rPr>
        <w:t xml:space="preserve"> 135(1559): 24-40.</w:t>
      </w:r>
    </w:p>
    <w:p w14:paraId="60A35191" w14:textId="0C824BBF" w:rsidR="005249FB" w:rsidRPr="000269A3" w:rsidRDefault="005249FB" w:rsidP="00407730">
      <w:pPr>
        <w:pStyle w:val="Bibliography"/>
        <w:spacing w:after="120"/>
        <w:rPr>
          <w:rFonts w:cs="Arial"/>
          <w:color w:val="303030"/>
          <w:shd w:val="clear" w:color="auto" w:fill="FFFFFF"/>
        </w:rPr>
      </w:pPr>
      <w:r w:rsidRPr="000269A3">
        <w:rPr>
          <w:rFonts w:cs="Arial"/>
          <w:color w:val="303030"/>
          <w:shd w:val="clear" w:color="auto" w:fill="FFFFFF"/>
        </w:rPr>
        <w:t xml:space="preserve">WHO. (nd). </w:t>
      </w:r>
      <w:r w:rsidRPr="000269A3">
        <w:rPr>
          <w:rFonts w:cs="Arial"/>
          <w:i/>
          <w:color w:val="303030"/>
          <w:shd w:val="clear" w:color="auto" w:fill="FFFFFF"/>
        </w:rPr>
        <w:t>Maternal mortality ratio (per 100 000 live births)</w:t>
      </w:r>
      <w:r w:rsidRPr="000269A3">
        <w:rPr>
          <w:rFonts w:cs="Arial"/>
          <w:color w:val="303030"/>
          <w:shd w:val="clear" w:color="auto" w:fill="FFFFFF"/>
        </w:rPr>
        <w:t xml:space="preserve">. </w:t>
      </w:r>
      <w:r w:rsidR="00FD2FDA" w:rsidRPr="000269A3">
        <w:rPr>
          <w:rFonts w:cs="Arial"/>
          <w:color w:val="303030"/>
          <w:shd w:val="clear" w:color="auto" w:fill="FFFFFF"/>
        </w:rPr>
        <w:t xml:space="preserve">Geneva: World Health Organization. </w:t>
      </w:r>
      <w:r w:rsidRPr="000269A3">
        <w:rPr>
          <w:rFonts w:cs="Arial"/>
          <w:color w:val="303030"/>
          <w:shd w:val="clear" w:color="auto" w:fill="FFFFFF"/>
        </w:rPr>
        <w:t xml:space="preserve">URL: </w:t>
      </w:r>
      <w:hyperlink r:id="rId46" w:history="1">
        <w:r w:rsidR="00C14AD9" w:rsidRPr="00057D9E">
          <w:rPr>
            <w:rStyle w:val="Hyperlink"/>
            <w:rFonts w:cs="Arial"/>
            <w:shd w:val="clear" w:color="auto" w:fill="FFFFFF"/>
          </w:rPr>
          <w:t>www.who.int/data/gho/indicator-metadata-registry/imr-details/26</w:t>
        </w:r>
      </w:hyperlink>
      <w:r w:rsidR="00A35B72">
        <w:t xml:space="preserve"> </w:t>
      </w:r>
      <w:r w:rsidRPr="000269A3">
        <w:rPr>
          <w:rFonts w:cs="Arial"/>
          <w:color w:val="303030"/>
          <w:shd w:val="clear" w:color="auto" w:fill="FFFFFF"/>
        </w:rPr>
        <w:t xml:space="preserve">(accessed </w:t>
      </w:r>
      <w:r w:rsidR="008B78AC" w:rsidRPr="000269A3">
        <w:rPr>
          <w:rFonts w:cs="Arial"/>
          <w:color w:val="303030"/>
          <w:shd w:val="clear" w:color="auto" w:fill="FFFFFF"/>
        </w:rPr>
        <w:t>January 2024</w:t>
      </w:r>
      <w:r w:rsidRPr="000269A3">
        <w:rPr>
          <w:rFonts w:cs="Arial"/>
          <w:color w:val="303030"/>
          <w:shd w:val="clear" w:color="auto" w:fill="FFFFFF"/>
        </w:rPr>
        <w:t>).</w:t>
      </w:r>
    </w:p>
    <w:p w14:paraId="747D1B70" w14:textId="63E2E085" w:rsidR="005249FB" w:rsidRPr="000269A3" w:rsidRDefault="001E5065" w:rsidP="00407730">
      <w:pPr>
        <w:pStyle w:val="Bibliography"/>
        <w:spacing w:after="120"/>
        <w:rPr>
          <w:rFonts w:cs="Arial"/>
          <w:color w:val="303030"/>
          <w:shd w:val="clear" w:color="auto" w:fill="FFFFFF"/>
        </w:rPr>
      </w:pPr>
      <w:r w:rsidRPr="000269A3">
        <w:rPr>
          <w:rFonts w:cs="Arial"/>
          <w:color w:val="303030"/>
          <w:shd w:val="clear" w:color="auto" w:fill="FFFFFF"/>
        </w:rPr>
        <w:t>WHO</w:t>
      </w:r>
      <w:r w:rsidR="00FD2FDA" w:rsidRPr="000269A3">
        <w:rPr>
          <w:rFonts w:cs="Arial"/>
          <w:color w:val="303030"/>
          <w:shd w:val="clear" w:color="auto" w:fill="FFFFFF"/>
        </w:rPr>
        <w:t>.</w:t>
      </w:r>
      <w:r w:rsidRPr="000269A3">
        <w:rPr>
          <w:rFonts w:cs="Arial"/>
          <w:color w:val="303030"/>
          <w:shd w:val="clear" w:color="auto" w:fill="FFFFFF"/>
        </w:rPr>
        <w:t xml:space="preserve"> 2021</w:t>
      </w:r>
      <w:r w:rsidR="00FD2FDA" w:rsidRPr="000269A3">
        <w:rPr>
          <w:rFonts w:cs="Arial"/>
          <w:color w:val="303030"/>
          <w:shd w:val="clear" w:color="auto" w:fill="FFFFFF"/>
        </w:rPr>
        <w:t>.</w:t>
      </w:r>
      <w:r w:rsidRPr="000269A3">
        <w:rPr>
          <w:rFonts w:cs="Arial"/>
          <w:color w:val="303030"/>
          <w:shd w:val="clear" w:color="auto" w:fill="FFFFFF"/>
        </w:rPr>
        <w:t xml:space="preserve"> </w:t>
      </w:r>
      <w:r w:rsidRPr="000269A3">
        <w:rPr>
          <w:rFonts w:cs="Arial"/>
          <w:i/>
          <w:iCs/>
          <w:color w:val="303030"/>
          <w:shd w:val="clear" w:color="auto" w:fill="FFFFFF"/>
        </w:rPr>
        <w:t xml:space="preserve">Maternal and </w:t>
      </w:r>
      <w:r w:rsidR="0076147F" w:rsidRPr="000269A3">
        <w:rPr>
          <w:rFonts w:cs="Arial"/>
          <w:i/>
          <w:iCs/>
          <w:color w:val="303030"/>
          <w:shd w:val="clear" w:color="auto" w:fill="FFFFFF"/>
        </w:rPr>
        <w:t xml:space="preserve">Perinatal Death Surveillance </w:t>
      </w:r>
      <w:r w:rsidRPr="000269A3">
        <w:rPr>
          <w:rFonts w:cs="Arial"/>
          <w:i/>
          <w:iCs/>
          <w:color w:val="303030"/>
          <w:shd w:val="clear" w:color="auto" w:fill="FFFFFF"/>
        </w:rPr>
        <w:t xml:space="preserve">and </w:t>
      </w:r>
      <w:r w:rsidR="0076147F" w:rsidRPr="000269A3">
        <w:rPr>
          <w:rFonts w:cs="Arial"/>
          <w:i/>
          <w:iCs/>
          <w:color w:val="303030"/>
          <w:shd w:val="clear" w:color="auto" w:fill="FFFFFF"/>
        </w:rPr>
        <w:t xml:space="preserve">Response: Materials </w:t>
      </w:r>
      <w:r w:rsidRPr="000269A3">
        <w:rPr>
          <w:rFonts w:cs="Arial"/>
          <w:i/>
          <w:iCs/>
          <w:color w:val="303030"/>
          <w:shd w:val="clear" w:color="auto" w:fill="FFFFFF"/>
        </w:rPr>
        <w:t xml:space="preserve">to </w:t>
      </w:r>
      <w:r w:rsidR="0076147F" w:rsidRPr="000269A3">
        <w:rPr>
          <w:rFonts w:cs="Arial"/>
          <w:i/>
          <w:iCs/>
          <w:color w:val="303030"/>
          <w:shd w:val="clear" w:color="auto" w:fill="FFFFFF"/>
        </w:rPr>
        <w:t>Support Implementation</w:t>
      </w:r>
      <w:r w:rsidRPr="000269A3">
        <w:rPr>
          <w:rFonts w:cs="Arial"/>
          <w:color w:val="303030"/>
          <w:shd w:val="clear" w:color="auto" w:fill="FFFFFF"/>
        </w:rPr>
        <w:t xml:space="preserve">. Geneva: World Health Organization. URL: </w:t>
      </w:r>
      <w:hyperlink r:id="rId47" w:history="1">
        <w:r w:rsidRPr="000269A3">
          <w:rPr>
            <w:rStyle w:val="Hyperlink"/>
            <w:rFonts w:cs="Arial"/>
            <w:shd w:val="clear" w:color="auto" w:fill="FFFFFF"/>
          </w:rPr>
          <w:t>iris.who.int/bitstream/handle/10665/348487/9789240036666-eng.pdf</w:t>
        </w:r>
      </w:hyperlink>
      <w:r w:rsidR="005249FB" w:rsidRPr="000269A3">
        <w:rPr>
          <w:rFonts w:cs="Arial"/>
          <w:color w:val="303030"/>
          <w:shd w:val="clear" w:color="auto" w:fill="FFFFFF"/>
        </w:rPr>
        <w:t xml:space="preserve"> (accessed </w:t>
      </w:r>
      <w:r w:rsidRPr="000269A3">
        <w:rPr>
          <w:rFonts w:cs="Arial"/>
          <w:color w:val="303030"/>
          <w:shd w:val="clear" w:color="auto" w:fill="FFFFFF"/>
        </w:rPr>
        <w:t>January 2024</w:t>
      </w:r>
      <w:r w:rsidR="005249FB" w:rsidRPr="000269A3">
        <w:rPr>
          <w:rFonts w:cs="Arial"/>
          <w:color w:val="303030"/>
          <w:shd w:val="clear" w:color="auto" w:fill="FFFFFF"/>
        </w:rPr>
        <w:t>).</w:t>
      </w:r>
    </w:p>
    <w:p w14:paraId="7E9289E0" w14:textId="178BA91A" w:rsidR="00C923B7" w:rsidRPr="009F63CE" w:rsidRDefault="005249FB" w:rsidP="00407730">
      <w:pPr>
        <w:pStyle w:val="Bibliography"/>
        <w:spacing w:after="120"/>
        <w:rPr>
          <w:rFonts w:cs="Arial"/>
          <w:color w:val="303030"/>
          <w:shd w:val="clear" w:color="auto" w:fill="FFFFFF"/>
        </w:rPr>
      </w:pPr>
      <w:r w:rsidRPr="000269A3">
        <w:rPr>
          <w:rFonts w:cs="Arial"/>
          <w:color w:val="303030"/>
          <w:shd w:val="clear" w:color="auto" w:fill="FFFFFF"/>
        </w:rPr>
        <w:t xml:space="preserve">WHO. 2012. </w:t>
      </w:r>
      <w:r w:rsidRPr="000269A3">
        <w:rPr>
          <w:rFonts w:cs="Arial"/>
          <w:i/>
        </w:rPr>
        <w:t xml:space="preserve">The WHO Application of ICD-10 to </w:t>
      </w:r>
      <w:r w:rsidR="0076147F" w:rsidRPr="000269A3">
        <w:rPr>
          <w:rFonts w:cs="Arial"/>
          <w:i/>
        </w:rPr>
        <w:t xml:space="preserve">Deaths </w:t>
      </w:r>
      <w:r w:rsidRPr="000269A3">
        <w:rPr>
          <w:rFonts w:cs="Arial"/>
          <w:i/>
        </w:rPr>
        <w:t xml:space="preserve">during </w:t>
      </w:r>
      <w:r w:rsidR="0076147F" w:rsidRPr="000269A3">
        <w:rPr>
          <w:rFonts w:cs="Arial"/>
          <w:i/>
        </w:rPr>
        <w:t>Pregnancy</w:t>
      </w:r>
      <w:r w:rsidRPr="000269A3">
        <w:rPr>
          <w:rFonts w:cs="Arial"/>
          <w:i/>
        </w:rPr>
        <w:t xml:space="preserve">, </w:t>
      </w:r>
      <w:r w:rsidR="0076147F" w:rsidRPr="000269A3">
        <w:rPr>
          <w:rFonts w:cs="Arial"/>
          <w:i/>
        </w:rPr>
        <w:t xml:space="preserve">Childbirth </w:t>
      </w:r>
      <w:r w:rsidRPr="000269A3">
        <w:rPr>
          <w:rFonts w:cs="Arial"/>
          <w:i/>
        </w:rPr>
        <w:t xml:space="preserve">and the </w:t>
      </w:r>
      <w:r w:rsidR="0076147F" w:rsidRPr="000269A3">
        <w:rPr>
          <w:rFonts w:cs="Arial"/>
          <w:i/>
        </w:rPr>
        <w:t>Puerperium</w:t>
      </w:r>
      <w:r w:rsidRPr="000269A3">
        <w:rPr>
          <w:rFonts w:cs="Arial"/>
          <w:i/>
        </w:rPr>
        <w:t>: ICD-MM</w:t>
      </w:r>
      <w:r w:rsidRPr="000269A3">
        <w:rPr>
          <w:rFonts w:cs="Arial"/>
          <w:color w:val="303030"/>
          <w:shd w:val="clear" w:color="auto" w:fill="FFFFFF"/>
        </w:rPr>
        <w:t xml:space="preserve">. Geneva: World Health Organization. URL: </w:t>
      </w:r>
      <w:hyperlink r:id="rId48" w:history="1">
        <w:r w:rsidRPr="000269A3">
          <w:rPr>
            <w:rStyle w:val="Hyperlink"/>
            <w:rFonts w:cs="Arial"/>
            <w:shd w:val="clear" w:color="auto" w:fill="FFFFFF"/>
          </w:rPr>
          <w:t>apps.who.int/iris/bitstream/10665/70929/1/9789241548458_eng.pdf?ua=1</w:t>
        </w:r>
      </w:hyperlink>
      <w:r w:rsidRPr="000269A3">
        <w:rPr>
          <w:rFonts w:cs="Arial"/>
          <w:color w:val="303030"/>
          <w:shd w:val="clear" w:color="auto" w:fill="FFFFFF"/>
        </w:rPr>
        <w:t xml:space="preserve"> (accessed </w:t>
      </w:r>
      <w:r w:rsidR="00A611B5" w:rsidRPr="000269A3">
        <w:rPr>
          <w:rFonts w:cs="Arial"/>
          <w:color w:val="303030"/>
          <w:shd w:val="clear" w:color="auto" w:fill="FFFFFF"/>
        </w:rPr>
        <w:t>February 2024</w:t>
      </w:r>
      <w:r w:rsidRPr="000269A3">
        <w:rPr>
          <w:rFonts w:cs="Arial"/>
          <w:color w:val="303030"/>
          <w:shd w:val="clear" w:color="auto" w:fill="FFFFFF"/>
        </w:rPr>
        <w:t>).</w:t>
      </w:r>
    </w:p>
    <w:sectPr w:rsidR="00C923B7" w:rsidRPr="009F63CE" w:rsidSect="00174C87">
      <w:footerReference w:type="default" r:id="rId4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90CD0" w14:textId="77777777" w:rsidR="00B166E6" w:rsidRDefault="00B166E6" w:rsidP="00174C87">
      <w:pPr>
        <w:spacing w:after="0" w:line="240" w:lineRule="auto"/>
      </w:pPr>
      <w:r>
        <w:separator/>
      </w:r>
    </w:p>
  </w:endnote>
  <w:endnote w:type="continuationSeparator" w:id="0">
    <w:p w14:paraId="0E55BD16" w14:textId="77777777" w:rsidR="00B166E6" w:rsidRDefault="00B166E6" w:rsidP="00174C87">
      <w:pPr>
        <w:spacing w:after="0" w:line="240" w:lineRule="auto"/>
      </w:pPr>
      <w:r>
        <w:continuationSeparator/>
      </w:r>
    </w:p>
  </w:endnote>
  <w:endnote w:type="continuationNotice" w:id="1">
    <w:p w14:paraId="63459EE8" w14:textId="77777777" w:rsidR="00B166E6" w:rsidRDefault="00B1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Hv BT">
    <w:panose1 w:val="020B07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39859319"/>
      <w:docPartObj>
        <w:docPartGallery w:val="Page Numbers (Bottom of Page)"/>
        <w:docPartUnique/>
      </w:docPartObj>
    </w:sdtPr>
    <w:sdtEndPr>
      <w:rPr>
        <w:noProof/>
      </w:rPr>
    </w:sdtEndPr>
    <w:sdtContent>
      <w:p w14:paraId="553CBD67" w14:textId="2CC58CAC" w:rsidR="00384455" w:rsidRPr="00881675" w:rsidRDefault="00384455" w:rsidP="003F6D96">
        <w:pPr>
          <w:pStyle w:val="Footer"/>
          <w:jc w:val="right"/>
          <w:rPr>
            <w:sz w:val="20"/>
            <w:szCs w:val="20"/>
          </w:rPr>
        </w:pPr>
        <w:r w:rsidRPr="00881675">
          <w:rPr>
            <w:sz w:val="20"/>
            <w:szCs w:val="20"/>
          </w:rPr>
          <w:t xml:space="preserve">Methods and definitions for </w:t>
        </w:r>
        <w:r w:rsidR="001D4EEA" w:rsidRPr="00881675">
          <w:rPr>
            <w:sz w:val="20"/>
            <w:szCs w:val="20"/>
          </w:rPr>
          <w:t xml:space="preserve">Perinatal and Maternal Mortality Review Committee </w:t>
        </w:r>
        <w:r w:rsidRPr="00881675">
          <w:rPr>
            <w:sz w:val="20"/>
            <w:szCs w:val="20"/>
          </w:rPr>
          <w:t xml:space="preserve">reporting </w:t>
        </w:r>
        <w:r w:rsidRPr="00881675">
          <w:rPr>
            <w:sz w:val="20"/>
            <w:szCs w:val="20"/>
          </w:rPr>
          <w:tab/>
        </w:r>
        <w:r w:rsidRPr="00881675">
          <w:rPr>
            <w:sz w:val="20"/>
            <w:szCs w:val="20"/>
          </w:rPr>
          <w:fldChar w:fldCharType="begin"/>
        </w:r>
        <w:r w:rsidRPr="00881675">
          <w:rPr>
            <w:sz w:val="20"/>
            <w:szCs w:val="20"/>
          </w:rPr>
          <w:instrText xml:space="preserve"> PAGE   \* MERGEFORMAT </w:instrText>
        </w:r>
        <w:r w:rsidRPr="00881675">
          <w:rPr>
            <w:sz w:val="20"/>
            <w:szCs w:val="20"/>
          </w:rPr>
          <w:fldChar w:fldCharType="separate"/>
        </w:r>
        <w:r w:rsidR="005B0999" w:rsidRPr="00881675">
          <w:rPr>
            <w:noProof/>
            <w:sz w:val="20"/>
            <w:szCs w:val="20"/>
          </w:rPr>
          <w:t>20</w:t>
        </w:r>
        <w:r w:rsidRPr="00881675">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AA2E2" w14:textId="77777777" w:rsidR="00B166E6" w:rsidRDefault="00B166E6" w:rsidP="00174C87">
      <w:pPr>
        <w:spacing w:after="0" w:line="240" w:lineRule="auto"/>
      </w:pPr>
      <w:r>
        <w:separator/>
      </w:r>
    </w:p>
  </w:footnote>
  <w:footnote w:type="continuationSeparator" w:id="0">
    <w:p w14:paraId="022FA183" w14:textId="77777777" w:rsidR="00B166E6" w:rsidRDefault="00B166E6" w:rsidP="00174C87">
      <w:pPr>
        <w:spacing w:after="0" w:line="240" w:lineRule="auto"/>
      </w:pPr>
      <w:r>
        <w:continuationSeparator/>
      </w:r>
    </w:p>
  </w:footnote>
  <w:footnote w:type="continuationNotice" w:id="1">
    <w:p w14:paraId="43F0995E" w14:textId="77777777" w:rsidR="00B166E6" w:rsidRDefault="00B166E6">
      <w:pPr>
        <w:spacing w:after="0" w:line="240" w:lineRule="auto"/>
      </w:pPr>
    </w:p>
  </w:footnote>
  <w:footnote w:id="2">
    <w:p w14:paraId="6D31C5AF" w14:textId="21495CF2" w:rsidR="00EA27B9" w:rsidRDefault="00EA27B9">
      <w:pPr>
        <w:pStyle w:val="FootnoteText"/>
      </w:pPr>
      <w:r>
        <w:rPr>
          <w:rStyle w:val="FootnoteReference"/>
        </w:rPr>
        <w:footnoteRef/>
      </w:r>
      <w:r>
        <w:t xml:space="preserve"> </w:t>
      </w:r>
      <w:r w:rsidRPr="00EA27B9">
        <w:t>Births, Deaths, Marriages, and Relationships Registration Act 1995</w:t>
      </w:r>
      <w:r w:rsidR="00AF790E">
        <w:t>. URL:</w:t>
      </w:r>
      <w:r>
        <w:t xml:space="preserve"> </w:t>
      </w:r>
      <w:hyperlink r:id="rId1" w:history="1">
        <w:r w:rsidR="00AF790E" w:rsidRPr="00AF790E">
          <w:rPr>
            <w:rStyle w:val="Hyperlink"/>
          </w:rPr>
          <w:t>www.legislation.govt.nz/act/public/1995/0016/latest/whole.html</w:t>
        </w:r>
      </w:hyperlink>
      <w:r w:rsidR="00AF790E">
        <w:t>.</w:t>
      </w:r>
    </w:p>
  </w:footnote>
  <w:footnote w:id="3">
    <w:p w14:paraId="3ABE8712" w14:textId="69711EF1" w:rsidR="00E1122C" w:rsidRDefault="00E1122C">
      <w:pPr>
        <w:pStyle w:val="FootnoteText"/>
      </w:pPr>
      <w:r>
        <w:rPr>
          <w:rStyle w:val="FootnoteReference"/>
        </w:rPr>
        <w:footnoteRef/>
      </w:r>
      <w:r>
        <w:t xml:space="preserve"> Puerperium is </w:t>
      </w:r>
      <w:r w:rsidR="0094142B">
        <w:t xml:space="preserve">the period </w:t>
      </w:r>
      <w:r>
        <w:t xml:space="preserve">up to and including 42 days postpartum after </w:t>
      </w:r>
      <w:r w:rsidR="0094142B">
        <w:t>end of pregnancy</w:t>
      </w:r>
    </w:p>
  </w:footnote>
  <w:footnote w:id="4">
    <w:p w14:paraId="0D39E85A" w14:textId="07BAB830" w:rsidR="00AE4FFB" w:rsidRDefault="00AE4FFB" w:rsidP="00DA5638">
      <w:pPr>
        <w:pStyle w:val="FootnoteText"/>
      </w:pPr>
      <w:r>
        <w:rPr>
          <w:rStyle w:val="FootnoteReference"/>
        </w:rPr>
        <w:footnoteRef/>
      </w:r>
      <w:r>
        <w:t xml:space="preserve"> </w:t>
      </w:r>
      <w:r w:rsidR="00D2767A">
        <w:t xml:space="preserve">Stillbirth Centre of Research Excellence and Perinatal Society of Australia &amp; New Zealand, Stillbirth and Neonatal Death Alliance. 2020. Clinical Practice Guideline for Care Around Stillbirth and Neonatal Death. Section 7. </w:t>
      </w:r>
      <w:r w:rsidR="00DA5638">
        <w:t>The PSANZ classification system for stillbirths and neonatal deaths</w:t>
      </w:r>
      <w:r w:rsidR="001E59D4">
        <w:t>. URL:</w:t>
      </w:r>
      <w:r w:rsidR="00DA5638">
        <w:t xml:space="preserve"> </w:t>
      </w:r>
      <w:hyperlink r:id="rId2" w:history="1">
        <w:r w:rsidR="00DA5638" w:rsidRPr="00523F11">
          <w:rPr>
            <w:rStyle w:val="Hyperlink"/>
          </w:rPr>
          <w:t>stillbirthcre.org.au/wp-content/uploads/2021/03/Section-7-PSANZ-Classification-of-perinatal-deaths-V4.3-121219.pdf</w:t>
        </w:r>
      </w:hyperlink>
      <w:r w:rsidR="00DA5638">
        <w:t xml:space="preserve"> (accessed February 2024)</w:t>
      </w:r>
      <w:r w:rsidR="001F27E7">
        <w:t>.</w:t>
      </w:r>
    </w:p>
  </w:footnote>
  <w:footnote w:id="5">
    <w:p w14:paraId="65279EFF" w14:textId="30C47D8A" w:rsidR="004135A7" w:rsidRPr="002579CD" w:rsidRDefault="004135A7">
      <w:pPr>
        <w:pStyle w:val="FootnoteText"/>
      </w:pPr>
      <w:r>
        <w:rPr>
          <w:rStyle w:val="FootnoteReference"/>
        </w:rPr>
        <w:footnoteRef/>
      </w:r>
      <w:r>
        <w:t xml:space="preserve"> </w:t>
      </w:r>
      <w:r w:rsidRPr="002579CD">
        <w:t>Report on Maternity web tool.</w:t>
      </w:r>
      <w:r w:rsidR="00DF510B">
        <w:t xml:space="preserve"> URL:</w:t>
      </w:r>
      <w:r w:rsidRPr="002579CD">
        <w:t xml:space="preserve"> </w:t>
      </w:r>
      <w:hyperlink r:id="rId3" w:history="1">
        <w:r w:rsidRPr="002579CD">
          <w:rPr>
            <w:rStyle w:val="Hyperlink"/>
          </w:rPr>
          <w:t>https://tewhatuora.shinyapps.io/report-on-maternity-web-tool/</w:t>
        </w:r>
      </w:hyperlink>
      <w:r w:rsidRPr="002579CD">
        <w:t xml:space="preserve"> (accessed February 2024)</w:t>
      </w:r>
      <w:r w:rsidR="00DF510B">
        <w:t>.</w:t>
      </w:r>
    </w:p>
  </w:footnote>
  <w:footnote w:id="6">
    <w:p w14:paraId="33AE26E4" w14:textId="3FC71B29" w:rsidR="006632A1" w:rsidRDefault="006632A1">
      <w:pPr>
        <w:pStyle w:val="FootnoteText"/>
      </w:pPr>
      <w:r w:rsidRPr="002579CD">
        <w:rPr>
          <w:rStyle w:val="FootnoteReference"/>
        </w:rPr>
        <w:footnoteRef/>
      </w:r>
      <w:r w:rsidRPr="002579CD">
        <w:t xml:space="preserve"> Aotearoa BadgerNet Perinatal Spine.</w:t>
      </w:r>
      <w:r w:rsidR="00DF510B">
        <w:t xml:space="preserve"> URL:</w:t>
      </w:r>
      <w:r w:rsidRPr="002579CD">
        <w:t xml:space="preserve"> </w:t>
      </w:r>
      <w:hyperlink r:id="rId4" w:history="1">
        <w:r w:rsidRPr="002579CD">
          <w:rPr>
            <w:rStyle w:val="Hyperlink"/>
          </w:rPr>
          <w:t>https://www.tewhatuora.govt.nz/for-the-health-sector/maternity/aotearoa-badgernet-perinatal-spine/</w:t>
        </w:r>
      </w:hyperlink>
      <w:r w:rsidRPr="002579CD">
        <w:t xml:space="preserve"> (accessed February 2024)</w:t>
      </w:r>
      <w:r w:rsidR="00DF510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B6F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8C46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BCBD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7CE9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0638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766F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D2BE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AB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DC8A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7BDE"/>
    <w:multiLevelType w:val="multilevel"/>
    <w:tmpl w:val="60061A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657EC0"/>
    <w:multiLevelType w:val="multilevel"/>
    <w:tmpl w:val="4628F530"/>
    <w:lvl w:ilvl="0">
      <w:start w:val="3"/>
      <w:numFmt w:val="decimal"/>
      <w:lvlText w:val="%1"/>
      <w:lvlJc w:val="left"/>
      <w:pPr>
        <w:ind w:left="0" w:firstLine="0"/>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4540323"/>
    <w:multiLevelType w:val="multilevel"/>
    <w:tmpl w:val="FE78C7CE"/>
    <w:lvl w:ilvl="0">
      <w:start w:val="1"/>
      <w:numFmt w:val="decimal"/>
      <w:pStyle w:val="Heading1"/>
      <w:lvlText w:val="%1"/>
      <w:lvlJc w:val="left"/>
      <w:pPr>
        <w:tabs>
          <w:tab w:val="num" w:pos="709"/>
        </w:tabs>
        <w:ind w:left="709" w:hanging="567"/>
      </w:pPr>
      <w:rPr>
        <w:rFonts w:ascii="Candara" w:hAnsi="Candara" w:hint="default"/>
      </w:rPr>
    </w:lvl>
    <w:lvl w:ilvl="1">
      <w:start w:val="1"/>
      <w:numFmt w:val="decimal"/>
      <w:pStyle w:val="Heading2"/>
      <w:lvlText w:val="%1.%2"/>
      <w:lvlJc w:val="left"/>
      <w:pPr>
        <w:tabs>
          <w:tab w:val="num" w:pos="1135"/>
        </w:tabs>
        <w:ind w:left="567" w:hanging="567"/>
      </w:pPr>
      <w:rPr>
        <w:rFonts w:ascii="Candara" w:hAnsi="Candar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46456F"/>
    <w:multiLevelType w:val="multilevel"/>
    <w:tmpl w:val="CC2C3F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059302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2463D3"/>
    <w:multiLevelType w:val="hybridMultilevel"/>
    <w:tmpl w:val="AD6CB6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DB81644"/>
    <w:multiLevelType w:val="multilevel"/>
    <w:tmpl w:val="D4B25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543887"/>
    <w:multiLevelType w:val="multilevel"/>
    <w:tmpl w:val="CBA88F18"/>
    <w:lvl w:ilvl="0">
      <w:start w:val="1"/>
      <w:numFmt w:val="decimal"/>
      <w:lvlText w:val="%1"/>
      <w:lvlJc w:val="left"/>
      <w:pPr>
        <w:ind w:left="432" w:hanging="432"/>
      </w:pPr>
      <w:rPr>
        <w:rFonts w:hint="default"/>
      </w:rPr>
    </w:lvl>
    <w:lvl w:ilvl="1">
      <w:start w:val="1"/>
      <w:numFmt w:val="decimal"/>
      <w:pStyle w:val="Heading3TOC"/>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173426A"/>
    <w:multiLevelType w:val="multilevel"/>
    <w:tmpl w:val="1A10400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6F7B3F"/>
    <w:multiLevelType w:val="multilevel"/>
    <w:tmpl w:val="FB34BDF0"/>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627992"/>
    <w:multiLevelType w:val="multilevel"/>
    <w:tmpl w:val="FCF0186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933D72"/>
    <w:multiLevelType w:val="hybridMultilevel"/>
    <w:tmpl w:val="04A47A80"/>
    <w:lvl w:ilvl="0" w:tplc="FE4C3620">
      <w:start w:val="1"/>
      <w:numFmt w:val="decimal"/>
      <w:lvlText w:val="%1."/>
      <w:lvlJc w:val="left"/>
      <w:pPr>
        <w:ind w:left="720" w:hanging="360"/>
      </w:pPr>
    </w:lvl>
    <w:lvl w:ilvl="1" w:tplc="E6AA96AE">
      <w:start w:val="1"/>
      <w:numFmt w:val="decimal"/>
      <w:lvlText w:val="%2."/>
      <w:lvlJc w:val="left"/>
      <w:pPr>
        <w:ind w:left="720" w:hanging="360"/>
      </w:pPr>
    </w:lvl>
    <w:lvl w:ilvl="2" w:tplc="19F42B6C">
      <w:start w:val="1"/>
      <w:numFmt w:val="decimal"/>
      <w:lvlText w:val="%3."/>
      <w:lvlJc w:val="left"/>
      <w:pPr>
        <w:ind w:left="720" w:hanging="360"/>
      </w:pPr>
    </w:lvl>
    <w:lvl w:ilvl="3" w:tplc="16E6C9E0">
      <w:start w:val="1"/>
      <w:numFmt w:val="decimal"/>
      <w:lvlText w:val="%4."/>
      <w:lvlJc w:val="left"/>
      <w:pPr>
        <w:ind w:left="720" w:hanging="360"/>
      </w:pPr>
    </w:lvl>
    <w:lvl w:ilvl="4" w:tplc="5048533A">
      <w:start w:val="1"/>
      <w:numFmt w:val="decimal"/>
      <w:lvlText w:val="%5."/>
      <w:lvlJc w:val="left"/>
      <w:pPr>
        <w:ind w:left="720" w:hanging="360"/>
      </w:pPr>
    </w:lvl>
    <w:lvl w:ilvl="5" w:tplc="2834CF98">
      <w:start w:val="1"/>
      <w:numFmt w:val="decimal"/>
      <w:lvlText w:val="%6."/>
      <w:lvlJc w:val="left"/>
      <w:pPr>
        <w:ind w:left="720" w:hanging="360"/>
      </w:pPr>
    </w:lvl>
    <w:lvl w:ilvl="6" w:tplc="90D60AB0">
      <w:start w:val="1"/>
      <w:numFmt w:val="decimal"/>
      <w:lvlText w:val="%7."/>
      <w:lvlJc w:val="left"/>
      <w:pPr>
        <w:ind w:left="720" w:hanging="360"/>
      </w:pPr>
    </w:lvl>
    <w:lvl w:ilvl="7" w:tplc="3E6C3538">
      <w:start w:val="1"/>
      <w:numFmt w:val="decimal"/>
      <w:lvlText w:val="%8."/>
      <w:lvlJc w:val="left"/>
      <w:pPr>
        <w:ind w:left="720" w:hanging="360"/>
      </w:pPr>
    </w:lvl>
    <w:lvl w:ilvl="8" w:tplc="069CDA2E">
      <w:start w:val="1"/>
      <w:numFmt w:val="decimal"/>
      <w:lvlText w:val="%9."/>
      <w:lvlJc w:val="left"/>
      <w:pPr>
        <w:ind w:left="720" w:hanging="360"/>
      </w:pPr>
    </w:lvl>
  </w:abstractNum>
  <w:abstractNum w:abstractNumId="22" w15:restartNumberingAfterBreak="0">
    <w:nsid w:val="3A1F7E7F"/>
    <w:multiLevelType w:val="hybridMultilevel"/>
    <w:tmpl w:val="DB7CE4CC"/>
    <w:lvl w:ilvl="0" w:tplc="1D8CDBEE">
      <w:start w:val="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9C4482"/>
    <w:multiLevelType w:val="multilevel"/>
    <w:tmpl w:val="F24E4BC6"/>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1E03AF1"/>
    <w:multiLevelType w:val="multilevel"/>
    <w:tmpl w:val="FCF0186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246C99"/>
    <w:multiLevelType w:val="multilevel"/>
    <w:tmpl w:val="438EF8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D94C48"/>
    <w:multiLevelType w:val="multilevel"/>
    <w:tmpl w:val="F41EDFC8"/>
    <w:lvl w:ilvl="0">
      <w:start w:val="3"/>
      <w:numFmt w:val="decimal"/>
      <w:pStyle w:val="Title"/>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F42B31"/>
    <w:multiLevelType w:val="hybridMultilevel"/>
    <w:tmpl w:val="5E86AA6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8F069D8"/>
    <w:multiLevelType w:val="multilevel"/>
    <w:tmpl w:val="6218C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062AA6"/>
    <w:multiLevelType w:val="hybridMultilevel"/>
    <w:tmpl w:val="D234D2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9F56C45"/>
    <w:multiLevelType w:val="hybridMultilevel"/>
    <w:tmpl w:val="A3989FFC"/>
    <w:lvl w:ilvl="0" w:tplc="7A5EDB5A">
      <w:start w:val="4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7B4C7595"/>
    <w:multiLevelType w:val="hybridMultilevel"/>
    <w:tmpl w:val="47A295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1908416833">
    <w:abstractNumId w:val="12"/>
  </w:num>
  <w:num w:numId="2" w16cid:durableId="10498712">
    <w:abstractNumId w:val="9"/>
  </w:num>
  <w:num w:numId="3" w16cid:durableId="616331916">
    <w:abstractNumId w:val="28"/>
  </w:num>
  <w:num w:numId="4" w16cid:durableId="1046417090">
    <w:abstractNumId w:val="19"/>
  </w:num>
  <w:num w:numId="5" w16cid:durableId="1498839114">
    <w:abstractNumId w:val="23"/>
  </w:num>
  <w:num w:numId="6" w16cid:durableId="449014020">
    <w:abstractNumId w:val="11"/>
  </w:num>
  <w:num w:numId="7" w16cid:durableId="890850429">
    <w:abstractNumId w:val="14"/>
  </w:num>
  <w:num w:numId="8" w16cid:durableId="1958370898">
    <w:abstractNumId w:val="26"/>
  </w:num>
  <w:num w:numId="9" w16cid:durableId="1053387769">
    <w:abstractNumId w:val="17"/>
  </w:num>
  <w:num w:numId="10" w16cid:durableId="354232983">
    <w:abstractNumId w:val="29"/>
  </w:num>
  <w:num w:numId="11" w16cid:durableId="1874265192">
    <w:abstractNumId w:val="31"/>
  </w:num>
  <w:num w:numId="12" w16cid:durableId="584730371">
    <w:abstractNumId w:val="27"/>
  </w:num>
  <w:num w:numId="13" w16cid:durableId="826215910">
    <w:abstractNumId w:val="15"/>
  </w:num>
  <w:num w:numId="14" w16cid:durableId="150567070">
    <w:abstractNumId w:val="20"/>
  </w:num>
  <w:num w:numId="15" w16cid:durableId="80949913">
    <w:abstractNumId w:val="24"/>
  </w:num>
  <w:num w:numId="16" w16cid:durableId="742532531">
    <w:abstractNumId w:val="18"/>
  </w:num>
  <w:num w:numId="17" w16cid:durableId="399058678">
    <w:abstractNumId w:val="17"/>
    <w:lvlOverride w:ilvl="0">
      <w:startOverride w:val="1"/>
    </w:lvlOverride>
    <w:lvlOverride w:ilvl="1">
      <w:startOverride w:val="5"/>
    </w:lvlOverride>
  </w:num>
  <w:num w:numId="18" w16cid:durableId="729688348">
    <w:abstractNumId w:val="7"/>
  </w:num>
  <w:num w:numId="19" w16cid:durableId="588778073">
    <w:abstractNumId w:val="6"/>
  </w:num>
  <w:num w:numId="20" w16cid:durableId="1741516856">
    <w:abstractNumId w:val="5"/>
  </w:num>
  <w:num w:numId="21" w16cid:durableId="660502332">
    <w:abstractNumId w:val="4"/>
  </w:num>
  <w:num w:numId="22" w16cid:durableId="882862397">
    <w:abstractNumId w:val="8"/>
  </w:num>
  <w:num w:numId="23" w16cid:durableId="338429699">
    <w:abstractNumId w:val="3"/>
  </w:num>
  <w:num w:numId="24" w16cid:durableId="376391566">
    <w:abstractNumId w:val="2"/>
  </w:num>
  <w:num w:numId="25" w16cid:durableId="200703941">
    <w:abstractNumId w:val="1"/>
  </w:num>
  <w:num w:numId="26" w16cid:durableId="1071388770">
    <w:abstractNumId w:val="0"/>
  </w:num>
  <w:num w:numId="27" w16cid:durableId="1589191187">
    <w:abstractNumId w:val="10"/>
  </w:num>
  <w:num w:numId="28" w16cid:durableId="810556493">
    <w:abstractNumId w:val="25"/>
  </w:num>
  <w:num w:numId="29" w16cid:durableId="1316254485">
    <w:abstractNumId w:val="9"/>
  </w:num>
  <w:num w:numId="30" w16cid:durableId="1446534448">
    <w:abstractNumId w:val="22"/>
  </w:num>
  <w:num w:numId="31" w16cid:durableId="1888907846">
    <w:abstractNumId w:val="30"/>
  </w:num>
  <w:num w:numId="32" w16cid:durableId="1614240749">
    <w:abstractNumId w:val="21"/>
  </w:num>
  <w:num w:numId="33" w16cid:durableId="1901095286">
    <w:abstractNumId w:val="13"/>
  </w:num>
  <w:num w:numId="34" w16cid:durableId="9674712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activeWritingStyle w:appName="MSWord" w:lang="en-US" w:vendorID="64" w:dllVersion="0" w:nlCheck="1" w:checkStyle="0"/>
  <w:activeWritingStyle w:appName="MSWord" w:lang="en-NZ" w:vendorID="64" w:dllVersion="4096" w:nlCheck="1" w:checkStyle="0"/>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TQ3sTQ2NDCwsDBU0lEKTi0uzszPAykwNKgFAOYhXvotAAAA"/>
  </w:docVars>
  <w:rsids>
    <w:rsidRoot w:val="001C4055"/>
    <w:rsid w:val="000049D5"/>
    <w:rsid w:val="000049EE"/>
    <w:rsid w:val="00005779"/>
    <w:rsid w:val="00005907"/>
    <w:rsid w:val="00005FE6"/>
    <w:rsid w:val="0000603A"/>
    <w:rsid w:val="0000612D"/>
    <w:rsid w:val="0000678F"/>
    <w:rsid w:val="00006D87"/>
    <w:rsid w:val="000101EC"/>
    <w:rsid w:val="000109C6"/>
    <w:rsid w:val="0001187D"/>
    <w:rsid w:val="0001362B"/>
    <w:rsid w:val="000156B9"/>
    <w:rsid w:val="000158E7"/>
    <w:rsid w:val="00021D1F"/>
    <w:rsid w:val="00022F06"/>
    <w:rsid w:val="0002311F"/>
    <w:rsid w:val="00023851"/>
    <w:rsid w:val="00024801"/>
    <w:rsid w:val="00024E16"/>
    <w:rsid w:val="0002550A"/>
    <w:rsid w:val="00025FFF"/>
    <w:rsid w:val="000263CB"/>
    <w:rsid w:val="000269A3"/>
    <w:rsid w:val="0002713A"/>
    <w:rsid w:val="00027B84"/>
    <w:rsid w:val="00027EA1"/>
    <w:rsid w:val="00033E35"/>
    <w:rsid w:val="0003538E"/>
    <w:rsid w:val="00036540"/>
    <w:rsid w:val="00036E27"/>
    <w:rsid w:val="00036E8E"/>
    <w:rsid w:val="000374D4"/>
    <w:rsid w:val="000377E6"/>
    <w:rsid w:val="00037FF1"/>
    <w:rsid w:val="0004062D"/>
    <w:rsid w:val="000417E7"/>
    <w:rsid w:val="00041A53"/>
    <w:rsid w:val="00041DF7"/>
    <w:rsid w:val="0004280B"/>
    <w:rsid w:val="00044403"/>
    <w:rsid w:val="000455A9"/>
    <w:rsid w:val="000462D6"/>
    <w:rsid w:val="00047153"/>
    <w:rsid w:val="00051838"/>
    <w:rsid w:val="000532D9"/>
    <w:rsid w:val="00053945"/>
    <w:rsid w:val="00053F15"/>
    <w:rsid w:val="00060C34"/>
    <w:rsid w:val="000613A5"/>
    <w:rsid w:val="000620D4"/>
    <w:rsid w:val="0006216D"/>
    <w:rsid w:val="00065BD1"/>
    <w:rsid w:val="00065FA2"/>
    <w:rsid w:val="00067BB0"/>
    <w:rsid w:val="000707E3"/>
    <w:rsid w:val="000725BD"/>
    <w:rsid w:val="000736B9"/>
    <w:rsid w:val="00076061"/>
    <w:rsid w:val="000761E2"/>
    <w:rsid w:val="000765BB"/>
    <w:rsid w:val="00077499"/>
    <w:rsid w:val="00077C33"/>
    <w:rsid w:val="00077D02"/>
    <w:rsid w:val="000811B9"/>
    <w:rsid w:val="00083E01"/>
    <w:rsid w:val="0008561C"/>
    <w:rsid w:val="0008636B"/>
    <w:rsid w:val="00086C7D"/>
    <w:rsid w:val="00087048"/>
    <w:rsid w:val="0008775B"/>
    <w:rsid w:val="00090C43"/>
    <w:rsid w:val="00091EC0"/>
    <w:rsid w:val="00092451"/>
    <w:rsid w:val="00092B14"/>
    <w:rsid w:val="00092D18"/>
    <w:rsid w:val="00093938"/>
    <w:rsid w:val="00093F67"/>
    <w:rsid w:val="00094D7F"/>
    <w:rsid w:val="000956D8"/>
    <w:rsid w:val="00096037"/>
    <w:rsid w:val="00097AF0"/>
    <w:rsid w:val="000A3D39"/>
    <w:rsid w:val="000A45CB"/>
    <w:rsid w:val="000A4761"/>
    <w:rsid w:val="000A4AEF"/>
    <w:rsid w:val="000A5EE8"/>
    <w:rsid w:val="000A6AC5"/>
    <w:rsid w:val="000B0924"/>
    <w:rsid w:val="000B0DFA"/>
    <w:rsid w:val="000B1300"/>
    <w:rsid w:val="000B186C"/>
    <w:rsid w:val="000B2A70"/>
    <w:rsid w:val="000B2AF4"/>
    <w:rsid w:val="000B4350"/>
    <w:rsid w:val="000B4CF8"/>
    <w:rsid w:val="000B4F96"/>
    <w:rsid w:val="000B5F3F"/>
    <w:rsid w:val="000B6DBF"/>
    <w:rsid w:val="000B7484"/>
    <w:rsid w:val="000B77EA"/>
    <w:rsid w:val="000C073C"/>
    <w:rsid w:val="000C0DFC"/>
    <w:rsid w:val="000C1632"/>
    <w:rsid w:val="000C1894"/>
    <w:rsid w:val="000C1C77"/>
    <w:rsid w:val="000C3FC5"/>
    <w:rsid w:val="000C6DCD"/>
    <w:rsid w:val="000C6E3F"/>
    <w:rsid w:val="000C79B3"/>
    <w:rsid w:val="000D1394"/>
    <w:rsid w:val="000D26C0"/>
    <w:rsid w:val="000D379B"/>
    <w:rsid w:val="000D4608"/>
    <w:rsid w:val="000D4A25"/>
    <w:rsid w:val="000D518C"/>
    <w:rsid w:val="000D66DF"/>
    <w:rsid w:val="000D711A"/>
    <w:rsid w:val="000E0877"/>
    <w:rsid w:val="000E4ED0"/>
    <w:rsid w:val="000E6226"/>
    <w:rsid w:val="000F0DCC"/>
    <w:rsid w:val="000F1192"/>
    <w:rsid w:val="000F19A5"/>
    <w:rsid w:val="000F1D29"/>
    <w:rsid w:val="000F1E82"/>
    <w:rsid w:val="000F214B"/>
    <w:rsid w:val="000F3AC7"/>
    <w:rsid w:val="000F5BCA"/>
    <w:rsid w:val="000F705F"/>
    <w:rsid w:val="000F7F98"/>
    <w:rsid w:val="00100745"/>
    <w:rsid w:val="00101BA4"/>
    <w:rsid w:val="001026E5"/>
    <w:rsid w:val="00103BA3"/>
    <w:rsid w:val="00104515"/>
    <w:rsid w:val="001050E3"/>
    <w:rsid w:val="00106149"/>
    <w:rsid w:val="00106ED5"/>
    <w:rsid w:val="00107ADE"/>
    <w:rsid w:val="00111F2B"/>
    <w:rsid w:val="00111F48"/>
    <w:rsid w:val="00112756"/>
    <w:rsid w:val="0011438F"/>
    <w:rsid w:val="001150D0"/>
    <w:rsid w:val="00115CC8"/>
    <w:rsid w:val="00116427"/>
    <w:rsid w:val="0011787F"/>
    <w:rsid w:val="00120DC5"/>
    <w:rsid w:val="00122359"/>
    <w:rsid w:val="00123738"/>
    <w:rsid w:val="001270C2"/>
    <w:rsid w:val="00127C4B"/>
    <w:rsid w:val="00130545"/>
    <w:rsid w:val="0013387A"/>
    <w:rsid w:val="00136AA2"/>
    <w:rsid w:val="00137BA0"/>
    <w:rsid w:val="00137F5A"/>
    <w:rsid w:val="00140B4A"/>
    <w:rsid w:val="001416ED"/>
    <w:rsid w:val="00142642"/>
    <w:rsid w:val="001466D0"/>
    <w:rsid w:val="00152FD7"/>
    <w:rsid w:val="00154FAD"/>
    <w:rsid w:val="00155508"/>
    <w:rsid w:val="00155E9E"/>
    <w:rsid w:val="001564EE"/>
    <w:rsid w:val="00160A4F"/>
    <w:rsid w:val="00160D8D"/>
    <w:rsid w:val="00161EB8"/>
    <w:rsid w:val="00162B10"/>
    <w:rsid w:val="00163B4F"/>
    <w:rsid w:val="00164C29"/>
    <w:rsid w:val="001671E8"/>
    <w:rsid w:val="00167701"/>
    <w:rsid w:val="00167A6F"/>
    <w:rsid w:val="00167E64"/>
    <w:rsid w:val="00170237"/>
    <w:rsid w:val="001702F0"/>
    <w:rsid w:val="00170D08"/>
    <w:rsid w:val="00171820"/>
    <w:rsid w:val="00171E59"/>
    <w:rsid w:val="001732FC"/>
    <w:rsid w:val="0017445E"/>
    <w:rsid w:val="00174BA7"/>
    <w:rsid w:val="00174C87"/>
    <w:rsid w:val="00175E34"/>
    <w:rsid w:val="00175FC4"/>
    <w:rsid w:val="001763A0"/>
    <w:rsid w:val="001770C4"/>
    <w:rsid w:val="00177CE4"/>
    <w:rsid w:val="001807D2"/>
    <w:rsid w:val="0018090B"/>
    <w:rsid w:val="0018176F"/>
    <w:rsid w:val="0018230F"/>
    <w:rsid w:val="0018399E"/>
    <w:rsid w:val="00183EE2"/>
    <w:rsid w:val="001858A9"/>
    <w:rsid w:val="00187ECF"/>
    <w:rsid w:val="001913FC"/>
    <w:rsid w:val="001922AA"/>
    <w:rsid w:val="00192CD0"/>
    <w:rsid w:val="0019435F"/>
    <w:rsid w:val="001944D2"/>
    <w:rsid w:val="0019478E"/>
    <w:rsid w:val="0019566A"/>
    <w:rsid w:val="00195C88"/>
    <w:rsid w:val="0019724C"/>
    <w:rsid w:val="001973EA"/>
    <w:rsid w:val="00197BBA"/>
    <w:rsid w:val="001A01B2"/>
    <w:rsid w:val="001A0457"/>
    <w:rsid w:val="001A463F"/>
    <w:rsid w:val="001A5150"/>
    <w:rsid w:val="001A6021"/>
    <w:rsid w:val="001A61A2"/>
    <w:rsid w:val="001A6289"/>
    <w:rsid w:val="001B05BF"/>
    <w:rsid w:val="001B1CF3"/>
    <w:rsid w:val="001B2870"/>
    <w:rsid w:val="001B5199"/>
    <w:rsid w:val="001B5C91"/>
    <w:rsid w:val="001B6490"/>
    <w:rsid w:val="001B7080"/>
    <w:rsid w:val="001B7440"/>
    <w:rsid w:val="001B7D7E"/>
    <w:rsid w:val="001B7EAE"/>
    <w:rsid w:val="001C0BAC"/>
    <w:rsid w:val="001C12DC"/>
    <w:rsid w:val="001C22A3"/>
    <w:rsid w:val="001C3B20"/>
    <w:rsid w:val="001C4055"/>
    <w:rsid w:val="001C4E65"/>
    <w:rsid w:val="001C55F3"/>
    <w:rsid w:val="001C7828"/>
    <w:rsid w:val="001D110A"/>
    <w:rsid w:val="001D1504"/>
    <w:rsid w:val="001D41FA"/>
    <w:rsid w:val="001D4E8A"/>
    <w:rsid w:val="001D4EEA"/>
    <w:rsid w:val="001D5089"/>
    <w:rsid w:val="001D5FF5"/>
    <w:rsid w:val="001D6254"/>
    <w:rsid w:val="001D6563"/>
    <w:rsid w:val="001D6B67"/>
    <w:rsid w:val="001E04AE"/>
    <w:rsid w:val="001E0703"/>
    <w:rsid w:val="001E29CC"/>
    <w:rsid w:val="001E2C38"/>
    <w:rsid w:val="001E34C6"/>
    <w:rsid w:val="001E3B6C"/>
    <w:rsid w:val="001E3F7E"/>
    <w:rsid w:val="001E5065"/>
    <w:rsid w:val="001E59D4"/>
    <w:rsid w:val="001E6D59"/>
    <w:rsid w:val="001F228B"/>
    <w:rsid w:val="001F27E7"/>
    <w:rsid w:val="001F2F56"/>
    <w:rsid w:val="001F30F5"/>
    <w:rsid w:val="001F3789"/>
    <w:rsid w:val="001F3F19"/>
    <w:rsid w:val="001F40B3"/>
    <w:rsid w:val="001F629F"/>
    <w:rsid w:val="001F79DA"/>
    <w:rsid w:val="00200983"/>
    <w:rsid w:val="00200DDE"/>
    <w:rsid w:val="00201133"/>
    <w:rsid w:val="002023C9"/>
    <w:rsid w:val="00205141"/>
    <w:rsid w:val="00212BD8"/>
    <w:rsid w:val="002143C2"/>
    <w:rsid w:val="002143C7"/>
    <w:rsid w:val="002160F0"/>
    <w:rsid w:val="00216845"/>
    <w:rsid w:val="002169E7"/>
    <w:rsid w:val="00216DFA"/>
    <w:rsid w:val="00224E2E"/>
    <w:rsid w:val="00226571"/>
    <w:rsid w:val="00227265"/>
    <w:rsid w:val="0022764A"/>
    <w:rsid w:val="00230861"/>
    <w:rsid w:val="00231194"/>
    <w:rsid w:val="00232077"/>
    <w:rsid w:val="00232B9F"/>
    <w:rsid w:val="002343E4"/>
    <w:rsid w:val="0023448B"/>
    <w:rsid w:val="00235C8E"/>
    <w:rsid w:val="00241F06"/>
    <w:rsid w:val="0024243B"/>
    <w:rsid w:val="00242BC3"/>
    <w:rsid w:val="0024300B"/>
    <w:rsid w:val="00243343"/>
    <w:rsid w:val="002461B5"/>
    <w:rsid w:val="00250E9C"/>
    <w:rsid w:val="002512E5"/>
    <w:rsid w:val="002521EA"/>
    <w:rsid w:val="0025285D"/>
    <w:rsid w:val="002529C1"/>
    <w:rsid w:val="00252E27"/>
    <w:rsid w:val="00255ECC"/>
    <w:rsid w:val="0025791E"/>
    <w:rsid w:val="002579CD"/>
    <w:rsid w:val="002618CC"/>
    <w:rsid w:val="00261AB9"/>
    <w:rsid w:val="0026250B"/>
    <w:rsid w:val="00262C97"/>
    <w:rsid w:val="00263271"/>
    <w:rsid w:val="0026377A"/>
    <w:rsid w:val="0026424F"/>
    <w:rsid w:val="002644D4"/>
    <w:rsid w:val="00266A58"/>
    <w:rsid w:val="00267CF4"/>
    <w:rsid w:val="00270C48"/>
    <w:rsid w:val="002717D3"/>
    <w:rsid w:val="00271B47"/>
    <w:rsid w:val="002741AA"/>
    <w:rsid w:val="002742EF"/>
    <w:rsid w:val="002747FB"/>
    <w:rsid w:val="00274976"/>
    <w:rsid w:val="00277149"/>
    <w:rsid w:val="0028064A"/>
    <w:rsid w:val="00280BC4"/>
    <w:rsid w:val="00280DDB"/>
    <w:rsid w:val="002818CB"/>
    <w:rsid w:val="00281E53"/>
    <w:rsid w:val="00282106"/>
    <w:rsid w:val="002839C2"/>
    <w:rsid w:val="00284AA7"/>
    <w:rsid w:val="00287837"/>
    <w:rsid w:val="002879F9"/>
    <w:rsid w:val="00290AA4"/>
    <w:rsid w:val="0029177F"/>
    <w:rsid w:val="002947FB"/>
    <w:rsid w:val="00294E2B"/>
    <w:rsid w:val="00295F94"/>
    <w:rsid w:val="002A0704"/>
    <w:rsid w:val="002A101D"/>
    <w:rsid w:val="002A2D2C"/>
    <w:rsid w:val="002A3F04"/>
    <w:rsid w:val="002A456A"/>
    <w:rsid w:val="002A7D14"/>
    <w:rsid w:val="002B2158"/>
    <w:rsid w:val="002B538C"/>
    <w:rsid w:val="002B659C"/>
    <w:rsid w:val="002C2C2F"/>
    <w:rsid w:val="002C2CE4"/>
    <w:rsid w:val="002C458C"/>
    <w:rsid w:val="002C5164"/>
    <w:rsid w:val="002C58F9"/>
    <w:rsid w:val="002C7BA8"/>
    <w:rsid w:val="002D0C27"/>
    <w:rsid w:val="002D1BD1"/>
    <w:rsid w:val="002D3809"/>
    <w:rsid w:val="002D3CCD"/>
    <w:rsid w:val="002D58DC"/>
    <w:rsid w:val="002D5A7E"/>
    <w:rsid w:val="002D65E3"/>
    <w:rsid w:val="002D7C03"/>
    <w:rsid w:val="002E164F"/>
    <w:rsid w:val="002E1D0F"/>
    <w:rsid w:val="002E1DE6"/>
    <w:rsid w:val="002E29A4"/>
    <w:rsid w:val="002E351D"/>
    <w:rsid w:val="002E363E"/>
    <w:rsid w:val="002E66FA"/>
    <w:rsid w:val="002F001E"/>
    <w:rsid w:val="002F0DC2"/>
    <w:rsid w:val="002F1E27"/>
    <w:rsid w:val="002F576F"/>
    <w:rsid w:val="002F5BD2"/>
    <w:rsid w:val="002F6EDB"/>
    <w:rsid w:val="003015DB"/>
    <w:rsid w:val="00303A9C"/>
    <w:rsid w:val="003056A9"/>
    <w:rsid w:val="00306971"/>
    <w:rsid w:val="00307E65"/>
    <w:rsid w:val="00310337"/>
    <w:rsid w:val="00310DD8"/>
    <w:rsid w:val="003117E9"/>
    <w:rsid w:val="00311946"/>
    <w:rsid w:val="00311E02"/>
    <w:rsid w:val="00312856"/>
    <w:rsid w:val="00312B36"/>
    <w:rsid w:val="00312C7C"/>
    <w:rsid w:val="003144CD"/>
    <w:rsid w:val="0031482A"/>
    <w:rsid w:val="00314C98"/>
    <w:rsid w:val="00315C8D"/>
    <w:rsid w:val="0031628C"/>
    <w:rsid w:val="003167A5"/>
    <w:rsid w:val="00316DE3"/>
    <w:rsid w:val="00317D30"/>
    <w:rsid w:val="00320C2F"/>
    <w:rsid w:val="00320CA0"/>
    <w:rsid w:val="00322EF8"/>
    <w:rsid w:val="00323F6E"/>
    <w:rsid w:val="003246AF"/>
    <w:rsid w:val="00325B93"/>
    <w:rsid w:val="00331717"/>
    <w:rsid w:val="00334AA2"/>
    <w:rsid w:val="00334F58"/>
    <w:rsid w:val="00337972"/>
    <w:rsid w:val="0034402B"/>
    <w:rsid w:val="00346213"/>
    <w:rsid w:val="00346A98"/>
    <w:rsid w:val="00347A95"/>
    <w:rsid w:val="00347AFA"/>
    <w:rsid w:val="00350707"/>
    <w:rsid w:val="0035138D"/>
    <w:rsid w:val="003518A2"/>
    <w:rsid w:val="00351E0D"/>
    <w:rsid w:val="003533F2"/>
    <w:rsid w:val="00354D93"/>
    <w:rsid w:val="00355031"/>
    <w:rsid w:val="00355717"/>
    <w:rsid w:val="003569A3"/>
    <w:rsid w:val="00360EF9"/>
    <w:rsid w:val="003638AF"/>
    <w:rsid w:val="00363BE7"/>
    <w:rsid w:val="0036562E"/>
    <w:rsid w:val="00365A61"/>
    <w:rsid w:val="00366CED"/>
    <w:rsid w:val="0037284F"/>
    <w:rsid w:val="00373929"/>
    <w:rsid w:val="00373FB7"/>
    <w:rsid w:val="003748A6"/>
    <w:rsid w:val="00380A3E"/>
    <w:rsid w:val="00381B34"/>
    <w:rsid w:val="00382E97"/>
    <w:rsid w:val="00383B24"/>
    <w:rsid w:val="003842D8"/>
    <w:rsid w:val="00384455"/>
    <w:rsid w:val="00384FE7"/>
    <w:rsid w:val="0038648B"/>
    <w:rsid w:val="00387943"/>
    <w:rsid w:val="003879FC"/>
    <w:rsid w:val="00387EDE"/>
    <w:rsid w:val="00390221"/>
    <w:rsid w:val="00391092"/>
    <w:rsid w:val="00391E74"/>
    <w:rsid w:val="003935BB"/>
    <w:rsid w:val="00393BD9"/>
    <w:rsid w:val="003940A3"/>
    <w:rsid w:val="00394574"/>
    <w:rsid w:val="00394E4C"/>
    <w:rsid w:val="00395044"/>
    <w:rsid w:val="003953C8"/>
    <w:rsid w:val="0039702A"/>
    <w:rsid w:val="00397D87"/>
    <w:rsid w:val="00397F95"/>
    <w:rsid w:val="003A049B"/>
    <w:rsid w:val="003A0AD2"/>
    <w:rsid w:val="003A0B6F"/>
    <w:rsid w:val="003A3A6A"/>
    <w:rsid w:val="003A45CC"/>
    <w:rsid w:val="003A490A"/>
    <w:rsid w:val="003A51F8"/>
    <w:rsid w:val="003A5866"/>
    <w:rsid w:val="003A6226"/>
    <w:rsid w:val="003A76D5"/>
    <w:rsid w:val="003B07D8"/>
    <w:rsid w:val="003B3556"/>
    <w:rsid w:val="003B3FD1"/>
    <w:rsid w:val="003B61BF"/>
    <w:rsid w:val="003B6632"/>
    <w:rsid w:val="003B68E8"/>
    <w:rsid w:val="003B6FAC"/>
    <w:rsid w:val="003B72C0"/>
    <w:rsid w:val="003B77BB"/>
    <w:rsid w:val="003C0E0C"/>
    <w:rsid w:val="003C1737"/>
    <w:rsid w:val="003C5439"/>
    <w:rsid w:val="003C6A91"/>
    <w:rsid w:val="003D128F"/>
    <w:rsid w:val="003D27EF"/>
    <w:rsid w:val="003D3BAA"/>
    <w:rsid w:val="003D4E24"/>
    <w:rsid w:val="003D63E2"/>
    <w:rsid w:val="003D6C99"/>
    <w:rsid w:val="003D6EA6"/>
    <w:rsid w:val="003E138B"/>
    <w:rsid w:val="003E176A"/>
    <w:rsid w:val="003E1819"/>
    <w:rsid w:val="003E4155"/>
    <w:rsid w:val="003E7705"/>
    <w:rsid w:val="003F0E8E"/>
    <w:rsid w:val="003F118D"/>
    <w:rsid w:val="003F1FF7"/>
    <w:rsid w:val="003F25E2"/>
    <w:rsid w:val="003F3F5E"/>
    <w:rsid w:val="003F5A70"/>
    <w:rsid w:val="003F6D96"/>
    <w:rsid w:val="003F7CBE"/>
    <w:rsid w:val="004005BB"/>
    <w:rsid w:val="00400676"/>
    <w:rsid w:val="00400B4A"/>
    <w:rsid w:val="0040189E"/>
    <w:rsid w:val="00403A1D"/>
    <w:rsid w:val="00405FCE"/>
    <w:rsid w:val="0040677C"/>
    <w:rsid w:val="00406F71"/>
    <w:rsid w:val="004073A1"/>
    <w:rsid w:val="00407730"/>
    <w:rsid w:val="00410C86"/>
    <w:rsid w:val="004135A7"/>
    <w:rsid w:val="00413A97"/>
    <w:rsid w:val="004176E5"/>
    <w:rsid w:val="004220F1"/>
    <w:rsid w:val="0042278A"/>
    <w:rsid w:val="00423224"/>
    <w:rsid w:val="0042452D"/>
    <w:rsid w:val="00426F6B"/>
    <w:rsid w:val="0042727D"/>
    <w:rsid w:val="00427603"/>
    <w:rsid w:val="004301DB"/>
    <w:rsid w:val="00430E1E"/>
    <w:rsid w:val="00433064"/>
    <w:rsid w:val="00434901"/>
    <w:rsid w:val="00437944"/>
    <w:rsid w:val="00440400"/>
    <w:rsid w:val="0044129A"/>
    <w:rsid w:val="004417BC"/>
    <w:rsid w:val="0044210E"/>
    <w:rsid w:val="004425AD"/>
    <w:rsid w:val="00444A3D"/>
    <w:rsid w:val="00450201"/>
    <w:rsid w:val="00452092"/>
    <w:rsid w:val="004527E6"/>
    <w:rsid w:val="00452A1C"/>
    <w:rsid w:val="004535F2"/>
    <w:rsid w:val="00453E32"/>
    <w:rsid w:val="00454E14"/>
    <w:rsid w:val="0045529B"/>
    <w:rsid w:val="00455A34"/>
    <w:rsid w:val="004566C3"/>
    <w:rsid w:val="004572B0"/>
    <w:rsid w:val="00457D1F"/>
    <w:rsid w:val="004605FC"/>
    <w:rsid w:val="00460C21"/>
    <w:rsid w:val="004627D4"/>
    <w:rsid w:val="00463E44"/>
    <w:rsid w:val="00464EFE"/>
    <w:rsid w:val="004652DF"/>
    <w:rsid w:val="0046534F"/>
    <w:rsid w:val="00465D06"/>
    <w:rsid w:val="00467CF1"/>
    <w:rsid w:val="004732B4"/>
    <w:rsid w:val="004734AB"/>
    <w:rsid w:val="00473634"/>
    <w:rsid w:val="004773DF"/>
    <w:rsid w:val="00480C44"/>
    <w:rsid w:val="00480F79"/>
    <w:rsid w:val="004816C9"/>
    <w:rsid w:val="0048285E"/>
    <w:rsid w:val="004828DF"/>
    <w:rsid w:val="00483362"/>
    <w:rsid w:val="00483742"/>
    <w:rsid w:val="004873CC"/>
    <w:rsid w:val="00487EE3"/>
    <w:rsid w:val="004902C5"/>
    <w:rsid w:val="004905EB"/>
    <w:rsid w:val="00490B97"/>
    <w:rsid w:val="00492A9B"/>
    <w:rsid w:val="004A0858"/>
    <w:rsid w:val="004A159D"/>
    <w:rsid w:val="004A2CB2"/>
    <w:rsid w:val="004A315D"/>
    <w:rsid w:val="004A3A44"/>
    <w:rsid w:val="004A503E"/>
    <w:rsid w:val="004A58C7"/>
    <w:rsid w:val="004A73DF"/>
    <w:rsid w:val="004B0E40"/>
    <w:rsid w:val="004B2074"/>
    <w:rsid w:val="004B22B7"/>
    <w:rsid w:val="004B379F"/>
    <w:rsid w:val="004B477D"/>
    <w:rsid w:val="004B4BDD"/>
    <w:rsid w:val="004B555E"/>
    <w:rsid w:val="004B64F3"/>
    <w:rsid w:val="004B6632"/>
    <w:rsid w:val="004B7F77"/>
    <w:rsid w:val="004C05FF"/>
    <w:rsid w:val="004C0B1D"/>
    <w:rsid w:val="004C0EF0"/>
    <w:rsid w:val="004C115C"/>
    <w:rsid w:val="004C17C3"/>
    <w:rsid w:val="004C1EEA"/>
    <w:rsid w:val="004C1FC6"/>
    <w:rsid w:val="004C33EF"/>
    <w:rsid w:val="004C3432"/>
    <w:rsid w:val="004C368A"/>
    <w:rsid w:val="004C51E5"/>
    <w:rsid w:val="004C67D4"/>
    <w:rsid w:val="004C7490"/>
    <w:rsid w:val="004E07B3"/>
    <w:rsid w:val="004E10E5"/>
    <w:rsid w:val="004E1884"/>
    <w:rsid w:val="004E1C46"/>
    <w:rsid w:val="004E20B4"/>
    <w:rsid w:val="004E2FFC"/>
    <w:rsid w:val="004E3ADD"/>
    <w:rsid w:val="004E43CD"/>
    <w:rsid w:val="004E5D69"/>
    <w:rsid w:val="004E6578"/>
    <w:rsid w:val="004E6EBA"/>
    <w:rsid w:val="004F0846"/>
    <w:rsid w:val="004F134A"/>
    <w:rsid w:val="004F28D2"/>
    <w:rsid w:val="004F34D8"/>
    <w:rsid w:val="004F669F"/>
    <w:rsid w:val="004F731D"/>
    <w:rsid w:val="004F7A0B"/>
    <w:rsid w:val="004F7EAC"/>
    <w:rsid w:val="00500597"/>
    <w:rsid w:val="00500600"/>
    <w:rsid w:val="0050068F"/>
    <w:rsid w:val="00501158"/>
    <w:rsid w:val="005025AD"/>
    <w:rsid w:val="00502AB2"/>
    <w:rsid w:val="00502CA9"/>
    <w:rsid w:val="00502D17"/>
    <w:rsid w:val="0050349F"/>
    <w:rsid w:val="0050350C"/>
    <w:rsid w:val="005035DA"/>
    <w:rsid w:val="005048DD"/>
    <w:rsid w:val="005062F7"/>
    <w:rsid w:val="00510CBC"/>
    <w:rsid w:val="00511904"/>
    <w:rsid w:val="00512FF8"/>
    <w:rsid w:val="0051519B"/>
    <w:rsid w:val="00517E13"/>
    <w:rsid w:val="0052003C"/>
    <w:rsid w:val="00520558"/>
    <w:rsid w:val="005205CE"/>
    <w:rsid w:val="00520A8D"/>
    <w:rsid w:val="00520FC5"/>
    <w:rsid w:val="005210B1"/>
    <w:rsid w:val="00521602"/>
    <w:rsid w:val="00521B27"/>
    <w:rsid w:val="00523F9E"/>
    <w:rsid w:val="005249FB"/>
    <w:rsid w:val="00525E4D"/>
    <w:rsid w:val="00526787"/>
    <w:rsid w:val="00527F23"/>
    <w:rsid w:val="00531F87"/>
    <w:rsid w:val="00534774"/>
    <w:rsid w:val="00534AAF"/>
    <w:rsid w:val="005353FC"/>
    <w:rsid w:val="00535951"/>
    <w:rsid w:val="00536455"/>
    <w:rsid w:val="00537C1C"/>
    <w:rsid w:val="005422A3"/>
    <w:rsid w:val="005424A9"/>
    <w:rsid w:val="005460B7"/>
    <w:rsid w:val="00546A1D"/>
    <w:rsid w:val="005479A1"/>
    <w:rsid w:val="005514BE"/>
    <w:rsid w:val="005514FC"/>
    <w:rsid w:val="00551505"/>
    <w:rsid w:val="005545AB"/>
    <w:rsid w:val="00554BF7"/>
    <w:rsid w:val="0056009C"/>
    <w:rsid w:val="00562B61"/>
    <w:rsid w:val="005632EF"/>
    <w:rsid w:val="005637A9"/>
    <w:rsid w:val="00565354"/>
    <w:rsid w:val="00567585"/>
    <w:rsid w:val="00567EDE"/>
    <w:rsid w:val="005716E9"/>
    <w:rsid w:val="00573187"/>
    <w:rsid w:val="00573389"/>
    <w:rsid w:val="00574C71"/>
    <w:rsid w:val="00574ED7"/>
    <w:rsid w:val="0057579B"/>
    <w:rsid w:val="005766DD"/>
    <w:rsid w:val="0057705F"/>
    <w:rsid w:val="0057734B"/>
    <w:rsid w:val="0057745E"/>
    <w:rsid w:val="005802B1"/>
    <w:rsid w:val="005805F2"/>
    <w:rsid w:val="005808C4"/>
    <w:rsid w:val="005813AF"/>
    <w:rsid w:val="005813F7"/>
    <w:rsid w:val="00582557"/>
    <w:rsid w:val="00583B31"/>
    <w:rsid w:val="00583FAF"/>
    <w:rsid w:val="0058464A"/>
    <w:rsid w:val="00587304"/>
    <w:rsid w:val="0058794C"/>
    <w:rsid w:val="005916EB"/>
    <w:rsid w:val="00591B25"/>
    <w:rsid w:val="00591C59"/>
    <w:rsid w:val="00591FBF"/>
    <w:rsid w:val="00595517"/>
    <w:rsid w:val="005955B7"/>
    <w:rsid w:val="00595711"/>
    <w:rsid w:val="00595BD2"/>
    <w:rsid w:val="005975D7"/>
    <w:rsid w:val="00597D3D"/>
    <w:rsid w:val="005A18E6"/>
    <w:rsid w:val="005A192C"/>
    <w:rsid w:val="005A2766"/>
    <w:rsid w:val="005A3979"/>
    <w:rsid w:val="005A4061"/>
    <w:rsid w:val="005A4ED9"/>
    <w:rsid w:val="005A6B89"/>
    <w:rsid w:val="005A6E31"/>
    <w:rsid w:val="005B0999"/>
    <w:rsid w:val="005B1293"/>
    <w:rsid w:val="005B3CFC"/>
    <w:rsid w:val="005B574D"/>
    <w:rsid w:val="005B5AEE"/>
    <w:rsid w:val="005B6C9D"/>
    <w:rsid w:val="005C1705"/>
    <w:rsid w:val="005C3B23"/>
    <w:rsid w:val="005C7AE5"/>
    <w:rsid w:val="005C7D08"/>
    <w:rsid w:val="005D0DA7"/>
    <w:rsid w:val="005D3F35"/>
    <w:rsid w:val="005D4762"/>
    <w:rsid w:val="005D4E94"/>
    <w:rsid w:val="005D6B8D"/>
    <w:rsid w:val="005E0B02"/>
    <w:rsid w:val="005E1099"/>
    <w:rsid w:val="005E286F"/>
    <w:rsid w:val="005E33A2"/>
    <w:rsid w:val="005E56BB"/>
    <w:rsid w:val="005E59E3"/>
    <w:rsid w:val="005E5F85"/>
    <w:rsid w:val="005E6717"/>
    <w:rsid w:val="005E7354"/>
    <w:rsid w:val="005E7B8A"/>
    <w:rsid w:val="005F06B4"/>
    <w:rsid w:val="005F233E"/>
    <w:rsid w:val="005F3C3F"/>
    <w:rsid w:val="005F42E1"/>
    <w:rsid w:val="005F42F7"/>
    <w:rsid w:val="005F575B"/>
    <w:rsid w:val="005F6F5E"/>
    <w:rsid w:val="00600B7D"/>
    <w:rsid w:val="00601436"/>
    <w:rsid w:val="006014A0"/>
    <w:rsid w:val="006021F2"/>
    <w:rsid w:val="00602604"/>
    <w:rsid w:val="00603059"/>
    <w:rsid w:val="0060381E"/>
    <w:rsid w:val="00604F06"/>
    <w:rsid w:val="00605C58"/>
    <w:rsid w:val="00607960"/>
    <w:rsid w:val="00607BEC"/>
    <w:rsid w:val="00612DFF"/>
    <w:rsid w:val="00613E2D"/>
    <w:rsid w:val="00616865"/>
    <w:rsid w:val="00616AFD"/>
    <w:rsid w:val="006207CD"/>
    <w:rsid w:val="00620ABB"/>
    <w:rsid w:val="00621C2D"/>
    <w:rsid w:val="006228B1"/>
    <w:rsid w:val="0062290E"/>
    <w:rsid w:val="00622C09"/>
    <w:rsid w:val="006256F1"/>
    <w:rsid w:val="00625D7B"/>
    <w:rsid w:val="00625EFA"/>
    <w:rsid w:val="006265A8"/>
    <w:rsid w:val="00626F03"/>
    <w:rsid w:val="006300EC"/>
    <w:rsid w:val="00631149"/>
    <w:rsid w:val="00631641"/>
    <w:rsid w:val="0063235F"/>
    <w:rsid w:val="006326ED"/>
    <w:rsid w:val="00634533"/>
    <w:rsid w:val="0063555C"/>
    <w:rsid w:val="0063564E"/>
    <w:rsid w:val="00636091"/>
    <w:rsid w:val="006379F8"/>
    <w:rsid w:val="00637FBE"/>
    <w:rsid w:val="00641ACD"/>
    <w:rsid w:val="0064226D"/>
    <w:rsid w:val="00643817"/>
    <w:rsid w:val="006447CA"/>
    <w:rsid w:val="006469B6"/>
    <w:rsid w:val="00650BAC"/>
    <w:rsid w:val="00650FAB"/>
    <w:rsid w:val="00651676"/>
    <w:rsid w:val="00652B0F"/>
    <w:rsid w:val="00652FFC"/>
    <w:rsid w:val="006563AC"/>
    <w:rsid w:val="00657ABD"/>
    <w:rsid w:val="0066038B"/>
    <w:rsid w:val="00660460"/>
    <w:rsid w:val="006632A1"/>
    <w:rsid w:val="00664DF5"/>
    <w:rsid w:val="00665064"/>
    <w:rsid w:val="00666B3B"/>
    <w:rsid w:val="0066753D"/>
    <w:rsid w:val="006700B8"/>
    <w:rsid w:val="00670D17"/>
    <w:rsid w:val="00672021"/>
    <w:rsid w:val="00672996"/>
    <w:rsid w:val="00676E36"/>
    <w:rsid w:val="0068172F"/>
    <w:rsid w:val="00681DA4"/>
    <w:rsid w:val="006822D4"/>
    <w:rsid w:val="00682330"/>
    <w:rsid w:val="00682E97"/>
    <w:rsid w:val="00683067"/>
    <w:rsid w:val="0068348C"/>
    <w:rsid w:val="00683FA3"/>
    <w:rsid w:val="006848ED"/>
    <w:rsid w:val="0068563E"/>
    <w:rsid w:val="00685AEE"/>
    <w:rsid w:val="00685E8B"/>
    <w:rsid w:val="00686935"/>
    <w:rsid w:val="0069005D"/>
    <w:rsid w:val="006902AD"/>
    <w:rsid w:val="00690799"/>
    <w:rsid w:val="006907E6"/>
    <w:rsid w:val="00691621"/>
    <w:rsid w:val="006918D9"/>
    <w:rsid w:val="00692539"/>
    <w:rsid w:val="00692913"/>
    <w:rsid w:val="00694C39"/>
    <w:rsid w:val="006950D8"/>
    <w:rsid w:val="006A1B93"/>
    <w:rsid w:val="006A20C8"/>
    <w:rsid w:val="006A2508"/>
    <w:rsid w:val="006A2FE9"/>
    <w:rsid w:val="006A47A5"/>
    <w:rsid w:val="006A5C76"/>
    <w:rsid w:val="006A6336"/>
    <w:rsid w:val="006A6C15"/>
    <w:rsid w:val="006A6E82"/>
    <w:rsid w:val="006B18A1"/>
    <w:rsid w:val="006B2C72"/>
    <w:rsid w:val="006B3829"/>
    <w:rsid w:val="006B4FB7"/>
    <w:rsid w:val="006B7511"/>
    <w:rsid w:val="006C031D"/>
    <w:rsid w:val="006C1F68"/>
    <w:rsid w:val="006C4AF5"/>
    <w:rsid w:val="006C4D41"/>
    <w:rsid w:val="006C5C1D"/>
    <w:rsid w:val="006C5CD3"/>
    <w:rsid w:val="006C622C"/>
    <w:rsid w:val="006C65E0"/>
    <w:rsid w:val="006C68ED"/>
    <w:rsid w:val="006D2BD2"/>
    <w:rsid w:val="006D3824"/>
    <w:rsid w:val="006D43FD"/>
    <w:rsid w:val="006D523E"/>
    <w:rsid w:val="006D7AE5"/>
    <w:rsid w:val="006D7E40"/>
    <w:rsid w:val="006E1457"/>
    <w:rsid w:val="006E4AA6"/>
    <w:rsid w:val="006E5479"/>
    <w:rsid w:val="006F0E9C"/>
    <w:rsid w:val="006F13F3"/>
    <w:rsid w:val="006F161A"/>
    <w:rsid w:val="006F19FA"/>
    <w:rsid w:val="006F54E8"/>
    <w:rsid w:val="006F5567"/>
    <w:rsid w:val="006F59C3"/>
    <w:rsid w:val="006F67B3"/>
    <w:rsid w:val="006F7F42"/>
    <w:rsid w:val="0070099A"/>
    <w:rsid w:val="007014FF"/>
    <w:rsid w:val="00701931"/>
    <w:rsid w:val="00701CCE"/>
    <w:rsid w:val="0070228F"/>
    <w:rsid w:val="00702810"/>
    <w:rsid w:val="00703102"/>
    <w:rsid w:val="0070348C"/>
    <w:rsid w:val="0070488C"/>
    <w:rsid w:val="00704DEE"/>
    <w:rsid w:val="00705656"/>
    <w:rsid w:val="00705C0A"/>
    <w:rsid w:val="007063B1"/>
    <w:rsid w:val="00707245"/>
    <w:rsid w:val="0070726A"/>
    <w:rsid w:val="00710022"/>
    <w:rsid w:val="00710814"/>
    <w:rsid w:val="00711177"/>
    <w:rsid w:val="00711459"/>
    <w:rsid w:val="007131B6"/>
    <w:rsid w:val="0071333E"/>
    <w:rsid w:val="0071525C"/>
    <w:rsid w:val="00715A22"/>
    <w:rsid w:val="00716536"/>
    <w:rsid w:val="00716621"/>
    <w:rsid w:val="00716B62"/>
    <w:rsid w:val="00717F35"/>
    <w:rsid w:val="00717F3E"/>
    <w:rsid w:val="00721036"/>
    <w:rsid w:val="00721491"/>
    <w:rsid w:val="0072275E"/>
    <w:rsid w:val="007229DC"/>
    <w:rsid w:val="00722A30"/>
    <w:rsid w:val="00723777"/>
    <w:rsid w:val="00723DBF"/>
    <w:rsid w:val="00724364"/>
    <w:rsid w:val="00724B43"/>
    <w:rsid w:val="00725BCB"/>
    <w:rsid w:val="00727068"/>
    <w:rsid w:val="007311FE"/>
    <w:rsid w:val="00732F29"/>
    <w:rsid w:val="007343DD"/>
    <w:rsid w:val="00736086"/>
    <w:rsid w:val="00737686"/>
    <w:rsid w:val="00737D19"/>
    <w:rsid w:val="00740A15"/>
    <w:rsid w:val="00740C82"/>
    <w:rsid w:val="00742F07"/>
    <w:rsid w:val="00743666"/>
    <w:rsid w:val="00743BE5"/>
    <w:rsid w:val="00744892"/>
    <w:rsid w:val="00746104"/>
    <w:rsid w:val="0074668C"/>
    <w:rsid w:val="00747E00"/>
    <w:rsid w:val="00750BBD"/>
    <w:rsid w:val="00751AF1"/>
    <w:rsid w:val="00753028"/>
    <w:rsid w:val="00753168"/>
    <w:rsid w:val="00753AAC"/>
    <w:rsid w:val="007557EF"/>
    <w:rsid w:val="00755EF4"/>
    <w:rsid w:val="00756B2F"/>
    <w:rsid w:val="00757451"/>
    <w:rsid w:val="007575F2"/>
    <w:rsid w:val="0076147F"/>
    <w:rsid w:val="00761DDC"/>
    <w:rsid w:val="007627A3"/>
    <w:rsid w:val="00763AA1"/>
    <w:rsid w:val="00763AFE"/>
    <w:rsid w:val="00765454"/>
    <w:rsid w:val="00765B82"/>
    <w:rsid w:val="00771211"/>
    <w:rsid w:val="007724F9"/>
    <w:rsid w:val="00772B43"/>
    <w:rsid w:val="00773013"/>
    <w:rsid w:val="007730A1"/>
    <w:rsid w:val="0077615D"/>
    <w:rsid w:val="00776776"/>
    <w:rsid w:val="00780042"/>
    <w:rsid w:val="0078174F"/>
    <w:rsid w:val="00781AAB"/>
    <w:rsid w:val="007830DC"/>
    <w:rsid w:val="00783D3D"/>
    <w:rsid w:val="00785085"/>
    <w:rsid w:val="00786DDB"/>
    <w:rsid w:val="00790445"/>
    <w:rsid w:val="00791B57"/>
    <w:rsid w:val="00792872"/>
    <w:rsid w:val="00793CC3"/>
    <w:rsid w:val="0079530C"/>
    <w:rsid w:val="007957C8"/>
    <w:rsid w:val="00796022"/>
    <w:rsid w:val="00796774"/>
    <w:rsid w:val="007969EB"/>
    <w:rsid w:val="007A0380"/>
    <w:rsid w:val="007A0FE5"/>
    <w:rsid w:val="007A240E"/>
    <w:rsid w:val="007A3BCB"/>
    <w:rsid w:val="007A3C3D"/>
    <w:rsid w:val="007A552C"/>
    <w:rsid w:val="007A571E"/>
    <w:rsid w:val="007A5B26"/>
    <w:rsid w:val="007A788F"/>
    <w:rsid w:val="007B00F3"/>
    <w:rsid w:val="007B1CAC"/>
    <w:rsid w:val="007B2038"/>
    <w:rsid w:val="007B206B"/>
    <w:rsid w:val="007B22F2"/>
    <w:rsid w:val="007B24AB"/>
    <w:rsid w:val="007B44C2"/>
    <w:rsid w:val="007B4D0F"/>
    <w:rsid w:val="007B4F53"/>
    <w:rsid w:val="007B5AED"/>
    <w:rsid w:val="007C026D"/>
    <w:rsid w:val="007C2DC4"/>
    <w:rsid w:val="007C382C"/>
    <w:rsid w:val="007C3F49"/>
    <w:rsid w:val="007C520F"/>
    <w:rsid w:val="007C62A7"/>
    <w:rsid w:val="007C63F3"/>
    <w:rsid w:val="007D2796"/>
    <w:rsid w:val="007D39D0"/>
    <w:rsid w:val="007D5A85"/>
    <w:rsid w:val="007E0D73"/>
    <w:rsid w:val="007E3AAE"/>
    <w:rsid w:val="007E5722"/>
    <w:rsid w:val="007E6AFF"/>
    <w:rsid w:val="007E738C"/>
    <w:rsid w:val="007E7818"/>
    <w:rsid w:val="007E7A6F"/>
    <w:rsid w:val="007E7B3C"/>
    <w:rsid w:val="007F081C"/>
    <w:rsid w:val="007F0BA4"/>
    <w:rsid w:val="007F56BB"/>
    <w:rsid w:val="007F618D"/>
    <w:rsid w:val="007F689C"/>
    <w:rsid w:val="007F68CD"/>
    <w:rsid w:val="007F6DD6"/>
    <w:rsid w:val="007F73EF"/>
    <w:rsid w:val="007F77CA"/>
    <w:rsid w:val="007F7CBA"/>
    <w:rsid w:val="00801518"/>
    <w:rsid w:val="00801E4A"/>
    <w:rsid w:val="00803AE0"/>
    <w:rsid w:val="00804B78"/>
    <w:rsid w:val="00806CF1"/>
    <w:rsid w:val="008106F5"/>
    <w:rsid w:val="00811AB4"/>
    <w:rsid w:val="00812978"/>
    <w:rsid w:val="0081331B"/>
    <w:rsid w:val="00813360"/>
    <w:rsid w:val="00813C1C"/>
    <w:rsid w:val="00815032"/>
    <w:rsid w:val="00815082"/>
    <w:rsid w:val="00815C1A"/>
    <w:rsid w:val="0081668F"/>
    <w:rsid w:val="008175CA"/>
    <w:rsid w:val="0081767A"/>
    <w:rsid w:val="00817CA7"/>
    <w:rsid w:val="00820945"/>
    <w:rsid w:val="00821BEE"/>
    <w:rsid w:val="00822EFB"/>
    <w:rsid w:val="008232AD"/>
    <w:rsid w:val="00823D3E"/>
    <w:rsid w:val="00826661"/>
    <w:rsid w:val="0083009C"/>
    <w:rsid w:val="00830E22"/>
    <w:rsid w:val="00831896"/>
    <w:rsid w:val="00832EF7"/>
    <w:rsid w:val="008351FF"/>
    <w:rsid w:val="008352DA"/>
    <w:rsid w:val="00835817"/>
    <w:rsid w:val="00835D03"/>
    <w:rsid w:val="008369C1"/>
    <w:rsid w:val="00837191"/>
    <w:rsid w:val="0084109D"/>
    <w:rsid w:val="008418D1"/>
    <w:rsid w:val="0084429D"/>
    <w:rsid w:val="0084439B"/>
    <w:rsid w:val="008443B3"/>
    <w:rsid w:val="008449B7"/>
    <w:rsid w:val="00844D44"/>
    <w:rsid w:val="00844E90"/>
    <w:rsid w:val="00845C55"/>
    <w:rsid w:val="0084724B"/>
    <w:rsid w:val="008475C0"/>
    <w:rsid w:val="008509B9"/>
    <w:rsid w:val="008510F0"/>
    <w:rsid w:val="008522F1"/>
    <w:rsid w:val="008524B0"/>
    <w:rsid w:val="00852B3C"/>
    <w:rsid w:val="00853058"/>
    <w:rsid w:val="008530D9"/>
    <w:rsid w:val="008539E4"/>
    <w:rsid w:val="00856684"/>
    <w:rsid w:val="00856A8C"/>
    <w:rsid w:val="00856BAB"/>
    <w:rsid w:val="00856E43"/>
    <w:rsid w:val="0085732D"/>
    <w:rsid w:val="008602EF"/>
    <w:rsid w:val="0086250E"/>
    <w:rsid w:val="008629C9"/>
    <w:rsid w:val="00862B7F"/>
    <w:rsid w:val="008652A6"/>
    <w:rsid w:val="0086647F"/>
    <w:rsid w:val="00866824"/>
    <w:rsid w:val="008701EF"/>
    <w:rsid w:val="00870579"/>
    <w:rsid w:val="00874A35"/>
    <w:rsid w:val="00874C09"/>
    <w:rsid w:val="008756E9"/>
    <w:rsid w:val="008757B4"/>
    <w:rsid w:val="00875DE8"/>
    <w:rsid w:val="00877C39"/>
    <w:rsid w:val="008806DC"/>
    <w:rsid w:val="00880B1E"/>
    <w:rsid w:val="00881675"/>
    <w:rsid w:val="0088184F"/>
    <w:rsid w:val="008831B7"/>
    <w:rsid w:val="00883DB3"/>
    <w:rsid w:val="00884B8F"/>
    <w:rsid w:val="00885297"/>
    <w:rsid w:val="00890016"/>
    <w:rsid w:val="0089040F"/>
    <w:rsid w:val="00892CE6"/>
    <w:rsid w:val="00893EFE"/>
    <w:rsid w:val="00895640"/>
    <w:rsid w:val="00895DEE"/>
    <w:rsid w:val="0089645A"/>
    <w:rsid w:val="008A2C66"/>
    <w:rsid w:val="008A3E0C"/>
    <w:rsid w:val="008A4CB1"/>
    <w:rsid w:val="008A4DAE"/>
    <w:rsid w:val="008A55D2"/>
    <w:rsid w:val="008B0A8C"/>
    <w:rsid w:val="008B0E1D"/>
    <w:rsid w:val="008B13F9"/>
    <w:rsid w:val="008B2214"/>
    <w:rsid w:val="008B24D6"/>
    <w:rsid w:val="008B2C64"/>
    <w:rsid w:val="008B37EB"/>
    <w:rsid w:val="008B478A"/>
    <w:rsid w:val="008B53CC"/>
    <w:rsid w:val="008B545E"/>
    <w:rsid w:val="008B5A51"/>
    <w:rsid w:val="008B6072"/>
    <w:rsid w:val="008B6444"/>
    <w:rsid w:val="008B78AC"/>
    <w:rsid w:val="008C0078"/>
    <w:rsid w:val="008C01DD"/>
    <w:rsid w:val="008C0DFA"/>
    <w:rsid w:val="008C1ED6"/>
    <w:rsid w:val="008C269A"/>
    <w:rsid w:val="008C3279"/>
    <w:rsid w:val="008C4E27"/>
    <w:rsid w:val="008C4ED4"/>
    <w:rsid w:val="008D1DE7"/>
    <w:rsid w:val="008D2948"/>
    <w:rsid w:val="008D3A28"/>
    <w:rsid w:val="008D424F"/>
    <w:rsid w:val="008D71A1"/>
    <w:rsid w:val="008E040D"/>
    <w:rsid w:val="008E212B"/>
    <w:rsid w:val="008E2EED"/>
    <w:rsid w:val="008E331F"/>
    <w:rsid w:val="008E3F06"/>
    <w:rsid w:val="008E4619"/>
    <w:rsid w:val="008E46B1"/>
    <w:rsid w:val="008E4814"/>
    <w:rsid w:val="008E4D36"/>
    <w:rsid w:val="008E4D6B"/>
    <w:rsid w:val="008E4F9C"/>
    <w:rsid w:val="008E56B4"/>
    <w:rsid w:val="008E6827"/>
    <w:rsid w:val="008E7FCF"/>
    <w:rsid w:val="008F0610"/>
    <w:rsid w:val="008F5041"/>
    <w:rsid w:val="008F565E"/>
    <w:rsid w:val="008F6B2F"/>
    <w:rsid w:val="00901025"/>
    <w:rsid w:val="009010D6"/>
    <w:rsid w:val="00902F08"/>
    <w:rsid w:val="00904DFC"/>
    <w:rsid w:val="00906B7A"/>
    <w:rsid w:val="00906CFD"/>
    <w:rsid w:val="00906DC5"/>
    <w:rsid w:val="00907741"/>
    <w:rsid w:val="00910D1F"/>
    <w:rsid w:val="00910F1D"/>
    <w:rsid w:val="0091240C"/>
    <w:rsid w:val="009127BE"/>
    <w:rsid w:val="00912E3E"/>
    <w:rsid w:val="00914433"/>
    <w:rsid w:val="009151C3"/>
    <w:rsid w:val="0091594A"/>
    <w:rsid w:val="00915BEE"/>
    <w:rsid w:val="00916D8E"/>
    <w:rsid w:val="00921E45"/>
    <w:rsid w:val="00922CFD"/>
    <w:rsid w:val="009260B3"/>
    <w:rsid w:val="009264C2"/>
    <w:rsid w:val="00931E10"/>
    <w:rsid w:val="009327A9"/>
    <w:rsid w:val="0093368D"/>
    <w:rsid w:val="00933916"/>
    <w:rsid w:val="00935107"/>
    <w:rsid w:val="009355DD"/>
    <w:rsid w:val="00935F6A"/>
    <w:rsid w:val="0093726D"/>
    <w:rsid w:val="0093750C"/>
    <w:rsid w:val="009379E6"/>
    <w:rsid w:val="0094142B"/>
    <w:rsid w:val="0094184C"/>
    <w:rsid w:val="00941C2C"/>
    <w:rsid w:val="009428AA"/>
    <w:rsid w:val="00942E5F"/>
    <w:rsid w:val="00943BE6"/>
    <w:rsid w:val="00944435"/>
    <w:rsid w:val="00944ED6"/>
    <w:rsid w:val="00945882"/>
    <w:rsid w:val="009461A3"/>
    <w:rsid w:val="009508BF"/>
    <w:rsid w:val="00952B20"/>
    <w:rsid w:val="00952C02"/>
    <w:rsid w:val="00953FBF"/>
    <w:rsid w:val="0095432A"/>
    <w:rsid w:val="009545BD"/>
    <w:rsid w:val="009546E2"/>
    <w:rsid w:val="0095621E"/>
    <w:rsid w:val="00956DB0"/>
    <w:rsid w:val="00960A17"/>
    <w:rsid w:val="0096181D"/>
    <w:rsid w:val="009618CA"/>
    <w:rsid w:val="00962756"/>
    <w:rsid w:val="009639AF"/>
    <w:rsid w:val="009649DC"/>
    <w:rsid w:val="00966304"/>
    <w:rsid w:val="009666E8"/>
    <w:rsid w:val="00967813"/>
    <w:rsid w:val="00971DD1"/>
    <w:rsid w:val="00972531"/>
    <w:rsid w:val="00974904"/>
    <w:rsid w:val="0097660C"/>
    <w:rsid w:val="009767B2"/>
    <w:rsid w:val="00977B87"/>
    <w:rsid w:val="009800A5"/>
    <w:rsid w:val="009807B2"/>
    <w:rsid w:val="00981178"/>
    <w:rsid w:val="00981467"/>
    <w:rsid w:val="0098154C"/>
    <w:rsid w:val="009818CC"/>
    <w:rsid w:val="00982060"/>
    <w:rsid w:val="009821EE"/>
    <w:rsid w:val="009826D4"/>
    <w:rsid w:val="0098361E"/>
    <w:rsid w:val="00983B86"/>
    <w:rsid w:val="009851A5"/>
    <w:rsid w:val="009861AD"/>
    <w:rsid w:val="00992293"/>
    <w:rsid w:val="009924AA"/>
    <w:rsid w:val="00992DEE"/>
    <w:rsid w:val="00993E47"/>
    <w:rsid w:val="00994495"/>
    <w:rsid w:val="009946A7"/>
    <w:rsid w:val="009950C9"/>
    <w:rsid w:val="009955DC"/>
    <w:rsid w:val="00996638"/>
    <w:rsid w:val="00997087"/>
    <w:rsid w:val="00997783"/>
    <w:rsid w:val="00997D6C"/>
    <w:rsid w:val="009A0E01"/>
    <w:rsid w:val="009A1121"/>
    <w:rsid w:val="009A1B3C"/>
    <w:rsid w:val="009A1B69"/>
    <w:rsid w:val="009A1CB5"/>
    <w:rsid w:val="009A2777"/>
    <w:rsid w:val="009A5780"/>
    <w:rsid w:val="009A58AC"/>
    <w:rsid w:val="009A6055"/>
    <w:rsid w:val="009A751A"/>
    <w:rsid w:val="009A7D63"/>
    <w:rsid w:val="009B0758"/>
    <w:rsid w:val="009B0C2F"/>
    <w:rsid w:val="009B1CC1"/>
    <w:rsid w:val="009B2D73"/>
    <w:rsid w:val="009B3E1B"/>
    <w:rsid w:val="009B4878"/>
    <w:rsid w:val="009B6FDC"/>
    <w:rsid w:val="009B7E11"/>
    <w:rsid w:val="009C0F1C"/>
    <w:rsid w:val="009C11BC"/>
    <w:rsid w:val="009C2764"/>
    <w:rsid w:val="009C2835"/>
    <w:rsid w:val="009C2F6E"/>
    <w:rsid w:val="009C37B2"/>
    <w:rsid w:val="009C385F"/>
    <w:rsid w:val="009C3880"/>
    <w:rsid w:val="009C3FF4"/>
    <w:rsid w:val="009C7BE2"/>
    <w:rsid w:val="009D0F47"/>
    <w:rsid w:val="009D1B91"/>
    <w:rsid w:val="009D1E1C"/>
    <w:rsid w:val="009D24AD"/>
    <w:rsid w:val="009D2CD9"/>
    <w:rsid w:val="009D5889"/>
    <w:rsid w:val="009D6036"/>
    <w:rsid w:val="009D682A"/>
    <w:rsid w:val="009D7207"/>
    <w:rsid w:val="009E2CB3"/>
    <w:rsid w:val="009E6C11"/>
    <w:rsid w:val="009E6D86"/>
    <w:rsid w:val="009F2160"/>
    <w:rsid w:val="009F386D"/>
    <w:rsid w:val="009F48BB"/>
    <w:rsid w:val="009F557E"/>
    <w:rsid w:val="009F5E56"/>
    <w:rsid w:val="009F63CE"/>
    <w:rsid w:val="009F66C8"/>
    <w:rsid w:val="00A01591"/>
    <w:rsid w:val="00A01A2B"/>
    <w:rsid w:val="00A046E6"/>
    <w:rsid w:val="00A0726E"/>
    <w:rsid w:val="00A106BE"/>
    <w:rsid w:val="00A113BB"/>
    <w:rsid w:val="00A11B90"/>
    <w:rsid w:val="00A12228"/>
    <w:rsid w:val="00A145D2"/>
    <w:rsid w:val="00A1706B"/>
    <w:rsid w:val="00A2059F"/>
    <w:rsid w:val="00A21298"/>
    <w:rsid w:val="00A237A4"/>
    <w:rsid w:val="00A30CA1"/>
    <w:rsid w:val="00A32F3D"/>
    <w:rsid w:val="00A35694"/>
    <w:rsid w:val="00A35B63"/>
    <w:rsid w:val="00A35B72"/>
    <w:rsid w:val="00A36962"/>
    <w:rsid w:val="00A36F2C"/>
    <w:rsid w:val="00A40647"/>
    <w:rsid w:val="00A41A38"/>
    <w:rsid w:val="00A43282"/>
    <w:rsid w:val="00A43A9F"/>
    <w:rsid w:val="00A43D92"/>
    <w:rsid w:val="00A43D9B"/>
    <w:rsid w:val="00A443F9"/>
    <w:rsid w:val="00A4449B"/>
    <w:rsid w:val="00A445C9"/>
    <w:rsid w:val="00A45427"/>
    <w:rsid w:val="00A45B01"/>
    <w:rsid w:val="00A464A8"/>
    <w:rsid w:val="00A46773"/>
    <w:rsid w:val="00A470FE"/>
    <w:rsid w:val="00A47EFB"/>
    <w:rsid w:val="00A51A6F"/>
    <w:rsid w:val="00A521FA"/>
    <w:rsid w:val="00A532CF"/>
    <w:rsid w:val="00A546E1"/>
    <w:rsid w:val="00A548A3"/>
    <w:rsid w:val="00A54A0F"/>
    <w:rsid w:val="00A5670C"/>
    <w:rsid w:val="00A56776"/>
    <w:rsid w:val="00A571B8"/>
    <w:rsid w:val="00A6008A"/>
    <w:rsid w:val="00A60849"/>
    <w:rsid w:val="00A60DBF"/>
    <w:rsid w:val="00A611B5"/>
    <w:rsid w:val="00A628CE"/>
    <w:rsid w:val="00A6466F"/>
    <w:rsid w:val="00A65593"/>
    <w:rsid w:val="00A65DBB"/>
    <w:rsid w:val="00A67D58"/>
    <w:rsid w:val="00A67EE4"/>
    <w:rsid w:val="00A7143C"/>
    <w:rsid w:val="00A7474A"/>
    <w:rsid w:val="00A7498C"/>
    <w:rsid w:val="00A74CDC"/>
    <w:rsid w:val="00A74D92"/>
    <w:rsid w:val="00A76F5F"/>
    <w:rsid w:val="00A7709E"/>
    <w:rsid w:val="00A77D12"/>
    <w:rsid w:val="00A80248"/>
    <w:rsid w:val="00A80A93"/>
    <w:rsid w:val="00A847D4"/>
    <w:rsid w:val="00A904C5"/>
    <w:rsid w:val="00A90CFD"/>
    <w:rsid w:val="00A91282"/>
    <w:rsid w:val="00A92194"/>
    <w:rsid w:val="00A932A5"/>
    <w:rsid w:val="00A943F6"/>
    <w:rsid w:val="00A94996"/>
    <w:rsid w:val="00A94B9D"/>
    <w:rsid w:val="00A960ED"/>
    <w:rsid w:val="00A9652B"/>
    <w:rsid w:val="00A96B09"/>
    <w:rsid w:val="00A9726C"/>
    <w:rsid w:val="00A97EAA"/>
    <w:rsid w:val="00AA1A60"/>
    <w:rsid w:val="00AA306D"/>
    <w:rsid w:val="00AA36C0"/>
    <w:rsid w:val="00AA435D"/>
    <w:rsid w:val="00AA5081"/>
    <w:rsid w:val="00AA79A4"/>
    <w:rsid w:val="00AA7CC8"/>
    <w:rsid w:val="00AB0934"/>
    <w:rsid w:val="00AB158A"/>
    <w:rsid w:val="00AB3E34"/>
    <w:rsid w:val="00AB3F9C"/>
    <w:rsid w:val="00AB4969"/>
    <w:rsid w:val="00AB5666"/>
    <w:rsid w:val="00AB5C88"/>
    <w:rsid w:val="00AB661B"/>
    <w:rsid w:val="00AB7CF9"/>
    <w:rsid w:val="00AC04BD"/>
    <w:rsid w:val="00AC0942"/>
    <w:rsid w:val="00AC1660"/>
    <w:rsid w:val="00AC18D8"/>
    <w:rsid w:val="00AC20B2"/>
    <w:rsid w:val="00AC21DF"/>
    <w:rsid w:val="00AC46C8"/>
    <w:rsid w:val="00AC4A4E"/>
    <w:rsid w:val="00AC5B3F"/>
    <w:rsid w:val="00AC760B"/>
    <w:rsid w:val="00AD08D0"/>
    <w:rsid w:val="00AD2729"/>
    <w:rsid w:val="00AD29EB"/>
    <w:rsid w:val="00AD2FAF"/>
    <w:rsid w:val="00AD3D0A"/>
    <w:rsid w:val="00AD4053"/>
    <w:rsid w:val="00AD44D2"/>
    <w:rsid w:val="00AD6155"/>
    <w:rsid w:val="00AD6532"/>
    <w:rsid w:val="00AD688E"/>
    <w:rsid w:val="00AD6B58"/>
    <w:rsid w:val="00AD7512"/>
    <w:rsid w:val="00AD785F"/>
    <w:rsid w:val="00AE06AC"/>
    <w:rsid w:val="00AE10EA"/>
    <w:rsid w:val="00AE1CB4"/>
    <w:rsid w:val="00AE26FE"/>
    <w:rsid w:val="00AE423B"/>
    <w:rsid w:val="00AE4FFB"/>
    <w:rsid w:val="00AE5052"/>
    <w:rsid w:val="00AE6B59"/>
    <w:rsid w:val="00AF17A0"/>
    <w:rsid w:val="00AF421A"/>
    <w:rsid w:val="00AF4245"/>
    <w:rsid w:val="00AF4B42"/>
    <w:rsid w:val="00AF4FF8"/>
    <w:rsid w:val="00AF55F9"/>
    <w:rsid w:val="00AF5678"/>
    <w:rsid w:val="00AF6B71"/>
    <w:rsid w:val="00AF790E"/>
    <w:rsid w:val="00B00CE8"/>
    <w:rsid w:val="00B01E03"/>
    <w:rsid w:val="00B06EFF"/>
    <w:rsid w:val="00B07E5F"/>
    <w:rsid w:val="00B113A2"/>
    <w:rsid w:val="00B13307"/>
    <w:rsid w:val="00B1381F"/>
    <w:rsid w:val="00B13ED8"/>
    <w:rsid w:val="00B15F2C"/>
    <w:rsid w:val="00B1659E"/>
    <w:rsid w:val="00B166E6"/>
    <w:rsid w:val="00B17900"/>
    <w:rsid w:val="00B21A60"/>
    <w:rsid w:val="00B21C55"/>
    <w:rsid w:val="00B2203A"/>
    <w:rsid w:val="00B23765"/>
    <w:rsid w:val="00B23A19"/>
    <w:rsid w:val="00B2545A"/>
    <w:rsid w:val="00B255E6"/>
    <w:rsid w:val="00B267CA"/>
    <w:rsid w:val="00B271DE"/>
    <w:rsid w:val="00B2720D"/>
    <w:rsid w:val="00B319FA"/>
    <w:rsid w:val="00B32422"/>
    <w:rsid w:val="00B334E6"/>
    <w:rsid w:val="00B3668B"/>
    <w:rsid w:val="00B37817"/>
    <w:rsid w:val="00B378C6"/>
    <w:rsid w:val="00B40B8F"/>
    <w:rsid w:val="00B41B59"/>
    <w:rsid w:val="00B41DCE"/>
    <w:rsid w:val="00B43DF4"/>
    <w:rsid w:val="00B443A5"/>
    <w:rsid w:val="00B46023"/>
    <w:rsid w:val="00B4790F"/>
    <w:rsid w:val="00B5137A"/>
    <w:rsid w:val="00B518FA"/>
    <w:rsid w:val="00B5293D"/>
    <w:rsid w:val="00B561E7"/>
    <w:rsid w:val="00B56646"/>
    <w:rsid w:val="00B60469"/>
    <w:rsid w:val="00B61FB0"/>
    <w:rsid w:val="00B6218B"/>
    <w:rsid w:val="00B621D6"/>
    <w:rsid w:val="00B63730"/>
    <w:rsid w:val="00B64450"/>
    <w:rsid w:val="00B655DE"/>
    <w:rsid w:val="00B66F3F"/>
    <w:rsid w:val="00B7106D"/>
    <w:rsid w:val="00B712C8"/>
    <w:rsid w:val="00B71ACA"/>
    <w:rsid w:val="00B721B6"/>
    <w:rsid w:val="00B74148"/>
    <w:rsid w:val="00B75A1B"/>
    <w:rsid w:val="00B76897"/>
    <w:rsid w:val="00B7744E"/>
    <w:rsid w:val="00B77F2D"/>
    <w:rsid w:val="00B801BB"/>
    <w:rsid w:val="00B80FC5"/>
    <w:rsid w:val="00B8292D"/>
    <w:rsid w:val="00B8478A"/>
    <w:rsid w:val="00B875D8"/>
    <w:rsid w:val="00B90B1C"/>
    <w:rsid w:val="00B91353"/>
    <w:rsid w:val="00B91E1C"/>
    <w:rsid w:val="00B92F3A"/>
    <w:rsid w:val="00B9392B"/>
    <w:rsid w:val="00B955BB"/>
    <w:rsid w:val="00BA165D"/>
    <w:rsid w:val="00BA331A"/>
    <w:rsid w:val="00BA34AE"/>
    <w:rsid w:val="00BA3FA3"/>
    <w:rsid w:val="00BA65FA"/>
    <w:rsid w:val="00BA68CA"/>
    <w:rsid w:val="00BA68F7"/>
    <w:rsid w:val="00BA77B9"/>
    <w:rsid w:val="00BB0782"/>
    <w:rsid w:val="00BB0872"/>
    <w:rsid w:val="00BB164A"/>
    <w:rsid w:val="00BB32E5"/>
    <w:rsid w:val="00BB3AD1"/>
    <w:rsid w:val="00BB413E"/>
    <w:rsid w:val="00BB42A3"/>
    <w:rsid w:val="00BB5EBE"/>
    <w:rsid w:val="00BB67E7"/>
    <w:rsid w:val="00BB6AA2"/>
    <w:rsid w:val="00BB7000"/>
    <w:rsid w:val="00BB74CA"/>
    <w:rsid w:val="00BC5076"/>
    <w:rsid w:val="00BC58B8"/>
    <w:rsid w:val="00BC6313"/>
    <w:rsid w:val="00BC67EF"/>
    <w:rsid w:val="00BC6A86"/>
    <w:rsid w:val="00BC6AB9"/>
    <w:rsid w:val="00BC746F"/>
    <w:rsid w:val="00BD3546"/>
    <w:rsid w:val="00BD38C7"/>
    <w:rsid w:val="00BD3B45"/>
    <w:rsid w:val="00BD4A4C"/>
    <w:rsid w:val="00BD545B"/>
    <w:rsid w:val="00BD5CE5"/>
    <w:rsid w:val="00BD685E"/>
    <w:rsid w:val="00BD6EC5"/>
    <w:rsid w:val="00BD7160"/>
    <w:rsid w:val="00BE27D4"/>
    <w:rsid w:val="00BE392E"/>
    <w:rsid w:val="00BE3A1D"/>
    <w:rsid w:val="00BE3BDA"/>
    <w:rsid w:val="00BE41FF"/>
    <w:rsid w:val="00BE7DF4"/>
    <w:rsid w:val="00BF018A"/>
    <w:rsid w:val="00BF06C6"/>
    <w:rsid w:val="00BF196D"/>
    <w:rsid w:val="00BF197D"/>
    <w:rsid w:val="00BF1D72"/>
    <w:rsid w:val="00BF2866"/>
    <w:rsid w:val="00BF4D0E"/>
    <w:rsid w:val="00BF4DF9"/>
    <w:rsid w:val="00BF6361"/>
    <w:rsid w:val="00C0025D"/>
    <w:rsid w:val="00C0295F"/>
    <w:rsid w:val="00C03B29"/>
    <w:rsid w:val="00C0513C"/>
    <w:rsid w:val="00C05B32"/>
    <w:rsid w:val="00C05E73"/>
    <w:rsid w:val="00C06443"/>
    <w:rsid w:val="00C101BE"/>
    <w:rsid w:val="00C10948"/>
    <w:rsid w:val="00C10B78"/>
    <w:rsid w:val="00C11CA5"/>
    <w:rsid w:val="00C12818"/>
    <w:rsid w:val="00C13590"/>
    <w:rsid w:val="00C139A1"/>
    <w:rsid w:val="00C147FC"/>
    <w:rsid w:val="00C14AD9"/>
    <w:rsid w:val="00C14FE5"/>
    <w:rsid w:val="00C154FE"/>
    <w:rsid w:val="00C15A35"/>
    <w:rsid w:val="00C1734E"/>
    <w:rsid w:val="00C207C7"/>
    <w:rsid w:val="00C22518"/>
    <w:rsid w:val="00C24946"/>
    <w:rsid w:val="00C255AE"/>
    <w:rsid w:val="00C25B99"/>
    <w:rsid w:val="00C26FB9"/>
    <w:rsid w:val="00C27287"/>
    <w:rsid w:val="00C27766"/>
    <w:rsid w:val="00C27F45"/>
    <w:rsid w:val="00C327EE"/>
    <w:rsid w:val="00C32F03"/>
    <w:rsid w:val="00C3373A"/>
    <w:rsid w:val="00C34AA6"/>
    <w:rsid w:val="00C35617"/>
    <w:rsid w:val="00C37032"/>
    <w:rsid w:val="00C373A5"/>
    <w:rsid w:val="00C375EB"/>
    <w:rsid w:val="00C37F3E"/>
    <w:rsid w:val="00C4033E"/>
    <w:rsid w:val="00C40390"/>
    <w:rsid w:val="00C41C3F"/>
    <w:rsid w:val="00C421AF"/>
    <w:rsid w:val="00C43FCA"/>
    <w:rsid w:val="00C4519F"/>
    <w:rsid w:val="00C453C6"/>
    <w:rsid w:val="00C45797"/>
    <w:rsid w:val="00C479A8"/>
    <w:rsid w:val="00C51137"/>
    <w:rsid w:val="00C51BB0"/>
    <w:rsid w:val="00C563F8"/>
    <w:rsid w:val="00C5706E"/>
    <w:rsid w:val="00C578A9"/>
    <w:rsid w:val="00C57AB1"/>
    <w:rsid w:val="00C57DD2"/>
    <w:rsid w:val="00C605D5"/>
    <w:rsid w:val="00C60690"/>
    <w:rsid w:val="00C6188C"/>
    <w:rsid w:val="00C6213C"/>
    <w:rsid w:val="00C62158"/>
    <w:rsid w:val="00C626F4"/>
    <w:rsid w:val="00C6296E"/>
    <w:rsid w:val="00C629CD"/>
    <w:rsid w:val="00C62E3D"/>
    <w:rsid w:val="00C63CBC"/>
    <w:rsid w:val="00C6433A"/>
    <w:rsid w:val="00C64832"/>
    <w:rsid w:val="00C64FF2"/>
    <w:rsid w:val="00C65334"/>
    <w:rsid w:val="00C665EE"/>
    <w:rsid w:val="00C671CD"/>
    <w:rsid w:val="00C67984"/>
    <w:rsid w:val="00C71116"/>
    <w:rsid w:val="00C71A16"/>
    <w:rsid w:val="00C72166"/>
    <w:rsid w:val="00C75B56"/>
    <w:rsid w:val="00C7727C"/>
    <w:rsid w:val="00C77B50"/>
    <w:rsid w:val="00C77BE2"/>
    <w:rsid w:val="00C8221F"/>
    <w:rsid w:val="00C827EE"/>
    <w:rsid w:val="00C82E32"/>
    <w:rsid w:val="00C8473D"/>
    <w:rsid w:val="00C87A7B"/>
    <w:rsid w:val="00C9144E"/>
    <w:rsid w:val="00C91862"/>
    <w:rsid w:val="00C921AE"/>
    <w:rsid w:val="00C923B7"/>
    <w:rsid w:val="00C934D4"/>
    <w:rsid w:val="00C94C9C"/>
    <w:rsid w:val="00C95036"/>
    <w:rsid w:val="00CA119E"/>
    <w:rsid w:val="00CA1B04"/>
    <w:rsid w:val="00CA2458"/>
    <w:rsid w:val="00CA2527"/>
    <w:rsid w:val="00CA2A88"/>
    <w:rsid w:val="00CA2D3B"/>
    <w:rsid w:val="00CA3843"/>
    <w:rsid w:val="00CA5039"/>
    <w:rsid w:val="00CB2808"/>
    <w:rsid w:val="00CB3815"/>
    <w:rsid w:val="00CB3D3D"/>
    <w:rsid w:val="00CB4A14"/>
    <w:rsid w:val="00CB5778"/>
    <w:rsid w:val="00CB5A7E"/>
    <w:rsid w:val="00CB66D6"/>
    <w:rsid w:val="00CB7A91"/>
    <w:rsid w:val="00CC05B9"/>
    <w:rsid w:val="00CC0C73"/>
    <w:rsid w:val="00CC0CB0"/>
    <w:rsid w:val="00CC0DA9"/>
    <w:rsid w:val="00CC1F74"/>
    <w:rsid w:val="00CC206C"/>
    <w:rsid w:val="00CC52FE"/>
    <w:rsid w:val="00CC75CE"/>
    <w:rsid w:val="00CC7670"/>
    <w:rsid w:val="00CC7DA4"/>
    <w:rsid w:val="00CD0129"/>
    <w:rsid w:val="00CD0651"/>
    <w:rsid w:val="00CD110A"/>
    <w:rsid w:val="00CD1153"/>
    <w:rsid w:val="00CD183E"/>
    <w:rsid w:val="00CD21B3"/>
    <w:rsid w:val="00CD304D"/>
    <w:rsid w:val="00CD46FF"/>
    <w:rsid w:val="00CD5413"/>
    <w:rsid w:val="00CD5991"/>
    <w:rsid w:val="00CD5BDC"/>
    <w:rsid w:val="00CD618E"/>
    <w:rsid w:val="00CE3FAC"/>
    <w:rsid w:val="00CE418A"/>
    <w:rsid w:val="00CE43EA"/>
    <w:rsid w:val="00CE477C"/>
    <w:rsid w:val="00CE4856"/>
    <w:rsid w:val="00CE58F2"/>
    <w:rsid w:val="00CE5EDF"/>
    <w:rsid w:val="00CE6C92"/>
    <w:rsid w:val="00CF08AB"/>
    <w:rsid w:val="00CF0F50"/>
    <w:rsid w:val="00CF1BD6"/>
    <w:rsid w:val="00CF4F92"/>
    <w:rsid w:val="00CF65AA"/>
    <w:rsid w:val="00CF7356"/>
    <w:rsid w:val="00D01297"/>
    <w:rsid w:val="00D016FF"/>
    <w:rsid w:val="00D01E2F"/>
    <w:rsid w:val="00D02996"/>
    <w:rsid w:val="00D02B9C"/>
    <w:rsid w:val="00D02E32"/>
    <w:rsid w:val="00D03338"/>
    <w:rsid w:val="00D0512A"/>
    <w:rsid w:val="00D05A37"/>
    <w:rsid w:val="00D063A7"/>
    <w:rsid w:val="00D07ABF"/>
    <w:rsid w:val="00D104A4"/>
    <w:rsid w:val="00D10B28"/>
    <w:rsid w:val="00D11B58"/>
    <w:rsid w:val="00D1387E"/>
    <w:rsid w:val="00D13CF9"/>
    <w:rsid w:val="00D1779E"/>
    <w:rsid w:val="00D200BC"/>
    <w:rsid w:val="00D202C9"/>
    <w:rsid w:val="00D2139B"/>
    <w:rsid w:val="00D21BF4"/>
    <w:rsid w:val="00D21CBE"/>
    <w:rsid w:val="00D22121"/>
    <w:rsid w:val="00D22680"/>
    <w:rsid w:val="00D226F5"/>
    <w:rsid w:val="00D22BE0"/>
    <w:rsid w:val="00D230DF"/>
    <w:rsid w:val="00D23DA6"/>
    <w:rsid w:val="00D25BD8"/>
    <w:rsid w:val="00D26955"/>
    <w:rsid w:val="00D2767A"/>
    <w:rsid w:val="00D27883"/>
    <w:rsid w:val="00D30C82"/>
    <w:rsid w:val="00D33BD6"/>
    <w:rsid w:val="00D34401"/>
    <w:rsid w:val="00D356CD"/>
    <w:rsid w:val="00D40F6F"/>
    <w:rsid w:val="00D4143E"/>
    <w:rsid w:val="00D4300A"/>
    <w:rsid w:val="00D4408B"/>
    <w:rsid w:val="00D476EA"/>
    <w:rsid w:val="00D50556"/>
    <w:rsid w:val="00D51522"/>
    <w:rsid w:val="00D5189D"/>
    <w:rsid w:val="00D51C06"/>
    <w:rsid w:val="00D51C52"/>
    <w:rsid w:val="00D544F3"/>
    <w:rsid w:val="00D5637D"/>
    <w:rsid w:val="00D5761D"/>
    <w:rsid w:val="00D63AC6"/>
    <w:rsid w:val="00D63E3B"/>
    <w:rsid w:val="00D64709"/>
    <w:rsid w:val="00D64C0D"/>
    <w:rsid w:val="00D6538A"/>
    <w:rsid w:val="00D71375"/>
    <w:rsid w:val="00D717FE"/>
    <w:rsid w:val="00D71E27"/>
    <w:rsid w:val="00D72059"/>
    <w:rsid w:val="00D74D11"/>
    <w:rsid w:val="00D756B0"/>
    <w:rsid w:val="00D759F6"/>
    <w:rsid w:val="00D75A82"/>
    <w:rsid w:val="00D7647A"/>
    <w:rsid w:val="00D76D04"/>
    <w:rsid w:val="00D80A05"/>
    <w:rsid w:val="00D81037"/>
    <w:rsid w:val="00D817BC"/>
    <w:rsid w:val="00D8238B"/>
    <w:rsid w:val="00D83238"/>
    <w:rsid w:val="00D834EE"/>
    <w:rsid w:val="00D83E1F"/>
    <w:rsid w:val="00D842B1"/>
    <w:rsid w:val="00D85A99"/>
    <w:rsid w:val="00D85F15"/>
    <w:rsid w:val="00D866F6"/>
    <w:rsid w:val="00D86DC6"/>
    <w:rsid w:val="00D8711B"/>
    <w:rsid w:val="00D906B9"/>
    <w:rsid w:val="00D91578"/>
    <w:rsid w:val="00D916BA"/>
    <w:rsid w:val="00D9179D"/>
    <w:rsid w:val="00D941F0"/>
    <w:rsid w:val="00D94556"/>
    <w:rsid w:val="00D9602B"/>
    <w:rsid w:val="00D9609F"/>
    <w:rsid w:val="00D96849"/>
    <w:rsid w:val="00D96F5C"/>
    <w:rsid w:val="00D97240"/>
    <w:rsid w:val="00DA1423"/>
    <w:rsid w:val="00DA189D"/>
    <w:rsid w:val="00DA25D4"/>
    <w:rsid w:val="00DA308D"/>
    <w:rsid w:val="00DA4373"/>
    <w:rsid w:val="00DA531D"/>
    <w:rsid w:val="00DA5638"/>
    <w:rsid w:val="00DB0662"/>
    <w:rsid w:val="00DB0D85"/>
    <w:rsid w:val="00DB1815"/>
    <w:rsid w:val="00DB29C1"/>
    <w:rsid w:val="00DB4977"/>
    <w:rsid w:val="00DB5B12"/>
    <w:rsid w:val="00DB61E8"/>
    <w:rsid w:val="00DB6392"/>
    <w:rsid w:val="00DB6E0F"/>
    <w:rsid w:val="00DB74F0"/>
    <w:rsid w:val="00DB7B16"/>
    <w:rsid w:val="00DC14E3"/>
    <w:rsid w:val="00DC15C0"/>
    <w:rsid w:val="00DC15D7"/>
    <w:rsid w:val="00DC2B8A"/>
    <w:rsid w:val="00DC32C7"/>
    <w:rsid w:val="00DC3DE5"/>
    <w:rsid w:val="00DC513A"/>
    <w:rsid w:val="00DC6E6A"/>
    <w:rsid w:val="00DD0A20"/>
    <w:rsid w:val="00DD23BC"/>
    <w:rsid w:val="00DD371B"/>
    <w:rsid w:val="00DD3E5B"/>
    <w:rsid w:val="00DD50E7"/>
    <w:rsid w:val="00DD573E"/>
    <w:rsid w:val="00DD63FD"/>
    <w:rsid w:val="00DD676C"/>
    <w:rsid w:val="00DD69FE"/>
    <w:rsid w:val="00DD6DDF"/>
    <w:rsid w:val="00DE2961"/>
    <w:rsid w:val="00DE34EC"/>
    <w:rsid w:val="00DE52A1"/>
    <w:rsid w:val="00DE62F3"/>
    <w:rsid w:val="00DE68AB"/>
    <w:rsid w:val="00DE6AE5"/>
    <w:rsid w:val="00DE6EEA"/>
    <w:rsid w:val="00DF1295"/>
    <w:rsid w:val="00DF1FA4"/>
    <w:rsid w:val="00DF3616"/>
    <w:rsid w:val="00DF3735"/>
    <w:rsid w:val="00DF510B"/>
    <w:rsid w:val="00DF5131"/>
    <w:rsid w:val="00DF6E08"/>
    <w:rsid w:val="00DF7F58"/>
    <w:rsid w:val="00E01093"/>
    <w:rsid w:val="00E01580"/>
    <w:rsid w:val="00E016DF"/>
    <w:rsid w:val="00E01DE0"/>
    <w:rsid w:val="00E03948"/>
    <w:rsid w:val="00E03C19"/>
    <w:rsid w:val="00E04691"/>
    <w:rsid w:val="00E06648"/>
    <w:rsid w:val="00E06A70"/>
    <w:rsid w:val="00E06C74"/>
    <w:rsid w:val="00E10E12"/>
    <w:rsid w:val="00E1122C"/>
    <w:rsid w:val="00E120A1"/>
    <w:rsid w:val="00E138B5"/>
    <w:rsid w:val="00E17D69"/>
    <w:rsid w:val="00E20209"/>
    <w:rsid w:val="00E20307"/>
    <w:rsid w:val="00E205AA"/>
    <w:rsid w:val="00E207F1"/>
    <w:rsid w:val="00E21A0B"/>
    <w:rsid w:val="00E224AF"/>
    <w:rsid w:val="00E2284B"/>
    <w:rsid w:val="00E239E6"/>
    <w:rsid w:val="00E24763"/>
    <w:rsid w:val="00E24D40"/>
    <w:rsid w:val="00E2681B"/>
    <w:rsid w:val="00E279F4"/>
    <w:rsid w:val="00E32E0C"/>
    <w:rsid w:val="00E33AF7"/>
    <w:rsid w:val="00E33F37"/>
    <w:rsid w:val="00E34C31"/>
    <w:rsid w:val="00E35D15"/>
    <w:rsid w:val="00E36161"/>
    <w:rsid w:val="00E404F8"/>
    <w:rsid w:val="00E42C50"/>
    <w:rsid w:val="00E43793"/>
    <w:rsid w:val="00E443AE"/>
    <w:rsid w:val="00E4762C"/>
    <w:rsid w:val="00E47834"/>
    <w:rsid w:val="00E5151C"/>
    <w:rsid w:val="00E539D1"/>
    <w:rsid w:val="00E53C4B"/>
    <w:rsid w:val="00E54B13"/>
    <w:rsid w:val="00E5603D"/>
    <w:rsid w:val="00E57505"/>
    <w:rsid w:val="00E5751D"/>
    <w:rsid w:val="00E61F67"/>
    <w:rsid w:val="00E62304"/>
    <w:rsid w:val="00E64F7D"/>
    <w:rsid w:val="00E654A2"/>
    <w:rsid w:val="00E67211"/>
    <w:rsid w:val="00E67323"/>
    <w:rsid w:val="00E6745F"/>
    <w:rsid w:val="00E700FB"/>
    <w:rsid w:val="00E71432"/>
    <w:rsid w:val="00E71C33"/>
    <w:rsid w:val="00E72C13"/>
    <w:rsid w:val="00E757FE"/>
    <w:rsid w:val="00E758ED"/>
    <w:rsid w:val="00E825CB"/>
    <w:rsid w:val="00E82AA2"/>
    <w:rsid w:val="00E8307E"/>
    <w:rsid w:val="00E831FB"/>
    <w:rsid w:val="00E86731"/>
    <w:rsid w:val="00E92FCB"/>
    <w:rsid w:val="00E937E1"/>
    <w:rsid w:val="00E94AC2"/>
    <w:rsid w:val="00E9672D"/>
    <w:rsid w:val="00E96ECD"/>
    <w:rsid w:val="00E97CF5"/>
    <w:rsid w:val="00EA153C"/>
    <w:rsid w:val="00EA27B9"/>
    <w:rsid w:val="00EA2974"/>
    <w:rsid w:val="00EA30E8"/>
    <w:rsid w:val="00EA7AF8"/>
    <w:rsid w:val="00EA7DCF"/>
    <w:rsid w:val="00EB18CB"/>
    <w:rsid w:val="00EB2CD6"/>
    <w:rsid w:val="00EB31A5"/>
    <w:rsid w:val="00EB736E"/>
    <w:rsid w:val="00EC07B5"/>
    <w:rsid w:val="00EC0D8B"/>
    <w:rsid w:val="00EC2AB8"/>
    <w:rsid w:val="00EC2FBE"/>
    <w:rsid w:val="00EC32F6"/>
    <w:rsid w:val="00EC36C4"/>
    <w:rsid w:val="00EC519B"/>
    <w:rsid w:val="00EC5E89"/>
    <w:rsid w:val="00EC689A"/>
    <w:rsid w:val="00EC7630"/>
    <w:rsid w:val="00ED13FF"/>
    <w:rsid w:val="00ED1FF1"/>
    <w:rsid w:val="00ED44FE"/>
    <w:rsid w:val="00ED4667"/>
    <w:rsid w:val="00ED5025"/>
    <w:rsid w:val="00ED5183"/>
    <w:rsid w:val="00ED5B8B"/>
    <w:rsid w:val="00ED66CB"/>
    <w:rsid w:val="00ED693C"/>
    <w:rsid w:val="00ED6B65"/>
    <w:rsid w:val="00ED6C99"/>
    <w:rsid w:val="00ED6CBF"/>
    <w:rsid w:val="00ED6E37"/>
    <w:rsid w:val="00EE317D"/>
    <w:rsid w:val="00EE3365"/>
    <w:rsid w:val="00EE40E1"/>
    <w:rsid w:val="00EE4F13"/>
    <w:rsid w:val="00EE5800"/>
    <w:rsid w:val="00EE5946"/>
    <w:rsid w:val="00EE6DF8"/>
    <w:rsid w:val="00EE7E5C"/>
    <w:rsid w:val="00EF02FE"/>
    <w:rsid w:val="00EF058A"/>
    <w:rsid w:val="00EF070E"/>
    <w:rsid w:val="00EF206C"/>
    <w:rsid w:val="00EF22EC"/>
    <w:rsid w:val="00EF25A6"/>
    <w:rsid w:val="00EF2FC0"/>
    <w:rsid w:val="00EF5B28"/>
    <w:rsid w:val="00EF605B"/>
    <w:rsid w:val="00EF6B7C"/>
    <w:rsid w:val="00F00832"/>
    <w:rsid w:val="00F00DD0"/>
    <w:rsid w:val="00F01941"/>
    <w:rsid w:val="00F01F82"/>
    <w:rsid w:val="00F0368C"/>
    <w:rsid w:val="00F0646F"/>
    <w:rsid w:val="00F12103"/>
    <w:rsid w:val="00F1215A"/>
    <w:rsid w:val="00F12726"/>
    <w:rsid w:val="00F1276E"/>
    <w:rsid w:val="00F12F95"/>
    <w:rsid w:val="00F156DA"/>
    <w:rsid w:val="00F20014"/>
    <w:rsid w:val="00F201CF"/>
    <w:rsid w:val="00F202A7"/>
    <w:rsid w:val="00F20A84"/>
    <w:rsid w:val="00F22C5B"/>
    <w:rsid w:val="00F23B13"/>
    <w:rsid w:val="00F23B8D"/>
    <w:rsid w:val="00F23C8F"/>
    <w:rsid w:val="00F24528"/>
    <w:rsid w:val="00F25ECF"/>
    <w:rsid w:val="00F26DAB"/>
    <w:rsid w:val="00F27C0B"/>
    <w:rsid w:val="00F30367"/>
    <w:rsid w:val="00F31691"/>
    <w:rsid w:val="00F320C7"/>
    <w:rsid w:val="00F34380"/>
    <w:rsid w:val="00F345FD"/>
    <w:rsid w:val="00F351BD"/>
    <w:rsid w:val="00F3641B"/>
    <w:rsid w:val="00F36A95"/>
    <w:rsid w:val="00F40A78"/>
    <w:rsid w:val="00F4152C"/>
    <w:rsid w:val="00F42BA6"/>
    <w:rsid w:val="00F438A3"/>
    <w:rsid w:val="00F444DE"/>
    <w:rsid w:val="00F45518"/>
    <w:rsid w:val="00F456E2"/>
    <w:rsid w:val="00F465C7"/>
    <w:rsid w:val="00F475BD"/>
    <w:rsid w:val="00F47784"/>
    <w:rsid w:val="00F50C5B"/>
    <w:rsid w:val="00F5462A"/>
    <w:rsid w:val="00F54AFF"/>
    <w:rsid w:val="00F5558F"/>
    <w:rsid w:val="00F55B5F"/>
    <w:rsid w:val="00F56078"/>
    <w:rsid w:val="00F56BB4"/>
    <w:rsid w:val="00F61A1D"/>
    <w:rsid w:val="00F636C4"/>
    <w:rsid w:val="00F646A5"/>
    <w:rsid w:val="00F648F3"/>
    <w:rsid w:val="00F64BCC"/>
    <w:rsid w:val="00F658BD"/>
    <w:rsid w:val="00F66069"/>
    <w:rsid w:val="00F67C69"/>
    <w:rsid w:val="00F71482"/>
    <w:rsid w:val="00F71BC5"/>
    <w:rsid w:val="00F72CC4"/>
    <w:rsid w:val="00F73EB8"/>
    <w:rsid w:val="00F74439"/>
    <w:rsid w:val="00F7489C"/>
    <w:rsid w:val="00F7526D"/>
    <w:rsid w:val="00F75350"/>
    <w:rsid w:val="00F75B38"/>
    <w:rsid w:val="00F76130"/>
    <w:rsid w:val="00F76ACF"/>
    <w:rsid w:val="00F76CD9"/>
    <w:rsid w:val="00F77CCE"/>
    <w:rsid w:val="00F81938"/>
    <w:rsid w:val="00F8465A"/>
    <w:rsid w:val="00F85027"/>
    <w:rsid w:val="00F853F6"/>
    <w:rsid w:val="00F87FA1"/>
    <w:rsid w:val="00F907CE"/>
    <w:rsid w:val="00F91014"/>
    <w:rsid w:val="00F91FCE"/>
    <w:rsid w:val="00F92ABF"/>
    <w:rsid w:val="00F93B04"/>
    <w:rsid w:val="00F94BD8"/>
    <w:rsid w:val="00F95926"/>
    <w:rsid w:val="00FA01BD"/>
    <w:rsid w:val="00FA2DC8"/>
    <w:rsid w:val="00FA3075"/>
    <w:rsid w:val="00FA4785"/>
    <w:rsid w:val="00FA52D8"/>
    <w:rsid w:val="00FA5CC6"/>
    <w:rsid w:val="00FA6072"/>
    <w:rsid w:val="00FB07D8"/>
    <w:rsid w:val="00FB20C4"/>
    <w:rsid w:val="00FB41F4"/>
    <w:rsid w:val="00FB4CED"/>
    <w:rsid w:val="00FB511C"/>
    <w:rsid w:val="00FB5BC0"/>
    <w:rsid w:val="00FB6022"/>
    <w:rsid w:val="00FB65F3"/>
    <w:rsid w:val="00FB6989"/>
    <w:rsid w:val="00FB7FC5"/>
    <w:rsid w:val="00FC0031"/>
    <w:rsid w:val="00FC02FD"/>
    <w:rsid w:val="00FC1928"/>
    <w:rsid w:val="00FC2741"/>
    <w:rsid w:val="00FC2CFB"/>
    <w:rsid w:val="00FC43AF"/>
    <w:rsid w:val="00FC6B0C"/>
    <w:rsid w:val="00FC7C5C"/>
    <w:rsid w:val="00FC7DE2"/>
    <w:rsid w:val="00FD03F2"/>
    <w:rsid w:val="00FD1170"/>
    <w:rsid w:val="00FD1D8F"/>
    <w:rsid w:val="00FD236F"/>
    <w:rsid w:val="00FD2641"/>
    <w:rsid w:val="00FD2728"/>
    <w:rsid w:val="00FD2F8B"/>
    <w:rsid w:val="00FD2FDA"/>
    <w:rsid w:val="00FD2FEB"/>
    <w:rsid w:val="00FD4DF3"/>
    <w:rsid w:val="00FD58B2"/>
    <w:rsid w:val="00FD5B4C"/>
    <w:rsid w:val="00FD5C90"/>
    <w:rsid w:val="00FE002E"/>
    <w:rsid w:val="00FE0BD1"/>
    <w:rsid w:val="00FE11BA"/>
    <w:rsid w:val="00FE12C5"/>
    <w:rsid w:val="00FE1873"/>
    <w:rsid w:val="00FE33EB"/>
    <w:rsid w:val="00FE434F"/>
    <w:rsid w:val="00FE4C77"/>
    <w:rsid w:val="00FE55B0"/>
    <w:rsid w:val="00FE7A7A"/>
    <w:rsid w:val="00FF014E"/>
    <w:rsid w:val="00FF0B10"/>
    <w:rsid w:val="00FF0D97"/>
    <w:rsid w:val="00FF5087"/>
    <w:rsid w:val="00FF52A6"/>
    <w:rsid w:val="00FF5B21"/>
    <w:rsid w:val="00FF5C2C"/>
    <w:rsid w:val="00FF66B9"/>
    <w:rsid w:val="00FF67A8"/>
    <w:rsid w:val="00FF6EBA"/>
    <w:rsid w:val="00FF75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1F5AF"/>
  <w15:docId w15:val="{DD7C4080-4F21-46EE-A9FE-F5D78273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CE"/>
    <w:rPr>
      <w:rFonts w:ascii="Arial" w:hAnsi="Arial"/>
      <w:color w:val="000000" w:themeColor="text1"/>
    </w:rPr>
  </w:style>
  <w:style w:type="paragraph" w:styleId="Heading1">
    <w:name w:val="heading 1"/>
    <w:basedOn w:val="Normal"/>
    <w:next w:val="Normal"/>
    <w:link w:val="Heading1Char"/>
    <w:uiPriority w:val="9"/>
    <w:rsid w:val="001C4055"/>
    <w:pPr>
      <w:pageBreakBefore/>
      <w:numPr>
        <w:numId w:val="1"/>
      </w:numPr>
      <w:pBdr>
        <w:bottom w:val="single" w:sz="8" w:space="4" w:color="E31B23" w:themeColor="accent1"/>
      </w:pBdr>
      <w:spacing w:after="300" w:line="240" w:lineRule="auto"/>
      <w:contextualSpacing/>
      <w:outlineLvl w:val="0"/>
    </w:pPr>
    <w:rPr>
      <w:rFonts w:eastAsiaTheme="majorEastAsia" w:cstheme="majorBidi"/>
      <w:color w:val="C00000"/>
      <w:spacing w:val="5"/>
      <w:kern w:val="28"/>
      <w:sz w:val="52"/>
      <w:szCs w:val="52"/>
    </w:rPr>
  </w:style>
  <w:style w:type="paragraph" w:styleId="Heading2">
    <w:name w:val="heading 2"/>
    <w:basedOn w:val="Normal"/>
    <w:next w:val="Normal"/>
    <w:link w:val="Heading2Char"/>
    <w:uiPriority w:val="9"/>
    <w:unhideWhenUsed/>
    <w:rsid w:val="001C4055"/>
    <w:pPr>
      <w:keepNext/>
      <w:numPr>
        <w:ilvl w:val="1"/>
        <w:numId w:val="1"/>
      </w:numPr>
      <w:spacing w:before="200"/>
      <w:outlineLvl w:val="1"/>
    </w:pPr>
    <w:rPr>
      <w:color w:val="C00000"/>
      <w:sz w:val="28"/>
    </w:rPr>
  </w:style>
  <w:style w:type="paragraph" w:styleId="Heading3">
    <w:name w:val="heading 3"/>
    <w:basedOn w:val="Normal"/>
    <w:next w:val="Normal"/>
    <w:link w:val="Heading3Char"/>
    <w:uiPriority w:val="9"/>
    <w:unhideWhenUsed/>
    <w:qFormat/>
    <w:rsid w:val="002461B5"/>
    <w:pPr>
      <w:keepNext/>
      <w:keepLines/>
      <w:spacing w:before="240" w:after="120"/>
      <w:outlineLvl w:val="2"/>
    </w:pPr>
    <w:rPr>
      <w:rFonts w:eastAsiaTheme="majorEastAsia" w:cstheme="majorBidi"/>
      <w:bCs/>
      <w:color w:val="808080" w:themeColor="background1" w:themeShade="80"/>
      <w:sz w:val="26"/>
      <w:szCs w:val="24"/>
    </w:rPr>
  </w:style>
  <w:style w:type="paragraph" w:styleId="Heading4">
    <w:name w:val="heading 4"/>
    <w:next w:val="Normal"/>
    <w:link w:val="Heading4Char"/>
    <w:uiPriority w:val="9"/>
    <w:unhideWhenUsed/>
    <w:qFormat/>
    <w:rsid w:val="009F63CE"/>
    <w:pPr>
      <w:keepNext/>
      <w:spacing w:before="240" w:after="120"/>
      <w:outlineLvl w:val="3"/>
    </w:pPr>
    <w:rPr>
      <w:rFonts w:ascii="Arial" w:eastAsiaTheme="majorEastAsia" w:hAnsi="Arial" w:cstheme="majorBidi"/>
      <w:b/>
      <w:bCs/>
      <w:color w:val="D4A67C" w:themeColor="accent6"/>
      <w:sz w:val="24"/>
      <w:szCs w:val="24"/>
    </w:rPr>
  </w:style>
  <w:style w:type="paragraph" w:styleId="Heading5">
    <w:name w:val="heading 5"/>
    <w:basedOn w:val="Normal"/>
    <w:next w:val="Normal"/>
    <w:link w:val="Heading5Char"/>
    <w:uiPriority w:val="9"/>
    <w:unhideWhenUsed/>
    <w:qFormat/>
    <w:rsid w:val="0096181D"/>
    <w:pPr>
      <w:keepNext/>
      <w:keepLines/>
      <w:spacing w:before="200" w:after="120"/>
      <w:outlineLvl w:val="4"/>
    </w:pPr>
    <w:rPr>
      <w:rFonts w:eastAsiaTheme="majorEastAsia" w:cstheme="majorBidi"/>
      <w:color w:val="700D11" w:themeColor="accent1" w:themeShade="7F"/>
    </w:rPr>
  </w:style>
  <w:style w:type="paragraph" w:styleId="Heading6">
    <w:name w:val="heading 6"/>
    <w:basedOn w:val="Normal"/>
    <w:next w:val="Normal"/>
    <w:link w:val="Heading6Char"/>
    <w:uiPriority w:val="9"/>
    <w:unhideWhenUsed/>
    <w:qFormat/>
    <w:rsid w:val="00312B36"/>
    <w:pPr>
      <w:keepNext/>
      <w:keepLines/>
      <w:spacing w:before="40" w:after="0"/>
      <w:outlineLvl w:val="5"/>
    </w:pPr>
    <w:rPr>
      <w:rFonts w:eastAsiaTheme="majorEastAsia" w:cstheme="majorBidi"/>
      <w:color w:val="366473" w:themeColor="accent5" w:themeShade="80"/>
    </w:rPr>
  </w:style>
  <w:style w:type="paragraph" w:styleId="Heading7">
    <w:name w:val="heading 7"/>
    <w:basedOn w:val="Normal"/>
    <w:next w:val="Normal"/>
    <w:link w:val="Heading7Char"/>
    <w:uiPriority w:val="9"/>
    <w:unhideWhenUsed/>
    <w:qFormat/>
    <w:rsid w:val="00312B36"/>
    <w:pPr>
      <w:keepNext/>
      <w:keepLines/>
      <w:spacing w:before="40" w:after="0"/>
      <w:outlineLvl w:val="6"/>
    </w:pPr>
    <w:rPr>
      <w:rFonts w:asciiTheme="majorHAnsi" w:eastAsiaTheme="majorEastAsia" w:hAnsiTheme="majorHAnsi" w:cstheme="majorBidi"/>
      <w:i/>
      <w:iCs/>
      <w:color w:val="700D11" w:themeColor="accent1" w:themeShade="7F"/>
    </w:rPr>
  </w:style>
  <w:style w:type="paragraph" w:styleId="Heading8">
    <w:name w:val="heading 8"/>
    <w:basedOn w:val="Normal"/>
    <w:next w:val="Normal"/>
    <w:link w:val="Heading8Char"/>
    <w:uiPriority w:val="9"/>
    <w:unhideWhenUsed/>
    <w:qFormat/>
    <w:rsid w:val="00312B3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055"/>
    <w:rPr>
      <w:rFonts w:ascii="Candara" w:eastAsiaTheme="majorEastAsia" w:hAnsi="Candara" w:cstheme="majorBidi"/>
      <w:color w:val="C00000"/>
      <w:spacing w:val="5"/>
      <w:kern w:val="28"/>
      <w:sz w:val="52"/>
      <w:szCs w:val="52"/>
    </w:rPr>
  </w:style>
  <w:style w:type="character" w:customStyle="1" w:styleId="Heading2Char">
    <w:name w:val="Heading 2 Char"/>
    <w:basedOn w:val="DefaultParagraphFont"/>
    <w:link w:val="Heading2"/>
    <w:uiPriority w:val="9"/>
    <w:rsid w:val="001C4055"/>
    <w:rPr>
      <w:rFonts w:ascii="Candara" w:hAnsi="Candara"/>
      <w:color w:val="C00000"/>
      <w:sz w:val="28"/>
    </w:rPr>
  </w:style>
  <w:style w:type="character" w:customStyle="1" w:styleId="Heading3Char">
    <w:name w:val="Heading 3 Char"/>
    <w:basedOn w:val="DefaultParagraphFont"/>
    <w:link w:val="Heading3"/>
    <w:uiPriority w:val="9"/>
    <w:rsid w:val="002461B5"/>
    <w:rPr>
      <w:rFonts w:ascii="Candara" w:eastAsiaTheme="majorEastAsia" w:hAnsi="Candara" w:cstheme="majorBidi"/>
      <w:bCs/>
      <w:color w:val="808080" w:themeColor="background1" w:themeShade="80"/>
      <w:sz w:val="26"/>
      <w:szCs w:val="24"/>
    </w:rPr>
  </w:style>
  <w:style w:type="character" w:customStyle="1" w:styleId="Heading5Char">
    <w:name w:val="Heading 5 Char"/>
    <w:basedOn w:val="DefaultParagraphFont"/>
    <w:link w:val="Heading5"/>
    <w:uiPriority w:val="9"/>
    <w:rsid w:val="0096181D"/>
    <w:rPr>
      <w:rFonts w:ascii="Candara" w:eastAsiaTheme="majorEastAsia" w:hAnsi="Candara" w:cstheme="majorBidi"/>
      <w:color w:val="700D11" w:themeColor="accent1" w:themeShade="7F"/>
    </w:rPr>
  </w:style>
  <w:style w:type="character" w:styleId="Hyperlink">
    <w:name w:val="Hyperlink"/>
    <w:basedOn w:val="DefaultParagraphFont"/>
    <w:uiPriority w:val="99"/>
    <w:unhideWhenUsed/>
    <w:rsid w:val="001C4055"/>
    <w:rPr>
      <w:color w:val="0000FF" w:themeColor="hyperlink"/>
      <w:u w:val="single"/>
    </w:rPr>
  </w:style>
  <w:style w:type="paragraph" w:styleId="ListBullet">
    <w:name w:val="List Bullet"/>
    <w:basedOn w:val="Normal"/>
    <w:uiPriority w:val="99"/>
    <w:unhideWhenUsed/>
    <w:rsid w:val="00A43D9B"/>
    <w:pPr>
      <w:widowControl w:val="0"/>
      <w:numPr>
        <w:numId w:val="2"/>
      </w:numPr>
      <w:spacing w:before="120" w:after="0"/>
    </w:pPr>
    <w:rPr>
      <w:rFonts w:eastAsia="Futura Hv BT" w:cs="Times New Roman"/>
      <w:color w:val="231F20"/>
      <w:szCs w:val="24"/>
    </w:rPr>
  </w:style>
  <w:style w:type="paragraph" w:customStyle="1" w:styleId="FiguresTOC">
    <w:name w:val="Figures TOC"/>
    <w:basedOn w:val="Normal"/>
    <w:next w:val="Normal"/>
    <w:link w:val="FiguresTOCChar"/>
    <w:qFormat/>
    <w:rsid w:val="00487EE3"/>
    <w:pPr>
      <w:keepNext/>
      <w:keepLines/>
      <w:widowControl w:val="0"/>
      <w:spacing w:before="120" w:after="120" w:line="240" w:lineRule="auto"/>
    </w:pPr>
    <w:rPr>
      <w:rFonts w:eastAsia="Futura Hv BT" w:cs="Times New Roman"/>
      <w:color w:val="C00000"/>
      <w:sz w:val="24"/>
      <w:szCs w:val="24"/>
    </w:rPr>
  </w:style>
  <w:style w:type="character" w:customStyle="1" w:styleId="FiguresTOCChar">
    <w:name w:val="Figures TOC Char"/>
    <w:basedOn w:val="DefaultParagraphFont"/>
    <w:link w:val="FiguresTOC"/>
    <w:rsid w:val="00487EE3"/>
    <w:rPr>
      <w:rFonts w:ascii="Arial" w:eastAsia="Futura Hv BT" w:hAnsi="Arial" w:cs="Times New Roman"/>
      <w:color w:val="C00000"/>
      <w:sz w:val="24"/>
      <w:szCs w:val="24"/>
    </w:rPr>
  </w:style>
  <w:style w:type="paragraph" w:styleId="BalloonText">
    <w:name w:val="Balloon Text"/>
    <w:basedOn w:val="Normal"/>
    <w:link w:val="BalloonTextChar"/>
    <w:uiPriority w:val="99"/>
    <w:semiHidden/>
    <w:unhideWhenUsed/>
    <w:rsid w:val="001C4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055"/>
    <w:rPr>
      <w:rFonts w:ascii="Tahoma" w:hAnsi="Tahoma" w:cs="Tahoma"/>
      <w:color w:val="000000" w:themeColor="text1"/>
      <w:sz w:val="16"/>
      <w:szCs w:val="16"/>
    </w:rPr>
  </w:style>
  <w:style w:type="paragraph" w:customStyle="1" w:styleId="Heading3TOC">
    <w:name w:val="Heading 3 TOC"/>
    <w:basedOn w:val="Heading2"/>
    <w:qFormat/>
    <w:rsid w:val="00C923B7"/>
    <w:pPr>
      <w:numPr>
        <w:numId w:val="9"/>
      </w:numPr>
    </w:pPr>
  </w:style>
  <w:style w:type="paragraph" w:styleId="Title">
    <w:name w:val="Title"/>
    <w:basedOn w:val="Normal"/>
    <w:next w:val="Normal"/>
    <w:link w:val="TitleChar"/>
    <w:autoRedefine/>
    <w:uiPriority w:val="10"/>
    <w:qFormat/>
    <w:rsid w:val="003246AF"/>
    <w:pPr>
      <w:numPr>
        <w:numId w:val="8"/>
      </w:numPr>
      <w:pBdr>
        <w:bottom w:val="single" w:sz="8" w:space="4" w:color="C00000"/>
      </w:pBdr>
      <w:spacing w:after="300" w:line="240" w:lineRule="auto"/>
      <w:contextualSpacing/>
    </w:pPr>
    <w:rPr>
      <w:rFonts w:eastAsiaTheme="majorEastAsia" w:cstheme="majorBidi"/>
      <w:color w:val="C00000"/>
      <w:spacing w:val="5"/>
      <w:kern w:val="28"/>
      <w:sz w:val="52"/>
      <w:szCs w:val="52"/>
    </w:rPr>
  </w:style>
  <w:style w:type="character" w:customStyle="1" w:styleId="TitleChar">
    <w:name w:val="Title Char"/>
    <w:basedOn w:val="DefaultParagraphFont"/>
    <w:link w:val="Title"/>
    <w:uiPriority w:val="10"/>
    <w:rsid w:val="00394E4C"/>
    <w:rPr>
      <w:rFonts w:ascii="Candara" w:eastAsiaTheme="majorEastAsia" w:hAnsi="Candara" w:cstheme="majorBidi"/>
      <w:color w:val="C00000"/>
      <w:spacing w:val="5"/>
      <w:kern w:val="28"/>
      <w:sz w:val="52"/>
      <w:szCs w:val="52"/>
    </w:rPr>
  </w:style>
  <w:style w:type="paragraph" w:styleId="ListParagraph">
    <w:name w:val="List Paragraph"/>
    <w:aliases w:val="standard lewis"/>
    <w:basedOn w:val="Normal"/>
    <w:link w:val="ListParagraphChar"/>
    <w:uiPriority w:val="34"/>
    <w:qFormat/>
    <w:rsid w:val="001C4055"/>
    <w:pPr>
      <w:ind w:left="720"/>
      <w:contextualSpacing/>
    </w:pPr>
  </w:style>
  <w:style w:type="paragraph" w:customStyle="1" w:styleId="Ex3">
    <w:name w:val="Ex3"/>
    <w:basedOn w:val="Heading3"/>
    <w:qFormat/>
    <w:rsid w:val="001C4055"/>
    <w:rPr>
      <w:color w:val="000000" w:themeColor="text1"/>
    </w:rPr>
  </w:style>
  <w:style w:type="paragraph" w:customStyle="1" w:styleId="Note">
    <w:name w:val="Note"/>
    <w:basedOn w:val="Normal"/>
    <w:qFormat/>
    <w:rsid w:val="001C4055"/>
    <w:pPr>
      <w:spacing w:after="360"/>
      <w:contextualSpacing/>
    </w:pPr>
    <w:rPr>
      <w:sz w:val="18"/>
      <w:szCs w:val="18"/>
    </w:rPr>
  </w:style>
  <w:style w:type="character" w:customStyle="1" w:styleId="ListParagraphChar">
    <w:name w:val="List Paragraph Char"/>
    <w:aliases w:val="standard lewis Char"/>
    <w:basedOn w:val="DefaultParagraphFont"/>
    <w:link w:val="ListParagraph"/>
    <w:uiPriority w:val="34"/>
    <w:locked/>
    <w:rsid w:val="001C4055"/>
    <w:rPr>
      <w:rFonts w:ascii="Candara" w:hAnsi="Candara"/>
      <w:color w:val="000000" w:themeColor="text1"/>
    </w:rPr>
  </w:style>
  <w:style w:type="character" w:styleId="CommentReference">
    <w:name w:val="annotation reference"/>
    <w:basedOn w:val="DefaultParagraphFont"/>
    <w:uiPriority w:val="99"/>
    <w:semiHidden/>
    <w:unhideWhenUsed/>
    <w:rsid w:val="00F3641B"/>
    <w:rPr>
      <w:sz w:val="16"/>
      <w:szCs w:val="16"/>
    </w:rPr>
  </w:style>
  <w:style w:type="paragraph" w:styleId="CommentText">
    <w:name w:val="annotation text"/>
    <w:basedOn w:val="Normal"/>
    <w:link w:val="CommentTextChar"/>
    <w:uiPriority w:val="99"/>
    <w:unhideWhenUsed/>
    <w:rsid w:val="00F3641B"/>
    <w:pPr>
      <w:spacing w:line="240" w:lineRule="auto"/>
    </w:pPr>
    <w:rPr>
      <w:sz w:val="20"/>
      <w:szCs w:val="20"/>
    </w:rPr>
  </w:style>
  <w:style w:type="character" w:customStyle="1" w:styleId="CommentTextChar">
    <w:name w:val="Comment Text Char"/>
    <w:basedOn w:val="DefaultParagraphFont"/>
    <w:link w:val="CommentText"/>
    <w:uiPriority w:val="99"/>
    <w:rsid w:val="00F3641B"/>
    <w:rPr>
      <w:rFonts w:ascii="Candara" w:hAnsi="Candar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3641B"/>
    <w:rPr>
      <w:b/>
      <w:bCs/>
    </w:rPr>
  </w:style>
  <w:style w:type="character" w:customStyle="1" w:styleId="CommentSubjectChar">
    <w:name w:val="Comment Subject Char"/>
    <w:basedOn w:val="CommentTextChar"/>
    <w:link w:val="CommentSubject"/>
    <w:uiPriority w:val="99"/>
    <w:semiHidden/>
    <w:rsid w:val="00F3641B"/>
    <w:rPr>
      <w:rFonts w:ascii="Candara" w:hAnsi="Candara"/>
      <w:b/>
      <w:bCs/>
      <w:color w:val="000000" w:themeColor="text1"/>
      <w:sz w:val="20"/>
      <w:szCs w:val="20"/>
    </w:rPr>
  </w:style>
  <w:style w:type="character" w:styleId="Strong">
    <w:name w:val="Strong"/>
    <w:basedOn w:val="DefaultParagraphFont"/>
    <w:uiPriority w:val="22"/>
    <w:qFormat/>
    <w:rsid w:val="00710022"/>
    <w:rPr>
      <w:b/>
      <w:bCs/>
    </w:rPr>
  </w:style>
  <w:style w:type="character" w:customStyle="1" w:styleId="Heading4Char">
    <w:name w:val="Heading 4 Char"/>
    <w:basedOn w:val="DefaultParagraphFont"/>
    <w:link w:val="Heading4"/>
    <w:uiPriority w:val="9"/>
    <w:rsid w:val="009F63CE"/>
    <w:rPr>
      <w:rFonts w:ascii="Arial" w:eastAsiaTheme="majorEastAsia" w:hAnsi="Arial" w:cstheme="majorBidi"/>
      <w:b/>
      <w:bCs/>
      <w:color w:val="D4A67C" w:themeColor="accent6"/>
      <w:sz w:val="24"/>
      <w:szCs w:val="24"/>
    </w:rPr>
  </w:style>
  <w:style w:type="paragraph" w:styleId="Caption">
    <w:name w:val="caption"/>
    <w:basedOn w:val="Normal"/>
    <w:next w:val="Normal"/>
    <w:uiPriority w:val="35"/>
    <w:unhideWhenUsed/>
    <w:qFormat/>
    <w:rsid w:val="00910F1D"/>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395044"/>
    <w:rPr>
      <w:color w:val="800080" w:themeColor="followedHyperlink"/>
      <w:u w:val="single"/>
    </w:rPr>
  </w:style>
  <w:style w:type="paragraph" w:styleId="TOCHeading">
    <w:name w:val="TOC Heading"/>
    <w:basedOn w:val="Heading1"/>
    <w:next w:val="Normal"/>
    <w:uiPriority w:val="39"/>
    <w:unhideWhenUsed/>
    <w:qFormat/>
    <w:rsid w:val="009F63CE"/>
    <w:pPr>
      <w:keepNext/>
      <w:keepLines/>
      <w:pageBreakBefore w:val="0"/>
      <w:numPr>
        <w:numId w:val="0"/>
      </w:numPr>
      <w:pBdr>
        <w:bottom w:val="none" w:sz="0" w:space="0" w:color="auto"/>
      </w:pBdr>
      <w:spacing w:before="240" w:after="0" w:line="259" w:lineRule="auto"/>
      <w:contextualSpacing w:val="0"/>
      <w:outlineLvl w:val="9"/>
    </w:pPr>
    <w:rPr>
      <w:b/>
      <w:color w:val="A9141A" w:themeColor="accent1" w:themeShade="BF"/>
      <w:spacing w:val="0"/>
      <w:kern w:val="0"/>
      <w:sz w:val="32"/>
      <w:szCs w:val="32"/>
      <w:lang w:val="en-US"/>
    </w:rPr>
  </w:style>
  <w:style w:type="paragraph" w:styleId="TOC2">
    <w:name w:val="toc 2"/>
    <w:basedOn w:val="Normal"/>
    <w:next w:val="Normal"/>
    <w:autoRedefine/>
    <w:uiPriority w:val="39"/>
    <w:unhideWhenUsed/>
    <w:rsid w:val="007063B1"/>
    <w:pPr>
      <w:tabs>
        <w:tab w:val="left" w:pos="709"/>
        <w:tab w:val="right" w:leader="dot" w:pos="9016"/>
      </w:tabs>
      <w:spacing w:after="100"/>
    </w:pPr>
  </w:style>
  <w:style w:type="paragraph" w:styleId="TOC3">
    <w:name w:val="toc 3"/>
    <w:basedOn w:val="Normal"/>
    <w:next w:val="Normal"/>
    <w:autoRedefine/>
    <w:uiPriority w:val="39"/>
    <w:unhideWhenUsed/>
    <w:rsid w:val="007063B1"/>
    <w:pPr>
      <w:tabs>
        <w:tab w:val="right" w:leader="dot" w:pos="9016"/>
      </w:tabs>
      <w:spacing w:after="100"/>
      <w:ind w:left="454"/>
    </w:pPr>
  </w:style>
  <w:style w:type="paragraph" w:styleId="TOC1">
    <w:name w:val="toc 1"/>
    <w:basedOn w:val="Normal"/>
    <w:next w:val="Normal"/>
    <w:autoRedefine/>
    <w:uiPriority w:val="39"/>
    <w:unhideWhenUsed/>
    <w:rsid w:val="00CB3815"/>
    <w:pPr>
      <w:spacing w:after="100"/>
    </w:pPr>
  </w:style>
  <w:style w:type="paragraph" w:styleId="NoSpacing">
    <w:name w:val="No Spacing"/>
    <w:link w:val="NoSpacingChar"/>
    <w:uiPriority w:val="1"/>
    <w:qFormat/>
    <w:rsid w:val="00174C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4C87"/>
    <w:rPr>
      <w:rFonts w:eastAsiaTheme="minorEastAsia"/>
      <w:lang w:val="en-US"/>
    </w:rPr>
  </w:style>
  <w:style w:type="paragraph" w:styleId="Header">
    <w:name w:val="header"/>
    <w:basedOn w:val="Normal"/>
    <w:link w:val="HeaderChar"/>
    <w:uiPriority w:val="99"/>
    <w:unhideWhenUsed/>
    <w:rsid w:val="00174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C87"/>
    <w:rPr>
      <w:rFonts w:ascii="Candara" w:hAnsi="Candara"/>
      <w:color w:val="000000" w:themeColor="text1"/>
    </w:rPr>
  </w:style>
  <w:style w:type="paragraph" w:styleId="Footer">
    <w:name w:val="footer"/>
    <w:basedOn w:val="Normal"/>
    <w:link w:val="FooterChar"/>
    <w:uiPriority w:val="99"/>
    <w:unhideWhenUsed/>
    <w:rsid w:val="00174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C87"/>
    <w:rPr>
      <w:rFonts w:ascii="Candara" w:hAnsi="Candara"/>
      <w:color w:val="000000" w:themeColor="text1"/>
    </w:rPr>
  </w:style>
  <w:style w:type="character" w:customStyle="1" w:styleId="Heading6Char">
    <w:name w:val="Heading 6 Char"/>
    <w:basedOn w:val="DefaultParagraphFont"/>
    <w:link w:val="Heading6"/>
    <w:uiPriority w:val="9"/>
    <w:rsid w:val="00312B36"/>
    <w:rPr>
      <w:rFonts w:ascii="Candara" w:eastAsiaTheme="majorEastAsia" w:hAnsi="Candara" w:cstheme="majorBidi"/>
      <w:color w:val="366473" w:themeColor="accent5" w:themeShade="80"/>
    </w:rPr>
  </w:style>
  <w:style w:type="character" w:customStyle="1" w:styleId="Heading7Char">
    <w:name w:val="Heading 7 Char"/>
    <w:basedOn w:val="DefaultParagraphFont"/>
    <w:link w:val="Heading7"/>
    <w:uiPriority w:val="9"/>
    <w:rsid w:val="00312B36"/>
    <w:rPr>
      <w:rFonts w:asciiTheme="majorHAnsi" w:eastAsiaTheme="majorEastAsia" w:hAnsiTheme="majorHAnsi" w:cstheme="majorBidi"/>
      <w:i/>
      <w:iCs/>
      <w:color w:val="700D11" w:themeColor="accent1" w:themeShade="7F"/>
    </w:rPr>
  </w:style>
  <w:style w:type="character" w:customStyle="1" w:styleId="Heading8Char">
    <w:name w:val="Heading 8 Char"/>
    <w:basedOn w:val="DefaultParagraphFont"/>
    <w:link w:val="Heading8"/>
    <w:uiPriority w:val="9"/>
    <w:rsid w:val="00312B36"/>
    <w:rPr>
      <w:rFonts w:asciiTheme="majorHAnsi" w:eastAsiaTheme="majorEastAsia" w:hAnsiTheme="majorHAnsi" w:cstheme="majorBidi"/>
      <w:color w:val="272727" w:themeColor="text1" w:themeTint="D8"/>
      <w:sz w:val="21"/>
      <w:szCs w:val="21"/>
    </w:rPr>
  </w:style>
  <w:style w:type="paragraph" w:styleId="Bibliography">
    <w:name w:val="Bibliography"/>
    <w:basedOn w:val="Normal"/>
    <w:next w:val="Normal"/>
    <w:uiPriority w:val="37"/>
    <w:unhideWhenUsed/>
    <w:rsid w:val="00C923B7"/>
  </w:style>
  <w:style w:type="paragraph" w:styleId="BodyText">
    <w:name w:val="Body Text"/>
    <w:basedOn w:val="Normal"/>
    <w:link w:val="BodyTextChar"/>
    <w:uiPriority w:val="99"/>
    <w:unhideWhenUsed/>
    <w:rsid w:val="0058794C"/>
    <w:pPr>
      <w:spacing w:after="120"/>
    </w:pPr>
  </w:style>
  <w:style w:type="character" w:customStyle="1" w:styleId="BodyTextChar">
    <w:name w:val="Body Text Char"/>
    <w:basedOn w:val="DefaultParagraphFont"/>
    <w:link w:val="BodyText"/>
    <w:uiPriority w:val="99"/>
    <w:rsid w:val="0058794C"/>
    <w:rPr>
      <w:rFonts w:ascii="Candara" w:hAnsi="Candara"/>
      <w:color w:val="000000" w:themeColor="text1"/>
    </w:rPr>
  </w:style>
  <w:style w:type="paragraph" w:styleId="Revision">
    <w:name w:val="Revision"/>
    <w:hidden/>
    <w:uiPriority w:val="99"/>
    <w:semiHidden/>
    <w:rsid w:val="00D02E32"/>
    <w:pPr>
      <w:spacing w:after="0" w:line="240" w:lineRule="auto"/>
    </w:pPr>
    <w:rPr>
      <w:rFonts w:ascii="Candara" w:hAnsi="Candara"/>
      <w:color w:val="000000" w:themeColor="text1"/>
    </w:rPr>
  </w:style>
  <w:style w:type="character" w:customStyle="1" w:styleId="UnresolvedMention1">
    <w:name w:val="Unresolved Mention1"/>
    <w:basedOn w:val="DefaultParagraphFont"/>
    <w:uiPriority w:val="99"/>
    <w:semiHidden/>
    <w:unhideWhenUsed/>
    <w:rsid w:val="00A40647"/>
    <w:rPr>
      <w:color w:val="605E5C"/>
      <w:shd w:val="clear" w:color="auto" w:fill="E1DFDD"/>
    </w:rPr>
  </w:style>
  <w:style w:type="paragraph" w:customStyle="1" w:styleId="H2">
    <w:name w:val="H2"/>
    <w:basedOn w:val="Heading2"/>
    <w:link w:val="H2Char"/>
    <w:qFormat/>
    <w:rsid w:val="009F63CE"/>
    <w:pPr>
      <w:numPr>
        <w:ilvl w:val="0"/>
        <w:numId w:val="0"/>
      </w:numPr>
      <w:ind w:left="567" w:hanging="567"/>
    </w:pPr>
    <w:rPr>
      <w:rFonts w:cs="Arial"/>
    </w:rPr>
  </w:style>
  <w:style w:type="paragraph" w:customStyle="1" w:styleId="H3">
    <w:name w:val="H3"/>
    <w:basedOn w:val="Heading3"/>
    <w:link w:val="H3Char"/>
    <w:qFormat/>
    <w:rsid w:val="009F63CE"/>
    <w:rPr>
      <w:rFonts w:cs="Arial"/>
    </w:rPr>
  </w:style>
  <w:style w:type="character" w:customStyle="1" w:styleId="H2Char">
    <w:name w:val="H2 Char"/>
    <w:basedOn w:val="Heading2Char"/>
    <w:link w:val="H2"/>
    <w:rsid w:val="009F63CE"/>
    <w:rPr>
      <w:rFonts w:ascii="Arial" w:hAnsi="Arial" w:cs="Arial"/>
      <w:color w:val="C00000"/>
      <w:sz w:val="28"/>
    </w:rPr>
  </w:style>
  <w:style w:type="character" w:customStyle="1" w:styleId="H3Char">
    <w:name w:val="H3 Char"/>
    <w:basedOn w:val="Heading3Char"/>
    <w:link w:val="H3"/>
    <w:rsid w:val="009F63CE"/>
    <w:rPr>
      <w:rFonts w:ascii="Arial" w:eastAsiaTheme="majorEastAsia" w:hAnsi="Arial" w:cs="Arial"/>
      <w:bCs/>
      <w:color w:val="808080" w:themeColor="background1" w:themeShade="80"/>
      <w:sz w:val="26"/>
      <w:szCs w:val="24"/>
    </w:rPr>
  </w:style>
  <w:style w:type="paragraph" w:styleId="FootnoteText">
    <w:name w:val="footnote text"/>
    <w:basedOn w:val="Normal"/>
    <w:link w:val="FootnoteTextChar"/>
    <w:uiPriority w:val="99"/>
    <w:semiHidden/>
    <w:unhideWhenUsed/>
    <w:rsid w:val="00D65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38A"/>
    <w:rPr>
      <w:rFonts w:ascii="Arial" w:hAnsi="Arial"/>
      <w:color w:val="000000" w:themeColor="text1"/>
      <w:sz w:val="20"/>
      <w:szCs w:val="20"/>
    </w:rPr>
  </w:style>
  <w:style w:type="character" w:styleId="FootnoteReference">
    <w:name w:val="footnote reference"/>
    <w:basedOn w:val="DefaultParagraphFont"/>
    <w:uiPriority w:val="99"/>
    <w:semiHidden/>
    <w:unhideWhenUsed/>
    <w:rsid w:val="00D6538A"/>
    <w:rPr>
      <w:vertAlign w:val="superscript"/>
    </w:rPr>
  </w:style>
  <w:style w:type="character" w:customStyle="1" w:styleId="UnresolvedMention2">
    <w:name w:val="Unresolved Mention2"/>
    <w:basedOn w:val="DefaultParagraphFont"/>
    <w:uiPriority w:val="99"/>
    <w:semiHidden/>
    <w:unhideWhenUsed/>
    <w:rsid w:val="00384455"/>
    <w:rPr>
      <w:color w:val="605E5C"/>
      <w:shd w:val="clear" w:color="auto" w:fill="E1DFDD"/>
    </w:rPr>
  </w:style>
  <w:style w:type="paragraph" w:customStyle="1" w:styleId="EndNoteBibliography">
    <w:name w:val="EndNote Bibliography"/>
    <w:basedOn w:val="Normal"/>
    <w:link w:val="EndNoteBibliographyChar"/>
    <w:rsid w:val="00282106"/>
    <w:pPr>
      <w:spacing w:after="0" w:line="240" w:lineRule="auto"/>
    </w:pPr>
    <w:rPr>
      <w:rFonts w:ascii="Calibri" w:eastAsia="Calibri" w:hAnsi="Calibri" w:cs="Calibri"/>
      <w:noProof/>
      <w:color w:val="auto"/>
      <w:lang w:val="en-US"/>
    </w:rPr>
  </w:style>
  <w:style w:type="character" w:customStyle="1" w:styleId="EndNoteBibliographyChar">
    <w:name w:val="EndNote Bibliography Char"/>
    <w:basedOn w:val="DefaultParagraphFont"/>
    <w:link w:val="EndNoteBibliography"/>
    <w:rsid w:val="00282106"/>
    <w:rPr>
      <w:rFonts w:ascii="Calibri" w:eastAsia="Calibri" w:hAnsi="Calibri" w:cs="Calibri"/>
      <w:noProof/>
      <w:lang w:val="en-US"/>
    </w:rPr>
  </w:style>
  <w:style w:type="character" w:customStyle="1" w:styleId="UnresolvedMention3">
    <w:name w:val="Unresolved Mention3"/>
    <w:basedOn w:val="DefaultParagraphFont"/>
    <w:uiPriority w:val="99"/>
    <w:semiHidden/>
    <w:unhideWhenUsed/>
    <w:rsid w:val="00282106"/>
    <w:rPr>
      <w:color w:val="605E5C"/>
      <w:shd w:val="clear" w:color="auto" w:fill="E1DFDD"/>
    </w:rPr>
  </w:style>
  <w:style w:type="character" w:styleId="UnresolvedMention">
    <w:name w:val="Unresolved Mention"/>
    <w:basedOn w:val="DefaultParagraphFont"/>
    <w:uiPriority w:val="99"/>
    <w:semiHidden/>
    <w:unhideWhenUsed/>
    <w:rsid w:val="00EA27B9"/>
    <w:rPr>
      <w:color w:val="605E5C"/>
      <w:shd w:val="clear" w:color="auto" w:fill="E1DFDD"/>
    </w:rPr>
  </w:style>
  <w:style w:type="character" w:customStyle="1" w:styleId="cf01">
    <w:name w:val="cf01"/>
    <w:basedOn w:val="DefaultParagraphFont"/>
    <w:rsid w:val="003A0B6F"/>
    <w:rPr>
      <w:rFonts w:ascii="Segoe UI" w:hAnsi="Segoe UI" w:cs="Segoe UI" w:hint="default"/>
      <w:sz w:val="18"/>
      <w:szCs w:val="18"/>
    </w:rPr>
  </w:style>
  <w:style w:type="paragraph" w:customStyle="1" w:styleId="xmsolistparagraph">
    <w:name w:val="x_msolistparagraph"/>
    <w:basedOn w:val="Normal"/>
    <w:rsid w:val="009A1B3C"/>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paragraph" w:customStyle="1" w:styleId="xmsonormal">
    <w:name w:val="x_msonormal"/>
    <w:basedOn w:val="Normal"/>
    <w:rsid w:val="009A1B3C"/>
    <w:pPr>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paragraph" w:customStyle="1" w:styleId="notTOC">
    <w:name w:val="not TOC"/>
    <w:basedOn w:val="TOCHeading"/>
    <w:qFormat/>
    <w:rsid w:val="001F228B"/>
    <w:rPr>
      <w:rFonts w:cs="Arial"/>
      <w:lang w:val="en-NZ"/>
    </w:rPr>
  </w:style>
  <w:style w:type="paragraph" w:customStyle="1" w:styleId="TeThHauorahead1">
    <w:name w:val="Te Tāhū Hauora head 1"/>
    <w:basedOn w:val="Heading1"/>
    <w:qFormat/>
    <w:rsid w:val="004A315D"/>
    <w:pPr>
      <w:keepNext/>
      <w:keepLines/>
      <w:pageBreakBefore w:val="0"/>
      <w:numPr>
        <w:numId w:val="0"/>
      </w:numPr>
      <w:pBdr>
        <w:bottom w:val="none" w:sz="0" w:space="0" w:color="auto"/>
      </w:pBdr>
      <w:spacing w:before="360" w:after="240"/>
      <w:contextualSpacing w:val="0"/>
    </w:pPr>
    <w:rPr>
      <w:rFonts w:cs="Arial"/>
      <w:b/>
      <w:spacing w:val="0"/>
      <w:kern w:val="0"/>
      <w:sz w:val="36"/>
      <w:szCs w:val="32"/>
    </w:rPr>
  </w:style>
  <w:style w:type="paragraph" w:customStyle="1" w:styleId="TeThHauorahead2">
    <w:name w:val="Te Tāhū Hauora head 2"/>
    <w:basedOn w:val="Heading2"/>
    <w:qFormat/>
    <w:rsid w:val="004A315D"/>
    <w:pPr>
      <w:keepLines/>
      <w:numPr>
        <w:ilvl w:val="0"/>
        <w:numId w:val="0"/>
      </w:numPr>
      <w:spacing w:before="360" w:after="120" w:line="240" w:lineRule="auto"/>
    </w:pPr>
    <w:rPr>
      <w:rFonts w:eastAsiaTheme="majorEastAsia" w:cs="Arial"/>
      <w:b/>
      <w:i/>
      <w:color w:val="auto"/>
      <w:szCs w:val="26"/>
    </w:rPr>
  </w:style>
  <w:style w:type="paragraph" w:customStyle="1" w:styleId="TeThHauorahead3">
    <w:name w:val="Te Tāhū Hauora head 3"/>
    <w:basedOn w:val="Heading3"/>
    <w:qFormat/>
    <w:rsid w:val="00D97240"/>
    <w:pPr>
      <w:spacing w:before="280" w:after="200" w:line="240" w:lineRule="auto"/>
    </w:pPr>
    <w:rPr>
      <w:rFonts w:cs="Arial"/>
      <w:b/>
      <w:bCs w:val="0"/>
      <w:color w:val="auto"/>
      <w:sz w:val="24"/>
    </w:rPr>
  </w:style>
  <w:style w:type="paragraph" w:customStyle="1" w:styleId="TeThHauoratablefigurecaption">
    <w:name w:val="Te Tāhū Hauora table/figure caption"/>
    <w:basedOn w:val="Normal"/>
    <w:link w:val="TeThHauoratablefigurecaptionChar"/>
    <w:qFormat/>
    <w:rsid w:val="00F64BCC"/>
    <w:pPr>
      <w:spacing w:before="120" w:after="0" w:line="240" w:lineRule="auto"/>
    </w:pPr>
    <w:rPr>
      <w:rFonts w:cs="Arial"/>
      <w:b/>
      <w:color w:val="auto"/>
    </w:rPr>
  </w:style>
  <w:style w:type="paragraph" w:customStyle="1" w:styleId="NOTINCLUDED">
    <w:name w:val="NOTINCLUDED"/>
    <w:basedOn w:val="TeThHauorahead1"/>
    <w:qFormat/>
    <w:rsid w:val="004A315D"/>
  </w:style>
  <w:style w:type="paragraph" w:customStyle="1" w:styleId="TeThHauorabodytext">
    <w:name w:val="Te Tāhū Hauora body text"/>
    <w:basedOn w:val="Normal"/>
    <w:qFormat/>
    <w:rsid w:val="00526787"/>
    <w:pPr>
      <w:spacing w:after="120"/>
    </w:pPr>
    <w:rPr>
      <w:rFonts w:cs="Arial"/>
      <w:color w:val="auto"/>
    </w:rPr>
  </w:style>
  <w:style w:type="paragraph" w:customStyle="1" w:styleId="H4">
    <w:name w:val="H 4"/>
    <w:basedOn w:val="TeThHauoratablefigurecaption"/>
    <w:link w:val="H4Char"/>
    <w:qFormat/>
    <w:rsid w:val="00E5751D"/>
    <w:pPr>
      <w:spacing w:before="200" w:after="120"/>
    </w:pPr>
  </w:style>
  <w:style w:type="character" w:customStyle="1" w:styleId="TeThHauoratablefigurecaptionChar">
    <w:name w:val="Te Tāhū Hauora table/figure caption Char"/>
    <w:basedOn w:val="DefaultParagraphFont"/>
    <w:link w:val="TeThHauoratablefigurecaption"/>
    <w:rsid w:val="00E5751D"/>
    <w:rPr>
      <w:rFonts w:ascii="Arial" w:hAnsi="Arial" w:cs="Arial"/>
      <w:b/>
    </w:rPr>
  </w:style>
  <w:style w:type="character" w:customStyle="1" w:styleId="H4Char">
    <w:name w:val="H 4 Char"/>
    <w:basedOn w:val="TeThHauoratablefigurecaptionChar"/>
    <w:link w:val="H4"/>
    <w:rsid w:val="00E5751D"/>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7940">
      <w:bodyDiv w:val="1"/>
      <w:marLeft w:val="0"/>
      <w:marRight w:val="0"/>
      <w:marTop w:val="0"/>
      <w:marBottom w:val="0"/>
      <w:divBdr>
        <w:top w:val="none" w:sz="0" w:space="0" w:color="auto"/>
        <w:left w:val="none" w:sz="0" w:space="0" w:color="auto"/>
        <w:bottom w:val="none" w:sz="0" w:space="0" w:color="auto"/>
        <w:right w:val="none" w:sz="0" w:space="0" w:color="auto"/>
      </w:divBdr>
    </w:div>
    <w:div w:id="288434309">
      <w:bodyDiv w:val="1"/>
      <w:marLeft w:val="0"/>
      <w:marRight w:val="0"/>
      <w:marTop w:val="0"/>
      <w:marBottom w:val="0"/>
      <w:divBdr>
        <w:top w:val="none" w:sz="0" w:space="0" w:color="auto"/>
        <w:left w:val="none" w:sz="0" w:space="0" w:color="auto"/>
        <w:bottom w:val="none" w:sz="0" w:space="0" w:color="auto"/>
        <w:right w:val="none" w:sz="0" w:space="0" w:color="auto"/>
      </w:divBdr>
    </w:div>
    <w:div w:id="445806491">
      <w:bodyDiv w:val="1"/>
      <w:marLeft w:val="0"/>
      <w:marRight w:val="0"/>
      <w:marTop w:val="0"/>
      <w:marBottom w:val="0"/>
      <w:divBdr>
        <w:top w:val="none" w:sz="0" w:space="0" w:color="auto"/>
        <w:left w:val="none" w:sz="0" w:space="0" w:color="auto"/>
        <w:bottom w:val="none" w:sz="0" w:space="0" w:color="auto"/>
        <w:right w:val="none" w:sz="0" w:space="0" w:color="auto"/>
      </w:divBdr>
    </w:div>
    <w:div w:id="522940266">
      <w:bodyDiv w:val="1"/>
      <w:marLeft w:val="0"/>
      <w:marRight w:val="0"/>
      <w:marTop w:val="0"/>
      <w:marBottom w:val="0"/>
      <w:divBdr>
        <w:top w:val="none" w:sz="0" w:space="0" w:color="auto"/>
        <w:left w:val="none" w:sz="0" w:space="0" w:color="auto"/>
        <w:bottom w:val="none" w:sz="0" w:space="0" w:color="auto"/>
        <w:right w:val="none" w:sz="0" w:space="0" w:color="auto"/>
      </w:divBdr>
    </w:div>
    <w:div w:id="881869985">
      <w:bodyDiv w:val="1"/>
      <w:marLeft w:val="0"/>
      <w:marRight w:val="0"/>
      <w:marTop w:val="0"/>
      <w:marBottom w:val="0"/>
      <w:divBdr>
        <w:top w:val="none" w:sz="0" w:space="0" w:color="auto"/>
        <w:left w:val="none" w:sz="0" w:space="0" w:color="auto"/>
        <w:bottom w:val="none" w:sz="0" w:space="0" w:color="auto"/>
        <w:right w:val="none" w:sz="0" w:space="0" w:color="auto"/>
      </w:divBdr>
    </w:div>
    <w:div w:id="19505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apps.who.int/iris/bitstream/10665/70929/1/9789241548458_eng.pdf?ua=1" TargetMode="External"/><Relationship Id="rId26" Type="http://schemas.openxmlformats.org/officeDocument/2006/relationships/hyperlink" Target="http://pediatrics.aappublications.org/content/133/5/e1482" TargetMode="External"/><Relationship Id="rId39" Type="http://schemas.openxmlformats.org/officeDocument/2006/relationships/hyperlink" Target="http://www.hqsc.govt.nz/assets/Our-work/Mortality-review-committee/PMMRC/Publications-resources/PMMRC-1st-Report-2005-07.pdf" TargetMode="External"/><Relationship Id="rId21" Type="http://schemas.openxmlformats.org/officeDocument/2006/relationships/hyperlink" Target="https://www.health.govt.nz/system/files/documents/publications/observation-mother-baby-immediate-postnatal-period-consensus-statements.pdf" TargetMode="External"/><Relationship Id="rId34" Type="http://schemas.openxmlformats.org/officeDocument/2006/relationships/hyperlink" Target="http://www.fmhs.auckland.ac.nz/assets/fmhs/Te%20Kupenga%20Hauora%20M&#257;ori/docs/classification.pdf" TargetMode="External"/><Relationship Id="rId42" Type="http://schemas.openxmlformats.org/officeDocument/2006/relationships/hyperlink" Target="http://www.hqsc.govt.nz/our-programmes/mrc/pmmrc/publications-and-resources/publication/2929" TargetMode="External"/><Relationship Id="rId47" Type="http://schemas.openxmlformats.org/officeDocument/2006/relationships/hyperlink" Target="https://iris.who.int/bitstream/handle/10665/348487/9789240036666-eng.pdf"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health.govt.nz/system/files/documents/publications/fetal-and-infant-deaths-2006.pdf" TargetMode="External"/><Relationship Id="rId29" Type="http://schemas.openxmlformats.org/officeDocument/2006/relationships/hyperlink" Target="https://www.hqsc.govt.nz/assets/PMMRC/Publications/Fifth-PMMRC-report-2009-Lkd.pdf" TargetMode="External"/><Relationship Id="rId11" Type="http://schemas.openxmlformats.org/officeDocument/2006/relationships/endnotes" Target="endnotes.xml"/><Relationship Id="rId24" Type="http://schemas.openxmlformats.org/officeDocument/2006/relationships/hyperlink" Target="http://www.otago.ac.nz/wellington/otago069936.pdf" TargetMode="External"/><Relationship Id="rId32" Type="http://schemas.openxmlformats.org/officeDocument/2006/relationships/hyperlink" Target="http://www.otago.ac.nz/wellington/otago730394.pdf" TargetMode="External"/><Relationship Id="rId37" Type="http://schemas.openxmlformats.org/officeDocument/2006/relationships/hyperlink" Target="http://www.tewhatuora.govt.nz/assets/Our-health-system/Data-and-statistics/NZ-health-stats/Data-references/Data-dictionaries/mat-dict-v1-0.pdf" TargetMode="External"/><Relationship Id="rId40" Type="http://schemas.openxmlformats.org/officeDocument/2006/relationships/hyperlink" Target="https://www.hqsc.govt.nz/resources/resource-library/summary-of-perinatal-and-maternal-mortality-review-committee-pmmrc-reports/" TargetMode="External"/><Relationship Id="rId45" Type="http://schemas.openxmlformats.org/officeDocument/2006/relationships/hyperlink" Target="http://www.tewhatuora.govt.nz/publications/guidelines-for-consultation-with-obstetric-and-related-medical-services-referral-guidelines/" TargetMode="External"/><Relationship Id="rId5" Type="http://schemas.openxmlformats.org/officeDocument/2006/relationships/customXml" Target="../customXml/item5.xml"/><Relationship Id="rId15" Type="http://schemas.openxmlformats.org/officeDocument/2006/relationships/hyperlink" Target="http://www.health.govt.nz/system/files/documents/publications/fetal200304.pdf" TargetMode="External"/><Relationship Id="rId23" Type="http://schemas.openxmlformats.org/officeDocument/2006/relationships/hyperlink" Target="http://www.otago.ac.nz/wellington/otago020337.pdf" TargetMode="External"/><Relationship Id="rId28" Type="http://schemas.openxmlformats.org/officeDocument/2006/relationships/image" Target="media/image4.png"/><Relationship Id="rId36" Type="http://schemas.openxmlformats.org/officeDocument/2006/relationships/hyperlink" Target="http://www.tewhatuora.govt.nz/our-health-system/digital-health/data-and-digital-standards/approved-standards/identity-standards"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gestation.net/" TargetMode="External"/><Relationship Id="rId31" Type="http://schemas.openxmlformats.org/officeDocument/2006/relationships/hyperlink" Target="http://www.otago.ac.nz/wellington/otago069936.pdf" TargetMode="External"/><Relationship Id="rId44" Type="http://schemas.openxmlformats.org/officeDocument/2006/relationships/hyperlink" Target="http://www.otago.ac.nz/wellington/otago02033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otago.ac.nz/wellington/otago069936.pdf" TargetMode="External"/><Relationship Id="rId27" Type="http://schemas.openxmlformats.org/officeDocument/2006/relationships/hyperlink" Target="https://www.hqsc.govt.nz/assets/PMMRC/Publications/First-PMMRC-report-2005-07.pdf" TargetMode="External"/><Relationship Id="rId30" Type="http://schemas.openxmlformats.org/officeDocument/2006/relationships/hyperlink" Target="http://pediatrics.aappublications.org/content/133/5/e1482" TargetMode="External"/><Relationship Id="rId35" Type="http://schemas.openxmlformats.org/officeDocument/2006/relationships/hyperlink" Target="http://www.cdc.gov/nchs/data/nvsr/nvsr59/nvsr59_08.pdf" TargetMode="External"/><Relationship Id="rId43" Type="http://schemas.openxmlformats.org/officeDocument/2006/relationships/hyperlink" Target="https://www.hqsc.govt.nz/resources/resource-library/summary-of-perinatal-and-maternal-mortality-review-committee-pmmrc-reports/" TargetMode="External"/><Relationship Id="rId48" Type="http://schemas.openxmlformats.org/officeDocument/2006/relationships/hyperlink" Target="http://apps.who.int/iris/bitstream/10665/70929/1/9789241548458_eng.pdf?ua=1"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who.int/healthinfo/statistics/indmaternalmortality/en/" TargetMode="External"/><Relationship Id="rId25" Type="http://schemas.openxmlformats.org/officeDocument/2006/relationships/hyperlink" Target="http://www.otago.ac.nz/wellington/otago020337.pdf" TargetMode="External"/><Relationship Id="rId33" Type="http://schemas.openxmlformats.org/officeDocument/2006/relationships/hyperlink" Target="https://meteor.aihw.gov.au/content/778883" TargetMode="External"/><Relationship Id="rId38" Type="http://schemas.openxmlformats.org/officeDocument/2006/relationships/hyperlink" Target="https://timms.le.ac.uk/mbrrace-uk-perinatal-mortality/surveillance/technical-manual.html" TargetMode="External"/><Relationship Id="rId46" Type="http://schemas.openxmlformats.org/officeDocument/2006/relationships/hyperlink" Target="http://www.who.int/data/gho/indicator-metadata-registry/imr-details/26" TargetMode="External"/><Relationship Id="rId20" Type="http://schemas.openxmlformats.org/officeDocument/2006/relationships/hyperlink" Target="https://www.health.govt.nz/publication/hiso-100012017-ethnicity-data-protocols" TargetMode="External"/><Relationship Id="rId41" Type="http://schemas.openxmlformats.org/officeDocument/2006/relationships/hyperlink" Target="http://www.hqsc.govt.nz/our-programmes/mrc/pmmrc/publications-and-resources/publication/2123"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tewhatuora.shinyapps.io/report-on-maternity-web-tool/" TargetMode="External"/><Relationship Id="rId2" Type="http://schemas.openxmlformats.org/officeDocument/2006/relationships/hyperlink" Target="https://stillbirthcre.org.au/wp-content/uploads/2021/03/Section-7-PSANZ-Classification-of-perinatal-deaths-V4.3-121219.pdf" TargetMode="External"/><Relationship Id="rId1" Type="http://schemas.openxmlformats.org/officeDocument/2006/relationships/hyperlink" Target="http://www.legislation.govt.nz/act/public/1995/0016/latest/whole.html" TargetMode="External"/><Relationship Id="rId4" Type="http://schemas.openxmlformats.org/officeDocument/2006/relationships/hyperlink" Target="https://www.tewhatuora.govt.nz/for-the-health-sector/maternity/aotearoa-badgernet-perinatal-spine/" TargetMode="External"/></Relationships>
</file>

<file path=word/theme/theme1.xml><?xml version="1.0" encoding="utf-8"?>
<a:theme xmlns:a="http://schemas.openxmlformats.org/drawingml/2006/main" name="Office Theme">
  <a:themeElements>
    <a:clrScheme name="PMMRC">
      <a:dk1>
        <a:sysClr val="windowText" lastClr="000000"/>
      </a:dk1>
      <a:lt1>
        <a:sysClr val="window" lastClr="FFFFFF"/>
      </a:lt1>
      <a:dk2>
        <a:srgbClr val="1F497D"/>
      </a:dk2>
      <a:lt2>
        <a:srgbClr val="EEECE1"/>
      </a:lt2>
      <a:accent1>
        <a:srgbClr val="E31B23"/>
      </a:accent1>
      <a:accent2>
        <a:srgbClr val="B0B7BC"/>
      </a:accent2>
      <a:accent3>
        <a:srgbClr val="006F86"/>
      </a:accent3>
      <a:accent4>
        <a:srgbClr val="F09377"/>
      </a:accent4>
      <a:accent5>
        <a:srgbClr val="8BB9C8"/>
      </a:accent5>
      <a:accent6>
        <a:srgbClr val="D4A67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ef9904b-9bca-4a1b-aca3-78dad2044d15">DOCS-1129490080-87496</_dlc_DocId>
    <_dlc_DocIdUrl xmlns="bef9904b-9bca-4a1b-aca3-78dad2044d15">
      <Url>https://hqsc.sharepoint.com/sites/dms-comms/_layouts/15/DocIdRedir.aspx?ID=DOCS-1129490080-87496</Url>
      <Description>DOCS-1129490080-87496</Description>
    </_dlc_DocIdUrl>
    <TaxCatchAll xmlns="bef9904b-9bca-4a1b-aca3-78dad2044d15" xsi:nil="true"/>
    <lcf76f155ced4ddcb4097134ff3c332f xmlns="83c1f819-1d2e-4aad-8c9d-234667bc502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5" ma:contentTypeDescription="Create a new document." ma:contentTypeScope="" ma:versionID="30f13bc92687d36d5ab6a61f3bb8b0ff">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97bf6b177eb481fbaf016602c9db6c34"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7741A0-BF5D-4894-9D3D-9F45D364310F}">
  <ds:schemaRefs>
    <ds:schemaRef ds:uri="http://purl.org/dc/dcmitype/"/>
    <ds:schemaRef ds:uri="83c1f819-1d2e-4aad-8c9d-234667bc5029"/>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bef9904b-9bca-4a1b-aca3-78dad2044d15"/>
    <ds:schemaRef ds:uri="http://schemas.microsoft.com/office/2006/metadata/properties"/>
  </ds:schemaRefs>
</ds:datastoreItem>
</file>

<file path=customXml/itemProps2.xml><?xml version="1.0" encoding="utf-8"?>
<ds:datastoreItem xmlns:ds="http://schemas.openxmlformats.org/officeDocument/2006/customXml" ds:itemID="{B2AC9C1B-9DEC-4E89-899F-02B36781B360}">
  <ds:schemaRefs>
    <ds:schemaRef ds:uri="http://schemas.openxmlformats.org/officeDocument/2006/bibliography"/>
  </ds:schemaRefs>
</ds:datastoreItem>
</file>

<file path=customXml/itemProps3.xml><?xml version="1.0" encoding="utf-8"?>
<ds:datastoreItem xmlns:ds="http://schemas.openxmlformats.org/officeDocument/2006/customXml" ds:itemID="{1C90D111-884B-43FE-A32A-118312A1A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1FB74-A2BF-47BF-A432-F9965C98E8EE}">
  <ds:schemaRefs>
    <ds:schemaRef ds:uri="http://schemas.microsoft.com/sharepoint/v3/contenttype/forms"/>
  </ds:schemaRefs>
</ds:datastoreItem>
</file>

<file path=customXml/itemProps5.xml><?xml version="1.0" encoding="utf-8"?>
<ds:datastoreItem xmlns:ds="http://schemas.openxmlformats.org/officeDocument/2006/customXml" ds:itemID="{030C5686-579A-46CC-B0E6-A804D3B5D767}">
  <ds:schemaRefs>
    <ds:schemaRef ds:uri="http://schemas.microsoft.com/sharepoint/events"/>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22</Pages>
  <Words>8224</Words>
  <Characters>46880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NZMRDG</dc:creator>
  <cp:lastModifiedBy>Jocasta Whittingham</cp:lastModifiedBy>
  <cp:revision>7</cp:revision>
  <cp:lastPrinted>2018-04-18T01:58:00Z</cp:lastPrinted>
  <dcterms:created xsi:type="dcterms:W3CDTF">2024-06-26T03:38:00Z</dcterms:created>
  <dcterms:modified xsi:type="dcterms:W3CDTF">2024-06-26T03:41:00Z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NewReviewCycle">
    <vt:lpwstr/>
  </property>
  <property fmtid="{D5CDD505-2E9C-101B-9397-08002B2CF9AE}" pid="4" name="MediaServiceImageTags">
    <vt:lpwstr/>
  </property>
  <property fmtid="{D5CDD505-2E9C-101B-9397-08002B2CF9AE}" pid="5" name="_dlc_DocIdItemGuid">
    <vt:lpwstr>a6ba817b-3be7-46eb-b60e-3883c7eb3785</vt:lpwstr>
  </property>
</Properties>
</file>