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38AB" w14:textId="77777777" w:rsidR="00AF57B3" w:rsidRPr="006D1081" w:rsidRDefault="009C1104" w:rsidP="00A55AD4">
      <w:pPr>
        <w:pStyle w:val="HQSCbodytext"/>
      </w:pPr>
      <w:r w:rsidRPr="006D1081">
        <w:rPr>
          <w:noProof/>
        </w:rPr>
        <w:drawing>
          <wp:anchor distT="0" distB="0" distL="114300" distR="114300" simplePos="0" relativeHeight="251658240" behindDoc="1" locked="0" layoutInCell="1" allowOverlap="1" wp14:anchorId="442C831D" wp14:editId="4D6E448D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1254" cy="1930400"/>
            <wp:effectExtent l="0" t="0" r="3175" b="0"/>
            <wp:wrapNone/>
            <wp:docPr id="5" name="Picture 5" descr="Blue background with a white tohu (Māori design) on the left and a white version of the Health Quality &amp; Safety Commission logo on the right. The logo is made up of the words Health Quality &amp; Safety Commission with the words Te Tāhū Hauora underneath. Alongside is a stylised version of a wharenui in a triangle shape, with the tāhū (ridgepole), heke (rafters) and niho taniwha (triangle pattern) bene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lue background with a white tohu (Māori design) on the left and a white version of the Health Quality &amp; Safety Commission logo on the right. The logo is made up of the words Health Quality &amp; Safety Commission with the words Te Tāhū Hauora underneath. Alongside is a stylised version of a wharenui in a triangle shape, with the tāhū (ridgepole), heke (rafters) and niho taniwha (triangle pattern) beneath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54" cy="193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0C7B1" w14:textId="77777777" w:rsidR="00AF57B3" w:rsidRPr="006D1081" w:rsidRDefault="00AF57B3" w:rsidP="00A313E6">
      <w:pPr>
        <w:pStyle w:val="HQSChead1"/>
        <w:rPr>
          <w:sz w:val="32"/>
          <w:szCs w:val="28"/>
        </w:rPr>
      </w:pPr>
    </w:p>
    <w:p w14:paraId="7DB45E3A" w14:textId="77777777" w:rsidR="00B24913" w:rsidRPr="006D1081" w:rsidRDefault="00B24913" w:rsidP="00A313E6">
      <w:pPr>
        <w:pStyle w:val="HQSChead1"/>
        <w:rPr>
          <w:sz w:val="32"/>
          <w:szCs w:val="28"/>
        </w:rPr>
      </w:pPr>
    </w:p>
    <w:p w14:paraId="66E746E8" w14:textId="7E040D78" w:rsidR="00574A44" w:rsidRPr="00A55AD4" w:rsidRDefault="00574A44" w:rsidP="00792E41">
      <w:pPr>
        <w:pStyle w:val="HQSCbodytext"/>
        <w:rPr>
          <w:rFonts w:eastAsiaTheme="majorEastAsia"/>
          <w:b/>
          <w:color w:val="2C2568" w:themeColor="accent1"/>
          <w:sz w:val="36"/>
          <w:szCs w:val="36"/>
          <w:highlight w:val="yellow"/>
        </w:rPr>
      </w:pPr>
      <w:bookmarkStart w:id="0" w:name="_Hlk215580324"/>
      <w:bookmarkStart w:id="1" w:name="_Toc494090983"/>
      <w:r w:rsidRPr="00A55AD4">
        <w:rPr>
          <w:rFonts w:eastAsiaTheme="majorEastAsia"/>
          <w:b/>
          <w:color w:val="2C2568" w:themeColor="accent1"/>
          <w:sz w:val="36"/>
          <w:szCs w:val="36"/>
        </w:rPr>
        <w:t>Monitoring Sudden Unexpected Death in Infancy</w:t>
      </w:r>
    </w:p>
    <w:p w14:paraId="28BC4AB3" w14:textId="5AED912D" w:rsidR="00640734" w:rsidRPr="00574A44" w:rsidRDefault="00FE23A0" w:rsidP="00792E41">
      <w:pPr>
        <w:pStyle w:val="HQSCbodytext"/>
        <w:rPr>
          <w:rFonts w:eastAsiaTheme="majorEastAsia"/>
          <w:b/>
          <w:color w:val="2C2568" w:themeColor="accent1"/>
          <w:sz w:val="36"/>
          <w:szCs w:val="36"/>
          <w:lang w:val="pt-BR"/>
        </w:rPr>
      </w:pPr>
      <w:r w:rsidRPr="00574A44" w:rsidDel="00B43F08">
        <w:rPr>
          <w:rFonts w:eastAsiaTheme="majorEastAsia"/>
          <w:b/>
          <w:color w:val="2C2568" w:themeColor="accent1"/>
          <w:sz w:val="36"/>
          <w:szCs w:val="36"/>
          <w:lang w:val="pt-BR"/>
        </w:rPr>
        <w:t>Ko te Mana o te Pēpi</w:t>
      </w:r>
    </w:p>
    <w:p w14:paraId="2FEFD593" w14:textId="32A8A257" w:rsidR="00E87D44" w:rsidRDefault="003F1052" w:rsidP="00E87D44">
      <w:pPr>
        <w:pStyle w:val="HQSChead3"/>
        <w:rPr>
          <w:lang w:val="en-US"/>
        </w:rPr>
      </w:pPr>
      <w:r w:rsidRPr="00E33D67">
        <w:rPr>
          <w:lang w:val="en-US"/>
        </w:rPr>
        <w:t>January</w:t>
      </w:r>
      <w:r w:rsidRPr="00A55AD4">
        <w:rPr>
          <w:lang w:val="en-US"/>
        </w:rPr>
        <w:t xml:space="preserve"> </w:t>
      </w:r>
      <w:r w:rsidR="00E87D44" w:rsidRPr="00A55AD4">
        <w:rPr>
          <w:lang w:val="en-US"/>
        </w:rPr>
        <w:t>202</w:t>
      </w:r>
      <w:r w:rsidRPr="00A55AD4">
        <w:rPr>
          <w:lang w:val="en-US"/>
        </w:rPr>
        <w:t>6</w:t>
      </w:r>
    </w:p>
    <w:bookmarkEnd w:id="0"/>
    <w:p w14:paraId="2F44A781" w14:textId="77777777" w:rsidR="00F60D85" w:rsidRDefault="00FE23A0" w:rsidP="00FE23A0">
      <w:pPr>
        <w:pStyle w:val="HQSCbodytext"/>
      </w:pPr>
      <w:r w:rsidRPr="00FE23A0">
        <w:t xml:space="preserve">Sudden Unexpected Death in Infancy </w:t>
      </w:r>
      <w:r w:rsidR="00051942">
        <w:t xml:space="preserve">(SUDI) </w:t>
      </w:r>
      <w:r w:rsidRPr="00FE23A0">
        <w:t xml:space="preserve">continues to be a major contributor to infant mortality in New Zealand. </w:t>
      </w:r>
    </w:p>
    <w:p w14:paraId="347EE959" w14:textId="3F0B4AE2" w:rsidR="00640734" w:rsidRDefault="00744371" w:rsidP="00FE23A0">
      <w:pPr>
        <w:pStyle w:val="HQSCbodytext"/>
      </w:pPr>
      <w:r>
        <w:t xml:space="preserve">We </w:t>
      </w:r>
      <w:r w:rsidR="006621D1">
        <w:t>acknowledge the</w:t>
      </w:r>
      <w:r w:rsidR="003D3143">
        <w:t xml:space="preserve"> </w:t>
      </w:r>
      <w:r w:rsidR="00FF4FAA">
        <w:t xml:space="preserve">pain </w:t>
      </w:r>
      <w:r w:rsidR="006621D1">
        <w:t xml:space="preserve">still keenly felt </w:t>
      </w:r>
      <w:r w:rsidR="00651CEF">
        <w:t xml:space="preserve">by the </w:t>
      </w:r>
      <w:r w:rsidR="0092204F">
        <w:t xml:space="preserve">more than </w:t>
      </w:r>
      <w:r w:rsidR="00651CEF">
        <w:t xml:space="preserve">1000 families </w:t>
      </w:r>
      <w:r w:rsidR="00F71A74">
        <w:t xml:space="preserve">who have lost an infant to SUDI </w:t>
      </w:r>
      <w:r w:rsidR="00D1547B">
        <w:t>in the last two decades</w:t>
      </w:r>
      <w:r w:rsidR="00F0571C">
        <w:t>.</w:t>
      </w:r>
    </w:p>
    <w:p w14:paraId="6002749C" w14:textId="3CE1327C" w:rsidR="00FE23A0" w:rsidRPr="00FE23A0" w:rsidDel="00F60D85" w:rsidRDefault="0028072F" w:rsidP="00FE23A0">
      <w:pPr>
        <w:pStyle w:val="HQSCbodytext"/>
      </w:pPr>
      <w:r>
        <w:t xml:space="preserve">This report is a change to </w:t>
      </w:r>
      <w:r w:rsidR="00B00499">
        <w:t>how we monitor</w:t>
      </w:r>
      <w:r w:rsidR="00FD5104">
        <w:t xml:space="preserve"> SUDI</w:t>
      </w:r>
      <w:r w:rsidR="00FE23A0" w:rsidRPr="00FE23A0">
        <w:t xml:space="preserve"> making </w:t>
      </w:r>
      <w:r w:rsidR="00FD5104">
        <w:t>updates</w:t>
      </w:r>
      <w:r w:rsidR="00FE23A0" w:rsidRPr="00FE23A0">
        <w:t xml:space="preserve"> </w:t>
      </w:r>
      <w:r w:rsidR="00506FE9">
        <w:t>more timely</w:t>
      </w:r>
      <w:r w:rsidR="00FD5104">
        <w:t xml:space="preserve"> and </w:t>
      </w:r>
      <w:r w:rsidR="00FE23A0" w:rsidRPr="00FE23A0">
        <w:t>more accessible</w:t>
      </w:r>
      <w:r w:rsidR="00FD5104">
        <w:t xml:space="preserve">. </w:t>
      </w:r>
      <w:r>
        <w:t xml:space="preserve">It </w:t>
      </w:r>
      <w:r w:rsidR="009F00BA">
        <w:t>contributes</w:t>
      </w:r>
      <w:r>
        <w:t xml:space="preserve"> </w:t>
      </w:r>
      <w:r w:rsidR="00FE23A0" w:rsidRPr="00FE23A0">
        <w:t xml:space="preserve">to </w:t>
      </w:r>
      <w:r w:rsidR="009F00BA">
        <w:t xml:space="preserve">the </w:t>
      </w:r>
      <w:r>
        <w:t>significant</w:t>
      </w:r>
      <w:r w:rsidR="00FE23A0" w:rsidRPr="00FE23A0">
        <w:t xml:space="preserve"> efforts being made to reduce </w:t>
      </w:r>
      <w:r w:rsidR="002103E0">
        <w:t>these preventable</w:t>
      </w:r>
      <w:r w:rsidR="00B673EE">
        <w:t xml:space="preserve"> death</w:t>
      </w:r>
      <w:r w:rsidR="00F60D85">
        <w:t>s</w:t>
      </w:r>
      <w:r w:rsidR="00E641B1">
        <w:t xml:space="preserve">, </w:t>
      </w:r>
      <w:r w:rsidR="00E155D3">
        <w:t xml:space="preserve">including the refreshed SUDI </w:t>
      </w:r>
      <w:r w:rsidR="00066F81">
        <w:t>s</w:t>
      </w:r>
      <w:r w:rsidR="00E155D3">
        <w:t xml:space="preserve">afe </w:t>
      </w:r>
      <w:r w:rsidR="00066F81">
        <w:t>s</w:t>
      </w:r>
      <w:r w:rsidR="00E155D3">
        <w:t>lee</w:t>
      </w:r>
      <w:r w:rsidR="00B920A4">
        <w:t xml:space="preserve">p </w:t>
      </w:r>
      <w:r w:rsidR="00786D2D">
        <w:t>messages</w:t>
      </w:r>
      <w:r>
        <w:t xml:space="preserve"> developed by </w:t>
      </w:r>
      <w:proofErr w:type="spellStart"/>
      <w:r>
        <w:t>Hāpai</w:t>
      </w:r>
      <w:proofErr w:type="spellEnd"/>
      <w:r>
        <w:t xml:space="preserve"> Te </w:t>
      </w:r>
      <w:r w:rsidR="003F57BD">
        <w:t>Hauora,</w:t>
      </w:r>
      <w:r w:rsidR="00E66CA5">
        <w:t xml:space="preserve"> and</w:t>
      </w:r>
      <w:r w:rsidR="00B920A4">
        <w:t xml:space="preserve"> the </w:t>
      </w:r>
      <w:r w:rsidR="00F17388">
        <w:t>work</w:t>
      </w:r>
      <w:r w:rsidR="00B920A4">
        <w:t xml:space="preserve"> Health New Zealand</w:t>
      </w:r>
      <w:r w:rsidR="00066F81">
        <w:t xml:space="preserve"> </w:t>
      </w:r>
      <w:r w:rsidR="00A04EF2">
        <w:t>|</w:t>
      </w:r>
      <w:r w:rsidR="00066F81">
        <w:t xml:space="preserve"> Te Whatu Ora</w:t>
      </w:r>
      <w:r w:rsidR="006A2ABD">
        <w:t xml:space="preserve"> and </w:t>
      </w:r>
      <w:r w:rsidR="00AA436C">
        <w:t>service providers are</w:t>
      </w:r>
      <w:r w:rsidR="00182A01">
        <w:t xml:space="preserve"> doing</w:t>
      </w:r>
      <w:r w:rsidR="00013164">
        <w:t xml:space="preserve"> to reduce SUDI</w:t>
      </w:r>
      <w:r w:rsidR="00B920A4">
        <w:t>.</w:t>
      </w:r>
    </w:p>
    <w:p w14:paraId="64D61CE5" w14:textId="0E6E7854" w:rsidR="00D65221" w:rsidRDefault="00122D8F" w:rsidP="00F60D85">
      <w:pPr>
        <w:pStyle w:val="HQSChead2"/>
      </w:pPr>
      <w:r>
        <w:t xml:space="preserve">What the </w:t>
      </w:r>
      <w:r w:rsidR="0028072F">
        <w:t>monitoring</w:t>
      </w:r>
      <w:r>
        <w:t xml:space="preserve"> </w:t>
      </w:r>
      <w:r w:rsidR="001C0EF8">
        <w:t xml:space="preserve">information </w:t>
      </w:r>
      <w:r>
        <w:t>shows</w:t>
      </w:r>
    </w:p>
    <w:p w14:paraId="265E1276" w14:textId="1DD14F94" w:rsidR="00F81352" w:rsidRDefault="00E6525C" w:rsidP="00F81352">
      <w:pPr>
        <w:pStyle w:val="HQSCbullets"/>
        <w:ind w:left="357" w:hanging="357"/>
      </w:pPr>
      <w:r w:rsidRPr="00F81352">
        <w:t xml:space="preserve">The current national SUDI </w:t>
      </w:r>
      <w:r w:rsidR="00F60D85">
        <w:t>rate</w:t>
      </w:r>
      <w:r w:rsidR="00F60D85" w:rsidRPr="00F81352">
        <w:t xml:space="preserve"> </w:t>
      </w:r>
      <w:r w:rsidRPr="00F81352">
        <w:t>is 0.8 per 1000 live births</w:t>
      </w:r>
      <w:r w:rsidR="00F60D85">
        <w:t>.</w:t>
      </w:r>
    </w:p>
    <w:p w14:paraId="2290B8B0" w14:textId="33294C3C" w:rsidR="00E6525C" w:rsidRPr="00F81352" w:rsidRDefault="00E6525C" w:rsidP="00F81352">
      <w:pPr>
        <w:pStyle w:val="HQSCbullets"/>
        <w:ind w:left="357" w:hanging="357"/>
      </w:pPr>
      <w:r w:rsidRPr="00F81352">
        <w:rPr>
          <w:lang w:val="en-US"/>
        </w:rPr>
        <w:t xml:space="preserve">The </w:t>
      </w:r>
      <w:r w:rsidR="00C53CDB">
        <w:rPr>
          <w:lang w:val="en-US"/>
        </w:rPr>
        <w:t xml:space="preserve">goal </w:t>
      </w:r>
      <w:r w:rsidR="00C53CDB" w:rsidRPr="00F81352">
        <w:rPr>
          <w:lang w:val="en-US"/>
        </w:rPr>
        <w:t>set</w:t>
      </w:r>
      <w:r w:rsidRPr="00F81352">
        <w:rPr>
          <w:lang w:val="en-US"/>
        </w:rPr>
        <w:t xml:space="preserve"> by government to reduce SUDI rate</w:t>
      </w:r>
      <w:r w:rsidR="00F60D85">
        <w:rPr>
          <w:lang w:val="en-US"/>
        </w:rPr>
        <w:t>s</w:t>
      </w:r>
      <w:r w:rsidRPr="00F81352">
        <w:rPr>
          <w:lang w:val="en-US"/>
        </w:rPr>
        <w:t xml:space="preserve"> to 0.1 deaths per 1</w:t>
      </w:r>
      <w:r w:rsidR="00F60D85">
        <w:rPr>
          <w:lang w:val="en-US"/>
        </w:rPr>
        <w:t>,</w:t>
      </w:r>
      <w:r w:rsidRPr="00F81352">
        <w:rPr>
          <w:lang w:val="en-US"/>
        </w:rPr>
        <w:t>000 live births by 2025 is very unlikely to be met.</w:t>
      </w:r>
    </w:p>
    <w:p w14:paraId="1F717309" w14:textId="6BAB15FF" w:rsidR="00D65221" w:rsidRDefault="00D65221" w:rsidP="0022252D">
      <w:pPr>
        <w:pStyle w:val="HQSCbullets"/>
      </w:pPr>
      <w:r w:rsidRPr="001412CB" w:rsidDel="00237C5E">
        <w:t xml:space="preserve">SUDI </w:t>
      </w:r>
      <w:r w:rsidRPr="001412CB">
        <w:t>rate</w:t>
      </w:r>
      <w:r w:rsidR="00B21DEA" w:rsidRPr="001412CB">
        <w:t>s are</w:t>
      </w:r>
      <w:r w:rsidRPr="001412CB" w:rsidDel="00B21DEA">
        <w:t xml:space="preserve"> </w:t>
      </w:r>
      <w:r w:rsidRPr="001412CB">
        <w:t xml:space="preserve">highest in areas of greater social and economic deprivation. </w:t>
      </w:r>
    </w:p>
    <w:p w14:paraId="71241F96" w14:textId="1FB4A03F" w:rsidR="00F81352" w:rsidRDefault="00AA62DB" w:rsidP="00AA62DB">
      <w:pPr>
        <w:pStyle w:val="HQSCbullets"/>
      </w:pPr>
      <w:r>
        <w:t xml:space="preserve">Northland, Counties Manukau, </w:t>
      </w:r>
      <w:proofErr w:type="spellStart"/>
      <w:r>
        <w:t>Tairāwhiti</w:t>
      </w:r>
      <w:proofErr w:type="spellEnd"/>
      <w:r>
        <w:t xml:space="preserve">, Whanganui, Hawke’s Bay and South Canterbury </w:t>
      </w:r>
      <w:r w:rsidR="00CF75CD">
        <w:t xml:space="preserve">have SUDI </w:t>
      </w:r>
      <w:r>
        <w:t>rates above the national average</w:t>
      </w:r>
      <w:r w:rsidR="00CF75CD">
        <w:t>.</w:t>
      </w:r>
    </w:p>
    <w:p w14:paraId="680A585A" w14:textId="77777777" w:rsidR="008343D7" w:rsidRDefault="008343D7" w:rsidP="008343D7">
      <w:pPr>
        <w:pStyle w:val="HQSCbullets"/>
      </w:pPr>
      <w:r>
        <w:t>The highest SUDI risk period is in the first four months of life.</w:t>
      </w:r>
    </w:p>
    <w:p w14:paraId="695FEF2D" w14:textId="290BE21D" w:rsidR="008343D7" w:rsidRPr="001412CB" w:rsidRDefault="008343D7" w:rsidP="008343D7">
      <w:pPr>
        <w:pStyle w:val="HQSCbullets"/>
      </w:pPr>
      <w:r>
        <w:t xml:space="preserve">There is an increased risk of SUDI for premature babies. </w:t>
      </w:r>
    </w:p>
    <w:p w14:paraId="474A926D" w14:textId="5B500784" w:rsidR="00AE149C" w:rsidRPr="001412CB" w:rsidRDefault="00D65221" w:rsidP="001412CB">
      <w:pPr>
        <w:pStyle w:val="HQSCbullets"/>
      </w:pPr>
      <w:r w:rsidRPr="001412CB" w:rsidDel="00B21DEA">
        <w:t xml:space="preserve">The SUDI </w:t>
      </w:r>
      <w:r w:rsidR="00AE149C" w:rsidRPr="001412CB">
        <w:t xml:space="preserve">rate is higher for Māori and Pacific </w:t>
      </w:r>
      <w:r w:rsidR="008B04F5" w:rsidRPr="001412CB">
        <w:t>i</w:t>
      </w:r>
      <w:r w:rsidR="00AE149C" w:rsidRPr="001412CB">
        <w:t xml:space="preserve">nfants. </w:t>
      </w:r>
    </w:p>
    <w:p w14:paraId="11686004" w14:textId="4D7A30BA" w:rsidR="00754956" w:rsidRPr="00754956" w:rsidRDefault="00754956" w:rsidP="00F60D85">
      <w:pPr>
        <w:pStyle w:val="HQSChead2"/>
      </w:pPr>
      <w:r w:rsidRPr="00754956">
        <w:t xml:space="preserve">National SUDI mortality rate </w:t>
      </w:r>
    </w:p>
    <w:p w14:paraId="06434FB2" w14:textId="45A5F692" w:rsidR="00DB5E32" w:rsidRDefault="006F495F" w:rsidP="00174907">
      <w:pPr>
        <w:pStyle w:val="HQSCbodytext"/>
      </w:pPr>
      <w:r>
        <w:t>The rate of SUDI in New Zealand is not reducing</w:t>
      </w:r>
      <w:r w:rsidR="00A96233">
        <w:t xml:space="preserve"> </w:t>
      </w:r>
      <w:r w:rsidR="0018224B">
        <w:t>(Figure 1)</w:t>
      </w:r>
      <w:r>
        <w:t xml:space="preserve">. </w:t>
      </w:r>
      <w:r w:rsidR="00174907">
        <w:t xml:space="preserve">A goal set in 2017 </w:t>
      </w:r>
      <w:r>
        <w:t>under the National SUDI Prevention Programme was to reduce the rate of SUDI from 0.7 per 1,000 live births to 0.1 per 1,000 live births by 2025.</w:t>
      </w:r>
    </w:p>
    <w:p w14:paraId="6D96D023" w14:textId="54E5E0C3" w:rsidR="006F495F" w:rsidRDefault="005B5A3E" w:rsidP="00713C5D">
      <w:pPr>
        <w:pStyle w:val="HQSCbodytext"/>
      </w:pPr>
      <w:r>
        <w:t>Th</w:t>
      </w:r>
      <w:r w:rsidR="00420F2E">
        <w:t>is</w:t>
      </w:r>
      <w:r>
        <w:t xml:space="preserve"> report uses </w:t>
      </w:r>
      <w:r w:rsidRPr="005B5A3E">
        <w:t>confirmed and estimated data</w:t>
      </w:r>
      <w:r w:rsidR="00BE5170">
        <w:t xml:space="preserve"> to estimate the current </w:t>
      </w:r>
      <w:r w:rsidR="00353D5F">
        <w:t xml:space="preserve">mortality rate. </w:t>
      </w:r>
      <w:bookmarkStart w:id="2" w:name="_Hlk218673781"/>
      <w:r w:rsidR="006F495F" w:rsidRPr="00174907">
        <w:t>The rate for the 2019 to 2023 period was 0.8 deaths per 1</w:t>
      </w:r>
      <w:r w:rsidR="00F60D85">
        <w:t>,</w:t>
      </w:r>
      <w:r w:rsidR="006F495F" w:rsidRPr="00174907">
        <w:t>000 live births</w:t>
      </w:r>
      <w:bookmarkEnd w:id="2"/>
      <w:r w:rsidR="00AA66E3">
        <w:t xml:space="preserve">. </w:t>
      </w:r>
      <w:r w:rsidR="00713C5D" w:rsidRPr="00713C5D">
        <w:t>There was a substantial decrease in the rate of SUDI from 2007 to 2012. However, the decrease has since stalled.</w:t>
      </w:r>
    </w:p>
    <w:p w14:paraId="48FEEB5B" w14:textId="76B8FDC7" w:rsidR="000F0DDA" w:rsidRPr="008A49E8" w:rsidRDefault="003C62C3" w:rsidP="00324F95">
      <w:pPr>
        <w:pStyle w:val="HQSChead2"/>
      </w:pPr>
      <w:r>
        <w:lastRenderedPageBreak/>
        <w:t>D</w:t>
      </w:r>
      <w:r w:rsidR="000F0DDA">
        <w:t xml:space="preserve">ata used to </w:t>
      </w:r>
      <w:r w:rsidR="00E72271">
        <w:t>m</w:t>
      </w:r>
      <w:r w:rsidR="003F05F7">
        <w:t>onitor</w:t>
      </w:r>
      <w:r w:rsidR="000F0DDA">
        <w:t xml:space="preserve"> recent SUDI rates </w:t>
      </w:r>
    </w:p>
    <w:p w14:paraId="591BCB86" w14:textId="553FA13C" w:rsidR="003C3067" w:rsidRDefault="005D15D7" w:rsidP="00541B19">
      <w:pPr>
        <w:pStyle w:val="HQSCbodytext"/>
      </w:pPr>
      <w:r>
        <w:t>To</w:t>
      </w:r>
      <w:r w:rsidR="000F0DDA">
        <w:t xml:space="preserve"> enhance reporting </w:t>
      </w:r>
      <w:r>
        <w:t xml:space="preserve">timeliness, </w:t>
      </w:r>
      <w:r w:rsidR="004A2DA6">
        <w:t>the</w:t>
      </w:r>
      <w:r w:rsidR="005F1E96">
        <w:t xml:space="preserve"> data presented here</w:t>
      </w:r>
      <w:r w:rsidR="00541B19">
        <w:t xml:space="preserve"> </w:t>
      </w:r>
      <w:r w:rsidR="000F0DDA">
        <w:t>consider</w:t>
      </w:r>
      <w:r w:rsidR="000C0484">
        <w:t>s</w:t>
      </w:r>
      <w:r w:rsidR="000F0DDA">
        <w:t xml:space="preserve"> pr</w:t>
      </w:r>
      <w:r>
        <w:t>eli</w:t>
      </w:r>
      <w:r w:rsidR="00E4186C">
        <w:t>minary</w:t>
      </w:r>
      <w:r w:rsidR="000F0DDA">
        <w:t xml:space="preserve"> </w:t>
      </w:r>
      <w:r w:rsidR="00B87F25">
        <w:t>and</w:t>
      </w:r>
      <w:r w:rsidR="00D273E0">
        <w:t xml:space="preserve"> confirmed </w:t>
      </w:r>
      <w:r w:rsidR="00BA5331">
        <w:t xml:space="preserve">cases </w:t>
      </w:r>
      <w:r w:rsidR="004975FB">
        <w:t xml:space="preserve">to estimate </w:t>
      </w:r>
      <w:r w:rsidR="002B255D">
        <w:t>SUDI rates</w:t>
      </w:r>
      <w:r w:rsidR="00541B19">
        <w:t>.</w:t>
      </w:r>
      <w:r w:rsidR="00F60D85">
        <w:t xml:space="preserve"> </w:t>
      </w:r>
      <w:r w:rsidR="007E1EB2">
        <w:t>In addition:</w:t>
      </w:r>
    </w:p>
    <w:p w14:paraId="49C04AA5" w14:textId="67CA9113" w:rsidR="003C3067" w:rsidRPr="00F60D85" w:rsidRDefault="64832150" w:rsidP="008A4D1C">
      <w:pPr>
        <w:pStyle w:val="HQSCbullets"/>
      </w:pPr>
      <w:r w:rsidRPr="00F60D85">
        <w:t>rates are calculated based on</w:t>
      </w:r>
      <w:r w:rsidR="177C442E" w:rsidRPr="00F60D85">
        <w:t xml:space="preserve"> the birth cohort rather than the year of death to </w:t>
      </w:r>
      <w:r w:rsidR="582270E7" w:rsidRPr="00F60D85">
        <w:t>account for</w:t>
      </w:r>
      <w:r w:rsidR="177C442E" w:rsidRPr="00F60D85">
        <w:t xml:space="preserve"> variations in the birth rate</w:t>
      </w:r>
    </w:p>
    <w:p w14:paraId="3F0B104A" w14:textId="1E4913F7" w:rsidR="003C3067" w:rsidRDefault="177C442E" w:rsidP="008A4D1C">
      <w:pPr>
        <w:pStyle w:val="HQSCbullets"/>
      </w:pPr>
      <w:r w:rsidRPr="00F60D85">
        <w:t>population</w:t>
      </w:r>
      <w:r>
        <w:t xml:space="preserve"> rates </w:t>
      </w:r>
      <w:r w:rsidR="006C796E">
        <w:t xml:space="preserve">are </w:t>
      </w:r>
      <w:r>
        <w:t xml:space="preserve">based on both </w:t>
      </w:r>
      <w:r w:rsidR="4CDE400F">
        <w:t>t</w:t>
      </w:r>
      <w:r>
        <w:t xml:space="preserve">otal and </w:t>
      </w:r>
      <w:r w:rsidR="4CDE400F">
        <w:t>p</w:t>
      </w:r>
      <w:r>
        <w:t>rioritised ethnicity data</w:t>
      </w:r>
      <w:r w:rsidR="00F60D85">
        <w:t>.</w:t>
      </w:r>
    </w:p>
    <w:p w14:paraId="553B6540" w14:textId="3CF7DDE0" w:rsidR="00D869FB" w:rsidRDefault="004C1731" w:rsidP="00934050">
      <w:pPr>
        <w:pStyle w:val="HQSCbodytext"/>
        <w:rPr>
          <w:lang w:eastAsia="en-NZ"/>
        </w:rPr>
      </w:pPr>
      <w:r w:rsidRPr="004C1731">
        <w:rPr>
          <w:lang w:eastAsia="en-NZ"/>
        </w:rPr>
        <w:t xml:space="preserve">Until now, </w:t>
      </w:r>
      <w:r w:rsidR="004309FD">
        <w:rPr>
          <w:lang w:eastAsia="en-NZ"/>
        </w:rPr>
        <w:t>we have</w:t>
      </w:r>
      <w:r w:rsidRPr="004C1731">
        <w:rPr>
          <w:lang w:eastAsia="en-NZ"/>
        </w:rPr>
        <w:t xml:space="preserve"> relied on </w:t>
      </w:r>
      <w:r w:rsidR="00E3636C">
        <w:rPr>
          <w:lang w:eastAsia="en-NZ"/>
        </w:rPr>
        <w:t xml:space="preserve">and published </w:t>
      </w:r>
      <w:r w:rsidRPr="004C1731">
        <w:rPr>
          <w:lang w:eastAsia="en-NZ"/>
        </w:rPr>
        <w:t xml:space="preserve">data that </w:t>
      </w:r>
      <w:r w:rsidR="00C65DD6">
        <w:rPr>
          <w:lang w:eastAsia="en-NZ"/>
        </w:rPr>
        <w:t>is</w:t>
      </w:r>
      <w:r w:rsidR="00C65DD6" w:rsidRPr="004C1731">
        <w:rPr>
          <w:lang w:eastAsia="en-NZ"/>
        </w:rPr>
        <w:t xml:space="preserve"> </w:t>
      </w:r>
      <w:r w:rsidRPr="004C1731">
        <w:rPr>
          <w:lang w:eastAsia="en-NZ"/>
        </w:rPr>
        <w:t>often 3 to 4 years old</w:t>
      </w:r>
      <w:r w:rsidR="00174E7F">
        <w:rPr>
          <w:lang w:eastAsia="en-NZ"/>
        </w:rPr>
        <w:t>.</w:t>
      </w:r>
      <w:r w:rsidRPr="004C1731">
        <w:rPr>
          <w:lang w:eastAsia="en-NZ"/>
        </w:rPr>
        <w:t xml:space="preserve"> This </w:t>
      </w:r>
      <w:r w:rsidR="000F3AF7">
        <w:rPr>
          <w:lang w:eastAsia="en-NZ"/>
        </w:rPr>
        <w:t>allow</w:t>
      </w:r>
      <w:r w:rsidR="00D93D6D">
        <w:rPr>
          <w:lang w:eastAsia="en-NZ"/>
        </w:rPr>
        <w:t>s</w:t>
      </w:r>
      <w:r w:rsidR="000F3AF7">
        <w:rPr>
          <w:lang w:eastAsia="en-NZ"/>
        </w:rPr>
        <w:t xml:space="preserve"> </w:t>
      </w:r>
      <w:r w:rsidR="00F85ABD">
        <w:rPr>
          <w:lang w:eastAsia="en-NZ"/>
        </w:rPr>
        <w:t xml:space="preserve">time for the </w:t>
      </w:r>
      <w:r w:rsidR="003A2BC1">
        <w:rPr>
          <w:lang w:eastAsia="en-NZ"/>
        </w:rPr>
        <w:t xml:space="preserve">data to reflect </w:t>
      </w:r>
      <w:r w:rsidR="00C65DD6">
        <w:rPr>
          <w:lang w:eastAsia="en-NZ"/>
        </w:rPr>
        <w:t xml:space="preserve">a </w:t>
      </w:r>
      <w:r w:rsidR="003A2BC1">
        <w:rPr>
          <w:lang w:eastAsia="en-NZ"/>
        </w:rPr>
        <w:t>c</w:t>
      </w:r>
      <w:r w:rsidR="003A2BC1" w:rsidRPr="004C1731">
        <w:rPr>
          <w:lang w:eastAsia="en-NZ"/>
        </w:rPr>
        <w:t>oroner</w:t>
      </w:r>
      <w:r w:rsidR="00BB4615">
        <w:rPr>
          <w:lang w:eastAsia="en-NZ"/>
        </w:rPr>
        <w:t>’</w:t>
      </w:r>
      <w:r w:rsidR="003A2BC1" w:rsidRPr="004C1731">
        <w:rPr>
          <w:lang w:eastAsia="en-NZ"/>
        </w:rPr>
        <w:t>s</w:t>
      </w:r>
      <w:r w:rsidR="003A2BC1">
        <w:rPr>
          <w:lang w:eastAsia="en-NZ"/>
        </w:rPr>
        <w:t xml:space="preserve"> consideration of the</w:t>
      </w:r>
      <w:r w:rsidRPr="004C1731">
        <w:rPr>
          <w:lang w:eastAsia="en-NZ"/>
        </w:rPr>
        <w:t xml:space="preserve"> cause of death. </w:t>
      </w:r>
    </w:p>
    <w:p w14:paraId="354ACD98" w14:textId="0CF9CF8A" w:rsidR="00A84062" w:rsidRPr="00CC39D7" w:rsidRDefault="00A84062" w:rsidP="00934050">
      <w:pPr>
        <w:pStyle w:val="HQSCbodytext"/>
        <w:rPr>
          <w:lang w:eastAsia="en-NZ"/>
        </w:rPr>
      </w:pPr>
      <w:r w:rsidRPr="00A84062">
        <w:rPr>
          <w:lang w:eastAsia="en-NZ"/>
        </w:rPr>
        <w:t xml:space="preserve">When there is </w:t>
      </w:r>
      <w:r w:rsidR="00D869FB">
        <w:rPr>
          <w:lang w:eastAsia="en-NZ"/>
        </w:rPr>
        <w:t xml:space="preserve">a time </w:t>
      </w:r>
      <w:r w:rsidRPr="00A84062">
        <w:rPr>
          <w:lang w:eastAsia="en-NZ"/>
        </w:rPr>
        <w:t>lag</w:t>
      </w:r>
      <w:r w:rsidR="00AE3A1D">
        <w:rPr>
          <w:lang w:eastAsia="en-NZ"/>
        </w:rPr>
        <w:t xml:space="preserve"> between </w:t>
      </w:r>
      <w:r w:rsidR="00C65DD6">
        <w:rPr>
          <w:lang w:eastAsia="en-NZ"/>
        </w:rPr>
        <w:t xml:space="preserve">a </w:t>
      </w:r>
      <w:r w:rsidR="00AE3A1D">
        <w:rPr>
          <w:lang w:eastAsia="en-NZ"/>
        </w:rPr>
        <w:t>death and monitoring reports</w:t>
      </w:r>
      <w:r w:rsidRPr="00A84062">
        <w:rPr>
          <w:lang w:eastAsia="en-NZ"/>
        </w:rPr>
        <w:t xml:space="preserve">, the information is less meaningful for the </w:t>
      </w:r>
      <w:r w:rsidR="001261A1">
        <w:rPr>
          <w:lang w:eastAsia="en-NZ"/>
        </w:rPr>
        <w:t xml:space="preserve">health </w:t>
      </w:r>
      <w:r w:rsidRPr="00A84062">
        <w:rPr>
          <w:lang w:eastAsia="en-NZ"/>
        </w:rPr>
        <w:t xml:space="preserve">sector as </w:t>
      </w:r>
      <w:r w:rsidR="001261A1">
        <w:rPr>
          <w:lang w:eastAsia="en-NZ"/>
        </w:rPr>
        <w:t>staff</w:t>
      </w:r>
      <w:r w:rsidRPr="00A84062">
        <w:rPr>
          <w:lang w:eastAsia="en-NZ"/>
        </w:rPr>
        <w:t>, program</w:t>
      </w:r>
      <w:r w:rsidR="001261A1">
        <w:rPr>
          <w:lang w:eastAsia="en-NZ"/>
        </w:rPr>
        <w:t>me</w:t>
      </w:r>
      <w:r w:rsidRPr="00A84062">
        <w:rPr>
          <w:lang w:eastAsia="en-NZ"/>
        </w:rPr>
        <w:t xml:space="preserve">s or even health care structures may have changed. </w:t>
      </w:r>
    </w:p>
    <w:p w14:paraId="473184C9" w14:textId="2F8C665E" w:rsidR="00C65DD6" w:rsidRDefault="2C641E33" w:rsidP="00934050">
      <w:pPr>
        <w:pStyle w:val="HQSCbodytext"/>
        <w:rPr>
          <w:lang w:eastAsia="en-NZ"/>
        </w:rPr>
      </w:pPr>
      <w:r w:rsidRPr="6C4E1AF8">
        <w:rPr>
          <w:lang w:eastAsia="en-NZ"/>
        </w:rPr>
        <w:t xml:space="preserve">In this report we </w:t>
      </w:r>
      <w:r w:rsidR="00D93D6D">
        <w:rPr>
          <w:lang w:eastAsia="en-NZ"/>
        </w:rPr>
        <w:t>use</w:t>
      </w:r>
      <w:r w:rsidR="2B6D69E2" w:rsidRPr="6C4E1AF8">
        <w:rPr>
          <w:lang w:eastAsia="en-NZ"/>
        </w:rPr>
        <w:t xml:space="preserve"> </w:t>
      </w:r>
      <w:r w:rsidR="618FAAC9" w:rsidRPr="6C4E1AF8">
        <w:rPr>
          <w:lang w:eastAsia="en-NZ"/>
        </w:rPr>
        <w:t>data</w:t>
      </w:r>
      <w:r w:rsidR="00B552C1">
        <w:rPr>
          <w:lang w:eastAsia="en-NZ"/>
        </w:rPr>
        <w:t xml:space="preserve"> on </w:t>
      </w:r>
      <w:r w:rsidR="004616BB">
        <w:rPr>
          <w:lang w:eastAsia="en-NZ"/>
        </w:rPr>
        <w:t xml:space="preserve">suspected </w:t>
      </w:r>
      <w:r w:rsidR="002A3073">
        <w:rPr>
          <w:lang w:eastAsia="en-NZ"/>
        </w:rPr>
        <w:t xml:space="preserve">SUDI </w:t>
      </w:r>
      <w:r w:rsidR="004616BB">
        <w:rPr>
          <w:lang w:eastAsia="en-NZ"/>
        </w:rPr>
        <w:t>death</w:t>
      </w:r>
      <w:r w:rsidR="002A3073">
        <w:rPr>
          <w:lang w:eastAsia="en-NZ"/>
        </w:rPr>
        <w:t>s</w:t>
      </w:r>
      <w:r w:rsidR="00521B08">
        <w:rPr>
          <w:lang w:eastAsia="en-NZ"/>
        </w:rPr>
        <w:t xml:space="preserve"> </w:t>
      </w:r>
      <w:r w:rsidR="00782E63">
        <w:rPr>
          <w:lang w:eastAsia="en-NZ"/>
        </w:rPr>
        <w:t xml:space="preserve">(referred to as </w:t>
      </w:r>
      <w:r w:rsidR="002D5CF7">
        <w:rPr>
          <w:lang w:eastAsia="en-NZ"/>
        </w:rPr>
        <w:t xml:space="preserve">preliminary data) </w:t>
      </w:r>
      <w:r w:rsidR="0893C6F5" w:rsidRPr="6C4E1AF8">
        <w:rPr>
          <w:lang w:eastAsia="en-NZ"/>
        </w:rPr>
        <w:t xml:space="preserve">as well </w:t>
      </w:r>
      <w:r w:rsidR="6FA33649" w:rsidRPr="6C4E1AF8">
        <w:rPr>
          <w:lang w:eastAsia="en-NZ"/>
        </w:rPr>
        <w:t>as dat</w:t>
      </w:r>
      <w:r w:rsidR="5F36712A" w:rsidRPr="6C4E1AF8">
        <w:rPr>
          <w:lang w:eastAsia="en-NZ"/>
        </w:rPr>
        <w:t>a</w:t>
      </w:r>
      <w:r w:rsidR="6FA33649" w:rsidRPr="6C4E1AF8">
        <w:rPr>
          <w:lang w:eastAsia="en-NZ"/>
        </w:rPr>
        <w:t xml:space="preserve"> on deaths that have been confirmed by coroners</w:t>
      </w:r>
      <w:r w:rsidRPr="6C4E1AF8">
        <w:rPr>
          <w:lang w:eastAsia="en-NZ"/>
        </w:rPr>
        <w:t>.</w:t>
      </w:r>
      <w:r w:rsidR="622C7F28" w:rsidRPr="6C4E1AF8">
        <w:rPr>
          <w:lang w:eastAsia="en-NZ"/>
        </w:rPr>
        <w:t xml:space="preserve"> </w:t>
      </w:r>
      <w:r w:rsidR="2878DB0D" w:rsidRPr="6C4E1AF8">
        <w:rPr>
          <w:lang w:eastAsia="en-NZ"/>
        </w:rPr>
        <w:t>In recent years</w:t>
      </w:r>
      <w:r w:rsidR="7C6F5769" w:rsidRPr="6C4E1AF8">
        <w:rPr>
          <w:lang w:eastAsia="en-NZ"/>
        </w:rPr>
        <w:t xml:space="preserve">, </w:t>
      </w:r>
      <w:r w:rsidR="2B34B27D" w:rsidRPr="6C4E1AF8">
        <w:rPr>
          <w:lang w:eastAsia="en-NZ"/>
        </w:rPr>
        <w:t>85</w:t>
      </w:r>
      <w:r w:rsidR="00C65DD6">
        <w:rPr>
          <w:lang w:eastAsia="en-NZ"/>
        </w:rPr>
        <w:t xml:space="preserve"> percent</w:t>
      </w:r>
      <w:r w:rsidR="2B34B27D" w:rsidRPr="6C4E1AF8">
        <w:rPr>
          <w:lang w:eastAsia="en-NZ"/>
        </w:rPr>
        <w:t xml:space="preserve"> of </w:t>
      </w:r>
      <w:r w:rsidR="00BE421C">
        <w:rPr>
          <w:lang w:eastAsia="en-NZ"/>
        </w:rPr>
        <w:t xml:space="preserve">suspected </w:t>
      </w:r>
      <w:r w:rsidR="002A3073">
        <w:rPr>
          <w:lang w:eastAsia="en-NZ"/>
        </w:rPr>
        <w:t xml:space="preserve">SUDI </w:t>
      </w:r>
      <w:r w:rsidR="2B34B27D" w:rsidRPr="6C4E1AF8">
        <w:rPr>
          <w:lang w:eastAsia="en-NZ"/>
        </w:rPr>
        <w:t>deaths were confirmed when</w:t>
      </w:r>
      <w:r w:rsidR="7C6F5769" w:rsidRPr="6C4E1AF8">
        <w:rPr>
          <w:lang w:eastAsia="en-NZ"/>
        </w:rPr>
        <w:t xml:space="preserve"> </w:t>
      </w:r>
      <w:r w:rsidR="294254BE" w:rsidRPr="6C4E1AF8">
        <w:rPr>
          <w:lang w:eastAsia="en-NZ"/>
        </w:rPr>
        <w:t>coroners’</w:t>
      </w:r>
      <w:r w:rsidR="130381D6" w:rsidRPr="6C4E1AF8">
        <w:rPr>
          <w:lang w:eastAsia="en-NZ"/>
        </w:rPr>
        <w:t xml:space="preserve"> </w:t>
      </w:r>
      <w:r w:rsidR="6FA33649" w:rsidRPr="6C4E1AF8">
        <w:rPr>
          <w:lang w:eastAsia="en-NZ"/>
        </w:rPr>
        <w:t xml:space="preserve">findings </w:t>
      </w:r>
      <w:r w:rsidR="35B722E4" w:rsidRPr="6C4E1AF8">
        <w:rPr>
          <w:lang w:eastAsia="en-NZ"/>
        </w:rPr>
        <w:t xml:space="preserve">became </w:t>
      </w:r>
      <w:r w:rsidR="130381D6" w:rsidRPr="6C4E1AF8">
        <w:rPr>
          <w:lang w:eastAsia="en-NZ"/>
        </w:rPr>
        <w:t>available</w:t>
      </w:r>
      <w:r w:rsidR="2FD27D73" w:rsidRPr="6C4E1AF8">
        <w:rPr>
          <w:lang w:eastAsia="en-NZ"/>
        </w:rPr>
        <w:t>.</w:t>
      </w:r>
      <w:r w:rsidRPr="6C4E1AF8">
        <w:rPr>
          <w:lang w:eastAsia="en-NZ"/>
        </w:rPr>
        <w:t xml:space="preserve"> </w:t>
      </w:r>
      <w:r w:rsidR="2C14084B" w:rsidRPr="6C4E1AF8">
        <w:rPr>
          <w:lang w:eastAsia="en-NZ"/>
        </w:rPr>
        <w:t xml:space="preserve">This </w:t>
      </w:r>
      <w:r w:rsidR="76A5C19B" w:rsidRPr="6C4E1AF8">
        <w:rPr>
          <w:lang w:eastAsia="en-NZ"/>
        </w:rPr>
        <w:t>percentage is used to estimate</w:t>
      </w:r>
      <w:r w:rsidR="42E3F4E0" w:rsidRPr="6C4E1AF8">
        <w:rPr>
          <w:lang w:eastAsia="en-NZ"/>
        </w:rPr>
        <w:t xml:space="preserve"> the number of deaths, </w:t>
      </w:r>
      <w:r w:rsidR="43E75F8C" w:rsidRPr="6C4E1AF8">
        <w:rPr>
          <w:lang w:eastAsia="en-NZ"/>
        </w:rPr>
        <w:t xml:space="preserve">until the confirmed number becomes available. </w:t>
      </w:r>
      <w:r w:rsidR="002E3592" w:rsidRPr="002E3592">
        <w:rPr>
          <w:lang w:eastAsia="en-NZ"/>
        </w:rPr>
        <w:t xml:space="preserve">As coroners' findings become available, we will update estimated numbers with confirmed </w:t>
      </w:r>
      <w:r w:rsidR="0028200B" w:rsidRPr="002E3592">
        <w:rPr>
          <w:lang w:eastAsia="en-NZ"/>
        </w:rPr>
        <w:t>numbers</w:t>
      </w:r>
      <w:r w:rsidR="00977F7E">
        <w:rPr>
          <w:lang w:eastAsia="en-NZ"/>
        </w:rPr>
        <w:t xml:space="preserve"> in </w:t>
      </w:r>
      <w:r w:rsidR="00CB2199">
        <w:rPr>
          <w:lang w:eastAsia="en-NZ"/>
        </w:rPr>
        <w:t>future reports</w:t>
      </w:r>
      <w:r w:rsidR="0028200B">
        <w:rPr>
          <w:lang w:eastAsia="en-NZ"/>
        </w:rPr>
        <w:t xml:space="preserve">. </w:t>
      </w:r>
    </w:p>
    <w:p w14:paraId="7BD10273" w14:textId="28C4E411" w:rsidR="00E36F4E" w:rsidRDefault="00E36F4E" w:rsidP="00934050">
      <w:pPr>
        <w:pStyle w:val="HQSCbodytext"/>
        <w:rPr>
          <w:lang w:eastAsia="en-NZ"/>
        </w:rPr>
      </w:pPr>
      <w:r>
        <w:rPr>
          <w:lang w:eastAsia="en-NZ"/>
        </w:rPr>
        <w:t>Note this is a population level report</w:t>
      </w:r>
      <w:r w:rsidR="0097567C">
        <w:rPr>
          <w:lang w:eastAsia="en-NZ"/>
        </w:rPr>
        <w:t xml:space="preserve">. </w:t>
      </w:r>
      <w:r w:rsidR="006814E2">
        <w:rPr>
          <w:lang w:eastAsia="en-NZ"/>
        </w:rPr>
        <w:t xml:space="preserve">At the </w:t>
      </w:r>
      <w:r w:rsidR="00F57571">
        <w:rPr>
          <w:lang w:eastAsia="en-NZ"/>
        </w:rPr>
        <w:t>individual level, a</w:t>
      </w:r>
      <w:r w:rsidR="004368BC">
        <w:rPr>
          <w:lang w:eastAsia="en-NZ"/>
        </w:rPr>
        <w:t>n infant’s</w:t>
      </w:r>
      <w:r w:rsidR="006814E2" w:rsidRPr="006814E2">
        <w:rPr>
          <w:lang w:eastAsia="en-NZ"/>
        </w:rPr>
        <w:t xml:space="preserve"> death is confirmed as </w:t>
      </w:r>
      <w:r w:rsidR="006814E2">
        <w:rPr>
          <w:lang w:eastAsia="en-NZ"/>
        </w:rPr>
        <w:t xml:space="preserve">SUDI </w:t>
      </w:r>
      <w:r w:rsidR="005C306E">
        <w:rPr>
          <w:lang w:eastAsia="en-NZ"/>
        </w:rPr>
        <w:t xml:space="preserve">by </w:t>
      </w:r>
      <w:r w:rsidR="006814E2" w:rsidRPr="006814E2">
        <w:rPr>
          <w:lang w:eastAsia="en-NZ"/>
        </w:rPr>
        <w:t>a coroner, having investigated the causes and circumstances of the death</w:t>
      </w:r>
      <w:r w:rsidR="005C306E">
        <w:rPr>
          <w:lang w:eastAsia="en-NZ"/>
        </w:rPr>
        <w:t>.</w:t>
      </w:r>
    </w:p>
    <w:p w14:paraId="748D52FB" w14:textId="111F5D73" w:rsidR="00CC39D7" w:rsidRPr="00CC39D7" w:rsidRDefault="0028200B" w:rsidP="00934050">
      <w:pPr>
        <w:pStyle w:val="HQSCbodytext"/>
        <w:rPr>
          <w:lang w:eastAsia="en-NZ"/>
        </w:rPr>
      </w:pPr>
      <w:r>
        <w:rPr>
          <w:lang w:eastAsia="en-NZ"/>
        </w:rPr>
        <w:t>Th</w:t>
      </w:r>
      <w:r w:rsidR="003A395B">
        <w:rPr>
          <w:lang w:eastAsia="en-NZ"/>
        </w:rPr>
        <w:t>e</w:t>
      </w:r>
      <w:r w:rsidR="4AFED1DF" w:rsidRPr="6C4E1AF8">
        <w:rPr>
          <w:lang w:eastAsia="en-NZ"/>
        </w:rPr>
        <w:t xml:space="preserve"> </w:t>
      </w:r>
      <w:r>
        <w:rPr>
          <w:lang w:eastAsia="en-NZ"/>
        </w:rPr>
        <w:t xml:space="preserve">approach </w:t>
      </w:r>
      <w:r w:rsidR="003A395B">
        <w:rPr>
          <w:lang w:eastAsia="en-NZ"/>
        </w:rPr>
        <w:t>of using both confirmed and pr</w:t>
      </w:r>
      <w:r w:rsidR="00521B08">
        <w:rPr>
          <w:lang w:eastAsia="en-NZ"/>
        </w:rPr>
        <w:t xml:space="preserve">eliminary data </w:t>
      </w:r>
      <w:r w:rsidR="00B35373">
        <w:rPr>
          <w:lang w:eastAsia="en-NZ"/>
        </w:rPr>
        <w:t>will</w:t>
      </w:r>
      <w:r w:rsidR="17EFCC69" w:rsidRPr="6C4E1AF8">
        <w:rPr>
          <w:lang w:eastAsia="en-NZ"/>
        </w:rPr>
        <w:t xml:space="preserve"> help</w:t>
      </w:r>
      <w:r w:rsidR="4E69C51A" w:rsidRPr="6C4E1AF8">
        <w:rPr>
          <w:lang w:eastAsia="en-NZ"/>
        </w:rPr>
        <w:t xml:space="preserve"> </w:t>
      </w:r>
      <w:r w:rsidR="34E5A58D" w:rsidRPr="6C4E1AF8">
        <w:rPr>
          <w:lang w:eastAsia="en-NZ"/>
        </w:rPr>
        <w:t xml:space="preserve">the </w:t>
      </w:r>
      <w:r w:rsidR="00C65DD6">
        <w:rPr>
          <w:lang w:eastAsia="en-NZ"/>
        </w:rPr>
        <w:t xml:space="preserve">health </w:t>
      </w:r>
      <w:r w:rsidR="34E5A58D" w:rsidRPr="6C4E1AF8">
        <w:rPr>
          <w:lang w:eastAsia="en-NZ"/>
        </w:rPr>
        <w:t>sector respond</w:t>
      </w:r>
      <w:r w:rsidR="31F5A462" w:rsidRPr="6C4E1AF8">
        <w:rPr>
          <w:lang w:eastAsia="en-NZ"/>
        </w:rPr>
        <w:t xml:space="preserve"> </w:t>
      </w:r>
      <w:r w:rsidR="4361B20B" w:rsidRPr="6C4E1AF8">
        <w:rPr>
          <w:lang w:eastAsia="en-NZ"/>
        </w:rPr>
        <w:t xml:space="preserve">in </w:t>
      </w:r>
      <w:r w:rsidR="57CA98F4" w:rsidRPr="6C4E1AF8">
        <w:rPr>
          <w:lang w:eastAsia="en-NZ"/>
        </w:rPr>
        <w:t>a timely manner</w:t>
      </w:r>
      <w:r w:rsidR="009F69C4">
        <w:rPr>
          <w:lang w:eastAsia="en-NZ"/>
        </w:rPr>
        <w:t xml:space="preserve">, while awaiting final confirmation </w:t>
      </w:r>
      <w:r w:rsidR="00B53D02">
        <w:rPr>
          <w:lang w:eastAsia="en-NZ"/>
        </w:rPr>
        <w:t>on the cause of death from the coroner.</w:t>
      </w:r>
      <w:r w:rsidR="34E5A58D" w:rsidRPr="6C4E1AF8">
        <w:rPr>
          <w:lang w:eastAsia="en-NZ"/>
        </w:rPr>
        <w:t xml:space="preserve"> </w:t>
      </w:r>
    </w:p>
    <w:p w14:paraId="39521998" w14:textId="272C4428" w:rsidR="00FE23A0" w:rsidRPr="00FE23A0" w:rsidRDefault="00E17D29" w:rsidP="00E73111">
      <w:pPr>
        <w:pStyle w:val="HQSCtablefigurecaption"/>
      </w:pPr>
      <w:r>
        <w:t xml:space="preserve">Figure </w:t>
      </w:r>
      <w:r w:rsidR="00FE23A0">
        <w:t xml:space="preserve">1: </w:t>
      </w:r>
      <w:r w:rsidR="00C157F4">
        <w:t xml:space="preserve">Confirmed </w:t>
      </w:r>
      <w:r w:rsidR="0000126A">
        <w:t>plus</w:t>
      </w:r>
      <w:r w:rsidR="00C157F4">
        <w:t xml:space="preserve"> estimated </w:t>
      </w:r>
      <w:r w:rsidR="00FE23A0">
        <w:t>SUDI rates</w:t>
      </w:r>
      <w:r w:rsidR="00912CA6">
        <w:t xml:space="preserve">, </w:t>
      </w:r>
      <w:r w:rsidR="00FE23A0">
        <w:t xml:space="preserve">2007 </w:t>
      </w:r>
      <w:r w:rsidR="00912CA6">
        <w:t>to</w:t>
      </w:r>
      <w:r>
        <w:t xml:space="preserve"> </w:t>
      </w:r>
      <w:r w:rsidR="00FE23A0">
        <w:t>2023</w:t>
      </w:r>
      <w:r w:rsidR="005751FA">
        <w:rPr>
          <w:noProof/>
        </w:rPr>
        <w:drawing>
          <wp:inline distT="0" distB="0" distL="0" distR="0" wp14:anchorId="3FAFF8CE" wp14:editId="51ABED69">
            <wp:extent cx="6244091" cy="3746455"/>
            <wp:effectExtent l="0" t="0" r="4445" b="6985"/>
            <wp:docPr id="1453784373" name="Picture 1" descr="A complex bar grap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784373" name="Picture 1" descr="A complex bar graph. 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4091" cy="37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23A0">
        <w:t xml:space="preserve"> </w:t>
      </w:r>
    </w:p>
    <w:p w14:paraId="4E5EFC7C" w14:textId="1F3C583D" w:rsidR="00FE23A0" w:rsidRDefault="00FE23A0" w:rsidP="00FE23A0">
      <w:pPr>
        <w:pStyle w:val="HQSCbodytext"/>
      </w:pPr>
      <w:r>
        <w:lastRenderedPageBreak/>
        <w:t>The estimated rate is based on the observation that 8</w:t>
      </w:r>
      <w:r w:rsidR="00291061">
        <w:t>5</w:t>
      </w:r>
      <w:r w:rsidR="008E65D4">
        <w:t xml:space="preserve"> percent</w:t>
      </w:r>
      <w:r>
        <w:t xml:space="preserve"> of </w:t>
      </w:r>
      <w:r w:rsidR="001B13D8">
        <w:t xml:space="preserve">suspected </w:t>
      </w:r>
      <w:r>
        <w:t xml:space="preserve">SUDI </w:t>
      </w:r>
      <w:r w:rsidR="0085450A">
        <w:t xml:space="preserve">cases </w:t>
      </w:r>
      <w:r w:rsidR="00E66CA5">
        <w:t>are</w:t>
      </w:r>
      <w:r w:rsidR="00CA5166">
        <w:t xml:space="preserve"> </w:t>
      </w:r>
      <w:r>
        <w:t xml:space="preserve">later confirmed. </w:t>
      </w:r>
    </w:p>
    <w:p w14:paraId="2AA9A4DD" w14:textId="739EF864" w:rsidR="00120C79" w:rsidRDefault="00221BE4" w:rsidP="00E73111">
      <w:pPr>
        <w:pStyle w:val="HQSCtablefigurecaption"/>
        <w:rPr>
          <w:bCs/>
          <w:lang w:val="en-US"/>
        </w:rPr>
      </w:pPr>
      <w:r w:rsidRPr="10FFBFDB">
        <w:rPr>
          <w:lang w:val="en-US"/>
        </w:rPr>
        <w:t xml:space="preserve">Figure </w:t>
      </w:r>
      <w:r w:rsidR="00883BF6" w:rsidRPr="10FFBFDB">
        <w:rPr>
          <w:lang w:val="en-US"/>
        </w:rPr>
        <w:t>2</w:t>
      </w:r>
      <w:r w:rsidRPr="10FFBFDB">
        <w:rPr>
          <w:lang w:val="en-US"/>
        </w:rPr>
        <w:t xml:space="preserve">: </w:t>
      </w:r>
      <w:r w:rsidR="0053143A">
        <w:rPr>
          <w:lang w:val="en-US"/>
        </w:rPr>
        <w:t>Preliminary</w:t>
      </w:r>
      <w:r w:rsidR="008A49E8" w:rsidRPr="10FFBFDB">
        <w:rPr>
          <w:lang w:val="en-US"/>
        </w:rPr>
        <w:t xml:space="preserve"> </w:t>
      </w:r>
      <w:r w:rsidR="00CE37D4">
        <w:rPr>
          <w:lang w:val="en-US"/>
        </w:rPr>
        <w:t>plus</w:t>
      </w:r>
      <w:r w:rsidR="008A49E8" w:rsidRPr="10FFBFDB">
        <w:rPr>
          <w:lang w:val="en-US"/>
        </w:rPr>
        <w:t xml:space="preserve"> confirmed </w:t>
      </w:r>
      <w:r w:rsidR="008A49E8" w:rsidRPr="00E73111">
        <w:t>SUDI</w:t>
      </w:r>
      <w:r w:rsidR="008A49E8" w:rsidRPr="10FFBFDB">
        <w:rPr>
          <w:lang w:val="en-US"/>
        </w:rPr>
        <w:t xml:space="preserve"> case</w:t>
      </w:r>
      <w:r w:rsidR="00555CB1" w:rsidRPr="10FFBFDB">
        <w:rPr>
          <w:lang w:val="en-US"/>
        </w:rPr>
        <w:t>s</w:t>
      </w:r>
      <w:r w:rsidR="00FA71C4">
        <w:rPr>
          <w:lang w:val="en-US"/>
        </w:rPr>
        <w:t>,</w:t>
      </w:r>
      <w:r w:rsidR="008A49E8" w:rsidRPr="10FFBFDB">
        <w:rPr>
          <w:lang w:val="en-US"/>
        </w:rPr>
        <w:t xml:space="preserve"> 2020 </w:t>
      </w:r>
      <w:r w:rsidRPr="10FFBFDB">
        <w:rPr>
          <w:lang w:val="en-US"/>
        </w:rPr>
        <w:t xml:space="preserve">to </w:t>
      </w:r>
      <w:r w:rsidR="008A49E8" w:rsidRPr="10FFBFDB">
        <w:rPr>
          <w:lang w:val="en-US"/>
        </w:rPr>
        <w:t>2024</w:t>
      </w:r>
      <w:r w:rsidR="00120C79">
        <w:rPr>
          <w:b w:val="0"/>
          <w:bCs/>
          <w:noProof/>
          <w:lang w:val="en-US"/>
        </w:rPr>
        <w:drawing>
          <wp:inline distT="0" distB="0" distL="0" distR="0" wp14:anchorId="5D6B5C52" wp14:editId="42974B87">
            <wp:extent cx="5731510" cy="3439160"/>
            <wp:effectExtent l="0" t="0" r="2540" b="8890"/>
            <wp:docPr id="14175585" name="Picture 3" descr="A complex bar graph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585" name="Picture 3" descr="A complex bar graph.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8B761" w14:textId="2267D6D0" w:rsidR="00C419D4" w:rsidRPr="00D04E15" w:rsidRDefault="24A02E26" w:rsidP="00A564C6">
      <w:pPr>
        <w:pStyle w:val="HQSCbodytext"/>
        <w:rPr>
          <w:sz w:val="18"/>
          <w:szCs w:val="18"/>
        </w:rPr>
      </w:pPr>
      <w:r w:rsidRPr="6C4E1AF8">
        <w:rPr>
          <w:sz w:val="18"/>
          <w:szCs w:val="18"/>
        </w:rPr>
        <w:t>Note</w:t>
      </w:r>
      <w:r w:rsidR="484585F4" w:rsidRPr="6C4E1AF8">
        <w:rPr>
          <w:sz w:val="18"/>
          <w:szCs w:val="18"/>
        </w:rPr>
        <w:t>s</w:t>
      </w:r>
      <w:r w:rsidRPr="6C4E1AF8">
        <w:rPr>
          <w:sz w:val="18"/>
          <w:szCs w:val="18"/>
        </w:rPr>
        <w:t>:</w:t>
      </w:r>
      <w:r w:rsidR="492C9862" w:rsidRPr="6C4E1AF8">
        <w:rPr>
          <w:sz w:val="18"/>
          <w:szCs w:val="18"/>
        </w:rPr>
        <w:t xml:space="preserve"> </w:t>
      </w:r>
    </w:p>
    <w:p w14:paraId="364DE81E" w14:textId="736DF4A2" w:rsidR="005F2127" w:rsidRDefault="006568B7">
      <w:pPr>
        <w:pStyle w:val="HQSCbullets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 xml:space="preserve">Notifications </w:t>
      </w:r>
      <w:r w:rsidR="00A564C6" w:rsidRPr="00D04E15">
        <w:rPr>
          <w:sz w:val="18"/>
          <w:szCs w:val="18"/>
        </w:rPr>
        <w:t xml:space="preserve">of </w:t>
      </w:r>
      <w:r w:rsidR="008908CB">
        <w:rPr>
          <w:sz w:val="18"/>
          <w:szCs w:val="18"/>
        </w:rPr>
        <w:t xml:space="preserve">suspected </w:t>
      </w:r>
      <w:r w:rsidR="00A564C6" w:rsidRPr="00D04E15">
        <w:rPr>
          <w:sz w:val="18"/>
          <w:szCs w:val="18"/>
        </w:rPr>
        <w:t xml:space="preserve">SUDI </w:t>
      </w:r>
      <w:r w:rsidR="00B90E92">
        <w:rPr>
          <w:sz w:val="18"/>
          <w:szCs w:val="18"/>
        </w:rPr>
        <w:t xml:space="preserve">cases </w:t>
      </w:r>
      <w:r w:rsidR="00A564C6" w:rsidRPr="00D04E15">
        <w:rPr>
          <w:sz w:val="18"/>
          <w:szCs w:val="18"/>
        </w:rPr>
        <w:t>can be a measure of SUDI numbers</w:t>
      </w:r>
      <w:r w:rsidR="008431ED" w:rsidRPr="00D04E15">
        <w:rPr>
          <w:sz w:val="18"/>
          <w:szCs w:val="18"/>
        </w:rPr>
        <w:t xml:space="preserve">. </w:t>
      </w:r>
      <w:r w:rsidR="00A7272B">
        <w:rPr>
          <w:sz w:val="18"/>
          <w:szCs w:val="18"/>
        </w:rPr>
        <w:t xml:space="preserve">These </w:t>
      </w:r>
      <w:r w:rsidR="00B65D65">
        <w:rPr>
          <w:sz w:val="18"/>
          <w:szCs w:val="18"/>
        </w:rPr>
        <w:t xml:space="preserve">make </w:t>
      </w:r>
      <w:r w:rsidR="00E954D0">
        <w:rPr>
          <w:sz w:val="18"/>
          <w:szCs w:val="18"/>
        </w:rPr>
        <w:t>up the</w:t>
      </w:r>
      <w:r w:rsidR="00B65D65">
        <w:rPr>
          <w:sz w:val="18"/>
          <w:szCs w:val="18"/>
        </w:rPr>
        <w:t xml:space="preserve"> preliminary data. </w:t>
      </w:r>
      <w:r w:rsidR="00112D80" w:rsidRPr="00D04E15">
        <w:rPr>
          <w:sz w:val="18"/>
          <w:szCs w:val="18"/>
        </w:rPr>
        <w:t>Eighty-</w:t>
      </w:r>
      <w:r w:rsidR="0066722D" w:rsidRPr="00D04E15">
        <w:rPr>
          <w:sz w:val="18"/>
          <w:szCs w:val="18"/>
        </w:rPr>
        <w:t>five percent</w:t>
      </w:r>
      <w:r w:rsidR="008431ED" w:rsidRPr="00D04E15">
        <w:rPr>
          <w:sz w:val="18"/>
          <w:szCs w:val="18"/>
        </w:rPr>
        <w:t xml:space="preserve"> of these were </w:t>
      </w:r>
      <w:r w:rsidR="00B90E92">
        <w:rPr>
          <w:sz w:val="18"/>
          <w:szCs w:val="18"/>
        </w:rPr>
        <w:t xml:space="preserve">later </w:t>
      </w:r>
      <w:r w:rsidR="008431ED" w:rsidRPr="00D04E15">
        <w:rPr>
          <w:sz w:val="18"/>
          <w:szCs w:val="18"/>
        </w:rPr>
        <w:t>confirmed, while 15</w:t>
      </w:r>
      <w:r w:rsidR="0066722D" w:rsidRPr="006010FC">
        <w:rPr>
          <w:sz w:val="18"/>
          <w:szCs w:val="18"/>
        </w:rPr>
        <w:t xml:space="preserve"> percent</w:t>
      </w:r>
      <w:r w:rsidR="008431ED" w:rsidRPr="006010FC">
        <w:rPr>
          <w:sz w:val="18"/>
          <w:szCs w:val="18"/>
        </w:rPr>
        <w:t xml:space="preserve"> were not. </w:t>
      </w:r>
      <w:r w:rsidR="00842D68" w:rsidRPr="006010FC">
        <w:rPr>
          <w:sz w:val="18"/>
          <w:szCs w:val="18"/>
        </w:rPr>
        <w:t xml:space="preserve">By applying the historical confirmation rate for these cases, we estimated how many </w:t>
      </w:r>
      <w:r w:rsidR="00877FDA">
        <w:rPr>
          <w:sz w:val="18"/>
          <w:szCs w:val="18"/>
        </w:rPr>
        <w:t xml:space="preserve">suspected </w:t>
      </w:r>
      <w:r w:rsidR="00842D68" w:rsidRPr="006010FC">
        <w:rPr>
          <w:sz w:val="18"/>
          <w:szCs w:val="18"/>
        </w:rPr>
        <w:t>cases are likely to be confirmed as SUDI.</w:t>
      </w:r>
      <w:r w:rsidR="00E72D54">
        <w:rPr>
          <w:sz w:val="18"/>
          <w:szCs w:val="18"/>
        </w:rPr>
        <w:t xml:space="preserve"> </w:t>
      </w:r>
      <w:r w:rsidR="00C86CA1">
        <w:rPr>
          <w:sz w:val="18"/>
          <w:szCs w:val="18"/>
        </w:rPr>
        <w:t xml:space="preserve">Noting there is a small number of </w:t>
      </w:r>
      <w:r w:rsidR="00C86CA1" w:rsidRPr="00FF3A6C">
        <w:rPr>
          <w:sz w:val="18"/>
          <w:szCs w:val="18"/>
        </w:rPr>
        <w:t>cases</w:t>
      </w:r>
      <w:r w:rsidR="007C3D25" w:rsidRPr="00FF3A6C">
        <w:rPr>
          <w:sz w:val="18"/>
          <w:szCs w:val="18"/>
        </w:rPr>
        <w:t xml:space="preserve"> (</w:t>
      </w:r>
      <w:r w:rsidR="00FA01E3">
        <w:rPr>
          <w:sz w:val="18"/>
          <w:szCs w:val="18"/>
        </w:rPr>
        <w:t>3</w:t>
      </w:r>
      <w:r w:rsidR="002F354F">
        <w:rPr>
          <w:sz w:val="18"/>
          <w:szCs w:val="18"/>
        </w:rPr>
        <w:t>–</w:t>
      </w:r>
      <w:r w:rsidR="00FA01E3">
        <w:rPr>
          <w:sz w:val="18"/>
          <w:szCs w:val="18"/>
        </w:rPr>
        <w:t>6</w:t>
      </w:r>
      <w:r w:rsidR="007C3D25" w:rsidRPr="00FF3A6C">
        <w:rPr>
          <w:sz w:val="18"/>
          <w:szCs w:val="18"/>
        </w:rPr>
        <w:t xml:space="preserve"> per </w:t>
      </w:r>
      <w:r w:rsidR="00792825" w:rsidRPr="00FF3A6C">
        <w:rPr>
          <w:sz w:val="18"/>
          <w:szCs w:val="18"/>
        </w:rPr>
        <w:t>year)</w:t>
      </w:r>
      <w:r w:rsidR="00792825">
        <w:rPr>
          <w:sz w:val="18"/>
          <w:szCs w:val="18"/>
        </w:rPr>
        <w:t xml:space="preserve"> which</w:t>
      </w:r>
      <w:r w:rsidR="00C86CA1">
        <w:rPr>
          <w:sz w:val="18"/>
          <w:szCs w:val="18"/>
        </w:rPr>
        <w:t xml:space="preserve"> </w:t>
      </w:r>
      <w:r w:rsidR="004C5CD1">
        <w:rPr>
          <w:sz w:val="18"/>
          <w:szCs w:val="18"/>
        </w:rPr>
        <w:t xml:space="preserve">are later confirmed but were not </w:t>
      </w:r>
      <w:r w:rsidR="007C3D25">
        <w:rPr>
          <w:sz w:val="18"/>
          <w:szCs w:val="18"/>
        </w:rPr>
        <w:t xml:space="preserve">in the list of </w:t>
      </w:r>
      <w:r w:rsidR="00E86711">
        <w:rPr>
          <w:sz w:val="18"/>
          <w:szCs w:val="18"/>
        </w:rPr>
        <w:t>suspected</w:t>
      </w:r>
      <w:r w:rsidR="006803C3">
        <w:rPr>
          <w:sz w:val="18"/>
          <w:szCs w:val="18"/>
        </w:rPr>
        <w:t xml:space="preserve"> </w:t>
      </w:r>
      <w:r w:rsidR="007C3D25">
        <w:rPr>
          <w:sz w:val="18"/>
          <w:szCs w:val="18"/>
        </w:rPr>
        <w:t xml:space="preserve">cases. </w:t>
      </w:r>
    </w:p>
    <w:p w14:paraId="78642930" w14:textId="080788BF" w:rsidR="008431ED" w:rsidRPr="00AF2256" w:rsidRDefault="008431ED" w:rsidP="005F2127">
      <w:pPr>
        <w:pStyle w:val="HQSCbullets"/>
        <w:numPr>
          <w:ilvl w:val="0"/>
          <w:numId w:val="0"/>
        </w:numPr>
        <w:rPr>
          <w:sz w:val="18"/>
          <w:szCs w:val="18"/>
        </w:rPr>
      </w:pPr>
      <w:r w:rsidRPr="00AF2256">
        <w:rPr>
          <w:sz w:val="18"/>
          <w:szCs w:val="18"/>
        </w:rPr>
        <w:t xml:space="preserve">This confirmation rate provides the basis for estimating SUDI numbers from </w:t>
      </w:r>
      <w:r w:rsidR="006803C3">
        <w:rPr>
          <w:sz w:val="18"/>
          <w:szCs w:val="18"/>
        </w:rPr>
        <w:t xml:space="preserve">the </w:t>
      </w:r>
      <w:r w:rsidR="00B948CE">
        <w:rPr>
          <w:sz w:val="18"/>
          <w:szCs w:val="18"/>
        </w:rPr>
        <w:t>preliminary</w:t>
      </w:r>
      <w:r w:rsidRPr="00AF2256">
        <w:rPr>
          <w:sz w:val="18"/>
          <w:szCs w:val="18"/>
        </w:rPr>
        <w:t xml:space="preserve"> </w:t>
      </w:r>
      <w:r w:rsidR="00E954D0">
        <w:rPr>
          <w:sz w:val="18"/>
          <w:szCs w:val="18"/>
        </w:rPr>
        <w:t>data.</w:t>
      </w:r>
    </w:p>
    <w:p w14:paraId="3B22C7FB" w14:textId="764CDFC8" w:rsidR="339CBA37" w:rsidRPr="00AF2256" w:rsidRDefault="0238F5E2" w:rsidP="00AF2256">
      <w:pPr>
        <w:pStyle w:val="HQSCbullets"/>
        <w:numPr>
          <w:ilvl w:val="0"/>
          <w:numId w:val="0"/>
        </w:numPr>
        <w:rPr>
          <w:sz w:val="18"/>
          <w:szCs w:val="18"/>
        </w:rPr>
      </w:pPr>
      <w:r w:rsidRPr="6C4E1AF8">
        <w:rPr>
          <w:sz w:val="18"/>
          <w:szCs w:val="18"/>
        </w:rPr>
        <w:t>Case</w:t>
      </w:r>
      <w:r w:rsidR="1A7E35AE" w:rsidRPr="6C4E1AF8">
        <w:rPr>
          <w:sz w:val="18"/>
          <w:szCs w:val="18"/>
        </w:rPr>
        <w:t xml:space="preserve"> numbers</w:t>
      </w:r>
      <w:r w:rsidRPr="6C4E1AF8">
        <w:rPr>
          <w:sz w:val="18"/>
          <w:szCs w:val="18"/>
        </w:rPr>
        <w:t xml:space="preserve"> below the </w:t>
      </w:r>
      <w:r w:rsidR="04659034" w:rsidRPr="6C4E1AF8">
        <w:rPr>
          <w:sz w:val="18"/>
          <w:szCs w:val="18"/>
        </w:rPr>
        <w:t>‘</w:t>
      </w:r>
      <w:r w:rsidRPr="6C4E1AF8">
        <w:rPr>
          <w:sz w:val="18"/>
          <w:szCs w:val="18"/>
        </w:rPr>
        <w:t xml:space="preserve">estimate </w:t>
      </w:r>
      <w:r w:rsidR="04659034" w:rsidRPr="6C4E1AF8">
        <w:rPr>
          <w:sz w:val="18"/>
          <w:szCs w:val="18"/>
        </w:rPr>
        <w:t xml:space="preserve">confirmed’ </w:t>
      </w:r>
      <w:r w:rsidRPr="6C4E1AF8">
        <w:rPr>
          <w:sz w:val="18"/>
          <w:szCs w:val="18"/>
        </w:rPr>
        <w:t>line are likely to be SUDI; those above the line are unlikely to be SUDI.</w:t>
      </w:r>
    </w:p>
    <w:p w14:paraId="29BDE7FD" w14:textId="06D83B61" w:rsidR="008A49E8" w:rsidRDefault="004A013B" w:rsidP="00AF2256">
      <w:pPr>
        <w:pStyle w:val="HQSChead2"/>
      </w:pPr>
      <w:r>
        <w:t>SUDI rates are h</w:t>
      </w:r>
      <w:r w:rsidR="008A49E8">
        <w:t>igher in deprived areas</w:t>
      </w:r>
    </w:p>
    <w:p w14:paraId="1CF4DBE2" w14:textId="39398D6E" w:rsidR="000055DE" w:rsidRPr="00916821" w:rsidRDefault="00CE1333" w:rsidP="000055DE">
      <w:pPr>
        <w:pStyle w:val="TeThHauorabodytext"/>
      </w:pPr>
      <w:r w:rsidRPr="00CE1333">
        <w:t>The New Zealand Deprivation Index (</w:t>
      </w:r>
      <w:proofErr w:type="spellStart"/>
      <w:r w:rsidRPr="00CE1333">
        <w:t>NZDep</w:t>
      </w:r>
      <w:proofErr w:type="spellEnd"/>
      <w:r w:rsidR="00781911">
        <w:t>)</w:t>
      </w:r>
      <w:r w:rsidRPr="00CE1333">
        <w:t xml:space="preserve"> assigns scores to small geographic areas based on nine census-derived indicators of socioeconomic </w:t>
      </w:r>
      <w:r w:rsidR="00EC32FF">
        <w:t xml:space="preserve">wealth and </w:t>
      </w:r>
      <w:r w:rsidRPr="00CE1333">
        <w:t xml:space="preserve">disadvantage. </w:t>
      </w:r>
      <w:r w:rsidR="00436B44">
        <w:t>I</w:t>
      </w:r>
      <w:r w:rsidR="00436B44" w:rsidRPr="00CE1333">
        <w:t xml:space="preserve">ndicators </w:t>
      </w:r>
      <w:r w:rsidR="000055DE" w:rsidRPr="00916821">
        <w:t>look at things like access to the internet and transport, work opportunities, income, education, housing and living conditions.</w:t>
      </w:r>
    </w:p>
    <w:p w14:paraId="6EE5893E" w14:textId="412C76B7" w:rsidR="00F63EC1" w:rsidRDefault="00F63EC1" w:rsidP="00A55AD4">
      <w:pPr>
        <w:pStyle w:val="TeThHauorabodytext"/>
      </w:pPr>
      <w:proofErr w:type="spellStart"/>
      <w:r w:rsidRPr="00916821">
        <w:t>NZDep</w:t>
      </w:r>
      <w:proofErr w:type="spellEnd"/>
      <w:r w:rsidRPr="00916821">
        <w:t xml:space="preserve"> </w:t>
      </w:r>
      <w:r w:rsidR="008B7E6E">
        <w:t>is</w:t>
      </w:r>
      <w:r w:rsidRPr="00916821">
        <w:t xml:space="preserve"> not just a measure of deprivation but a map of opportunities</w:t>
      </w:r>
      <w:r>
        <w:t xml:space="preserve"> </w:t>
      </w:r>
      <w:r w:rsidR="009F4D58">
        <w:t xml:space="preserve">showing </w:t>
      </w:r>
      <w:r>
        <w:t xml:space="preserve">where communities may benefit from extra support and investment. </w:t>
      </w:r>
    </w:p>
    <w:p w14:paraId="159C6D06" w14:textId="0DF90730" w:rsidR="00C333AF" w:rsidRDefault="00CE1333" w:rsidP="00CB4A9C">
      <w:pPr>
        <w:pStyle w:val="HQSCbodytext"/>
      </w:pPr>
      <w:r w:rsidRPr="00CE1333">
        <w:t xml:space="preserve">Figure 3 shows </w:t>
      </w:r>
      <w:r w:rsidR="008113A5">
        <w:t>over half (</w:t>
      </w:r>
      <w:r w:rsidR="00840176" w:rsidRPr="00731BD0">
        <w:rPr>
          <w:rFonts w:cstheme="minorBidi"/>
        </w:rPr>
        <w:t>57</w:t>
      </w:r>
      <w:r w:rsidR="009E0939">
        <w:rPr>
          <w:rFonts w:cstheme="minorBidi"/>
        </w:rPr>
        <w:t xml:space="preserve"> percent</w:t>
      </w:r>
      <w:r w:rsidR="008113A5">
        <w:rPr>
          <w:rFonts w:cstheme="minorBidi"/>
        </w:rPr>
        <w:t>)</w:t>
      </w:r>
      <w:r w:rsidR="009E0939">
        <w:rPr>
          <w:rFonts w:cstheme="minorBidi"/>
        </w:rPr>
        <w:t xml:space="preserve"> of </w:t>
      </w:r>
      <w:r w:rsidRPr="00CE1333">
        <w:t xml:space="preserve">SUDI </w:t>
      </w:r>
      <w:r w:rsidR="004A30E5">
        <w:t>cases</w:t>
      </w:r>
      <w:r w:rsidRPr="00CE1333">
        <w:t xml:space="preserve"> </w:t>
      </w:r>
      <w:r w:rsidR="002E2081">
        <w:t>were</w:t>
      </w:r>
      <w:r w:rsidRPr="00CE1333">
        <w:t xml:space="preserve"> concentrated in the most deprived areas</w:t>
      </w:r>
      <w:r w:rsidR="002E2081">
        <w:t xml:space="preserve"> in the </w:t>
      </w:r>
      <w:r w:rsidR="00840176">
        <w:t>years</w:t>
      </w:r>
      <w:r w:rsidR="00255959">
        <w:t xml:space="preserve"> from</w:t>
      </w:r>
      <w:r w:rsidR="00840176">
        <w:t xml:space="preserve"> </w:t>
      </w:r>
      <w:r w:rsidR="002E2081">
        <w:t>2019 to 2023</w:t>
      </w:r>
      <w:r w:rsidR="00B67D08">
        <w:t>.</w:t>
      </w:r>
    </w:p>
    <w:p w14:paraId="53D2C44F" w14:textId="30E38438" w:rsidR="00446190" w:rsidRPr="008A49E8" w:rsidRDefault="00407033" w:rsidP="0083285B">
      <w:pPr>
        <w:pStyle w:val="HQSCtablefigurecaption"/>
      </w:pPr>
      <w:r>
        <w:lastRenderedPageBreak/>
        <w:t xml:space="preserve">Figure 3: </w:t>
      </w:r>
      <w:r w:rsidR="008A49E8">
        <w:t>SUDI rates among infants born alive</w:t>
      </w:r>
      <w:r w:rsidR="004A013B">
        <w:t>,</w:t>
      </w:r>
      <w:r w:rsidR="008A49E8">
        <w:t xml:space="preserve"> 2019 </w:t>
      </w:r>
      <w:r w:rsidR="004A013B">
        <w:t xml:space="preserve">to </w:t>
      </w:r>
      <w:r w:rsidR="008A49E8">
        <w:t>2023, by NZ deprivation quintile</w:t>
      </w:r>
      <w:r w:rsidR="000F090A">
        <w:rPr>
          <w:noProof/>
        </w:rPr>
        <w:drawing>
          <wp:inline distT="0" distB="0" distL="0" distR="0" wp14:anchorId="2596D7A6" wp14:editId="150ACEF4">
            <wp:extent cx="5731510" cy="3439160"/>
            <wp:effectExtent l="0" t="0" r="2540" b="8890"/>
            <wp:docPr id="1427695013" name="Picture 1" descr="A complex bar grap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695013" name="Picture 1" descr="A complex bar graph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852D0" w14:textId="031164E3" w:rsidR="00312E30" w:rsidRDefault="00D25B2A" w:rsidP="005630DA">
      <w:pPr>
        <w:pStyle w:val="HQSCbodytext"/>
        <w:rPr>
          <w:sz w:val="18"/>
          <w:szCs w:val="18"/>
        </w:rPr>
      </w:pPr>
      <w:hyperlink r:id="rId12" w:history="1">
        <w:r w:rsidRPr="005630DA">
          <w:rPr>
            <w:sz w:val="18"/>
            <w:szCs w:val="18"/>
          </w:rPr>
          <w:t xml:space="preserve">Note: </w:t>
        </w:r>
        <w:r w:rsidRPr="005630DA">
          <w:rPr>
            <w:rStyle w:val="Hyperlink"/>
            <w:sz w:val="18"/>
            <w:szCs w:val="18"/>
          </w:rPr>
          <w:t xml:space="preserve">Socioeconomic Deprivation Indexes: </w:t>
        </w:r>
        <w:proofErr w:type="spellStart"/>
        <w:r w:rsidRPr="005630DA">
          <w:rPr>
            <w:rStyle w:val="Hyperlink"/>
            <w:sz w:val="18"/>
            <w:szCs w:val="18"/>
          </w:rPr>
          <w:t>NZDep</w:t>
        </w:r>
        <w:proofErr w:type="spellEnd"/>
        <w:r w:rsidRPr="005630DA">
          <w:rPr>
            <w:rStyle w:val="Hyperlink"/>
            <w:sz w:val="18"/>
            <w:szCs w:val="18"/>
          </w:rPr>
          <w:t xml:space="preserve"> and </w:t>
        </w:r>
        <w:proofErr w:type="spellStart"/>
        <w:r w:rsidRPr="005630DA">
          <w:rPr>
            <w:rStyle w:val="Hyperlink"/>
            <w:sz w:val="18"/>
            <w:szCs w:val="18"/>
          </w:rPr>
          <w:t>NZiDep</w:t>
        </w:r>
        <w:proofErr w:type="spellEnd"/>
        <w:r w:rsidRPr="005630DA">
          <w:rPr>
            <w:rStyle w:val="Hyperlink"/>
            <w:sz w:val="18"/>
            <w:szCs w:val="18"/>
          </w:rPr>
          <w:t>, Department of Public Health, Wellington – otago.ac.nz</w:t>
        </w:r>
      </w:hyperlink>
    </w:p>
    <w:p w14:paraId="5DB950BA" w14:textId="5D246C58" w:rsidR="002E2081" w:rsidRPr="002E2081" w:rsidRDefault="00B67D08" w:rsidP="005630DA">
      <w:pPr>
        <w:pStyle w:val="HQSCtablefigurecaption"/>
        <w:rPr>
          <w:b w:val="0"/>
        </w:rPr>
      </w:pPr>
      <w:r>
        <w:rPr>
          <w:b w:val="0"/>
        </w:rPr>
        <w:t xml:space="preserve">The </w:t>
      </w:r>
      <w:r w:rsidR="00A45035">
        <w:rPr>
          <w:b w:val="0"/>
        </w:rPr>
        <w:t>SUDI rate (</w:t>
      </w:r>
      <w:r w:rsidR="002E2081" w:rsidRPr="002E2081">
        <w:rPr>
          <w:b w:val="0"/>
        </w:rPr>
        <w:t>Table 1</w:t>
      </w:r>
      <w:r w:rsidR="00A45035">
        <w:rPr>
          <w:b w:val="0"/>
        </w:rPr>
        <w:t>) differed from a low of 0.22 deaths per 1</w:t>
      </w:r>
      <w:r w:rsidR="006752B3">
        <w:rPr>
          <w:b w:val="0"/>
        </w:rPr>
        <w:t>,</w:t>
      </w:r>
      <w:r w:rsidR="00A45035">
        <w:rPr>
          <w:b w:val="0"/>
        </w:rPr>
        <w:t xml:space="preserve">000 live births </w:t>
      </w:r>
      <w:r w:rsidR="001553EA">
        <w:rPr>
          <w:b w:val="0"/>
        </w:rPr>
        <w:t xml:space="preserve">in </w:t>
      </w:r>
      <w:r w:rsidR="001553EA" w:rsidRPr="002E2081">
        <w:rPr>
          <w:b w:val="0"/>
        </w:rPr>
        <w:t>the</w:t>
      </w:r>
      <w:r w:rsidR="0098181C">
        <w:rPr>
          <w:b w:val="0"/>
        </w:rPr>
        <w:t xml:space="preserve"> least deprived areas, to 1.82 death</w:t>
      </w:r>
      <w:r w:rsidR="00075642">
        <w:rPr>
          <w:b w:val="0"/>
        </w:rPr>
        <w:t>s</w:t>
      </w:r>
      <w:r w:rsidR="0098181C">
        <w:rPr>
          <w:b w:val="0"/>
        </w:rPr>
        <w:t xml:space="preserve"> per 1</w:t>
      </w:r>
      <w:r w:rsidR="006752B3">
        <w:rPr>
          <w:b w:val="0"/>
        </w:rPr>
        <w:t>,</w:t>
      </w:r>
      <w:r w:rsidR="0098181C">
        <w:rPr>
          <w:b w:val="0"/>
        </w:rPr>
        <w:t xml:space="preserve">000 live births in the most deprived </w:t>
      </w:r>
      <w:r w:rsidR="001553EA">
        <w:rPr>
          <w:b w:val="0"/>
        </w:rPr>
        <w:t>areas</w:t>
      </w:r>
      <w:r w:rsidR="001C083E">
        <w:rPr>
          <w:b w:val="0"/>
        </w:rPr>
        <w:t xml:space="preserve">. The rate in the least deprived areas is close to the </w:t>
      </w:r>
      <w:r w:rsidR="00BA282B">
        <w:rPr>
          <w:b w:val="0"/>
        </w:rPr>
        <w:t>goal of 0.1 deaths per 1</w:t>
      </w:r>
      <w:r w:rsidR="006752B3">
        <w:rPr>
          <w:b w:val="0"/>
        </w:rPr>
        <w:t>,</w:t>
      </w:r>
      <w:r w:rsidR="00BA282B">
        <w:rPr>
          <w:b w:val="0"/>
        </w:rPr>
        <w:t>000 live births. The rate in the most deprived areas is</w:t>
      </w:r>
      <w:r w:rsidR="00C9068E">
        <w:rPr>
          <w:b w:val="0"/>
        </w:rPr>
        <w:t xml:space="preserve"> </w:t>
      </w:r>
      <w:r w:rsidR="00075642">
        <w:rPr>
          <w:b w:val="0"/>
        </w:rPr>
        <w:t xml:space="preserve">18 </w:t>
      </w:r>
      <w:r w:rsidR="00BA282B">
        <w:rPr>
          <w:b w:val="0"/>
        </w:rPr>
        <w:t xml:space="preserve">times </w:t>
      </w:r>
      <w:r w:rsidR="009E1692">
        <w:rPr>
          <w:b w:val="0"/>
        </w:rPr>
        <w:t xml:space="preserve">greater than </w:t>
      </w:r>
      <w:r w:rsidR="00C9068E">
        <w:rPr>
          <w:b w:val="0"/>
        </w:rPr>
        <w:t xml:space="preserve">the goal. </w:t>
      </w:r>
    </w:p>
    <w:p w14:paraId="22444CA3" w14:textId="10F68E2F" w:rsidR="00DE6E5A" w:rsidRDefault="00407033" w:rsidP="005630DA">
      <w:pPr>
        <w:pStyle w:val="HQSCtablefigurecaption"/>
      </w:pPr>
      <w:r>
        <w:t xml:space="preserve">Table 1: </w:t>
      </w:r>
      <w:r w:rsidR="00DE6E5A">
        <w:t xml:space="preserve">SUDI rates among infants born alive, 2019 </w:t>
      </w:r>
      <w:r w:rsidR="00652C0C">
        <w:t xml:space="preserve">to </w:t>
      </w:r>
      <w:r w:rsidR="00DE6E5A">
        <w:t xml:space="preserve">2023, by </w:t>
      </w:r>
      <w:r w:rsidR="00652C0C">
        <w:t xml:space="preserve">NZ </w:t>
      </w:r>
      <w:r w:rsidR="00DE6E5A">
        <w:t>deprivation quintile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1715"/>
        <w:gridCol w:w="2196"/>
        <w:gridCol w:w="1725"/>
        <w:gridCol w:w="1725"/>
      </w:tblGrid>
      <w:tr w:rsidR="00EB40EC" w:rsidRPr="004846B0" w14:paraId="3176138E" w14:textId="51D8D665" w:rsidTr="00407033"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162B86" w14:textId="5B7FC6E2" w:rsidR="00EB40EC" w:rsidRPr="004846B0" w:rsidRDefault="00EB40EC">
            <w:pPr>
              <w:pStyle w:val="HQSCtablecolumnhead"/>
              <w:framePr w:hSpace="0" w:wrap="auto" w:vAnchor="margin" w:hAnchor="text" w:yAlign="inline"/>
            </w:pPr>
            <w:r>
              <w:t>Quintile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909DB4" w14:textId="38A60846" w:rsidR="00EB40EC" w:rsidRPr="00EB40EC" w:rsidRDefault="00EB40EC">
            <w:pPr>
              <w:spacing w:before="60" w:after="60"/>
              <w:rPr>
                <w:rFonts w:cs="Arial"/>
                <w:b/>
                <w:bCs/>
              </w:rPr>
            </w:pPr>
            <w:r w:rsidRPr="00407033">
              <w:rPr>
                <w:b/>
                <w:bCs/>
              </w:rPr>
              <w:t>SUDI cases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FEDD21" w14:textId="78F93FCE" w:rsidR="00EB40EC" w:rsidRPr="004846B0" w:rsidRDefault="00EB40EC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Live births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D7B9CE" w14:textId="0F949EA1" w:rsidR="00EB40EC" w:rsidRDefault="00F260AE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Rate</w:t>
            </w:r>
            <w:r w:rsidR="00784788">
              <w:rPr>
                <w:rFonts w:cs="Arial"/>
                <w:b/>
              </w:rPr>
              <w:t xml:space="preserve"> per 1000</w:t>
            </w:r>
            <w:r w:rsidR="00506622">
              <w:rPr>
                <w:rFonts w:cs="Arial"/>
                <w:b/>
              </w:rPr>
              <w:t xml:space="preserve"> </w:t>
            </w:r>
            <w:r w:rsidR="004A1D75">
              <w:rPr>
                <w:rFonts w:cs="Arial"/>
                <w:b/>
              </w:rPr>
              <w:t>live births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A5C805" w14:textId="3D7AD1A1" w:rsidR="00EB40EC" w:rsidRDefault="00EB40EC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95% CI</w:t>
            </w:r>
          </w:p>
        </w:tc>
      </w:tr>
      <w:tr w:rsidR="00EB40EC" w:rsidRPr="004846B0" w14:paraId="77EE4E80" w14:textId="60E484C1" w:rsidTr="00407033">
        <w:tc>
          <w:tcPr>
            <w:tcW w:w="16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D8FCE3" w14:textId="133944DA" w:rsidR="00EB40EC" w:rsidRPr="00407033" w:rsidRDefault="00EB40EC" w:rsidP="00407033">
            <w:pPr>
              <w:pStyle w:val="HQSCtablefigurecaption"/>
              <w:rPr>
                <w:b w:val="0"/>
              </w:rPr>
            </w:pPr>
            <w:r w:rsidRPr="00407033">
              <w:rPr>
                <w:b w:val="0"/>
              </w:rPr>
              <w:t>1 (Least deprived)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6330" w14:textId="67044285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10</w:t>
            </w:r>
            <w:r w:rsidR="004F0180">
              <w:t xml:space="preserve"> (</w:t>
            </w:r>
            <w:r w:rsidR="007D0752">
              <w:t>4%)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6BF04B" w14:textId="7A7783C6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45,368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vAlign w:val="center"/>
          </w:tcPr>
          <w:p w14:paraId="7010865B" w14:textId="56073186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0.22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vAlign w:val="center"/>
          </w:tcPr>
          <w:p w14:paraId="39C5BE26" w14:textId="3C11C81D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0.12</w:t>
            </w:r>
            <w:r>
              <w:t>–</w:t>
            </w:r>
            <w:r w:rsidRPr="00DE6E5A">
              <w:t>0.40</w:t>
            </w:r>
          </w:p>
        </w:tc>
      </w:tr>
      <w:tr w:rsidR="00EB40EC" w:rsidRPr="004846B0" w14:paraId="6B48857C" w14:textId="5D1E08CB" w:rsidTr="00407033">
        <w:tc>
          <w:tcPr>
            <w:tcW w:w="1665" w:type="dxa"/>
            <w:vAlign w:val="center"/>
          </w:tcPr>
          <w:p w14:paraId="0C467C04" w14:textId="1A2F2991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rPr>
                <w:bCs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14:paraId="07104E25" w14:textId="32046A17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19</w:t>
            </w:r>
            <w:r w:rsidR="007D0752">
              <w:t xml:space="preserve"> </w:t>
            </w:r>
            <w:r w:rsidR="00D80CE5">
              <w:t>(8%)</w:t>
            </w:r>
          </w:p>
        </w:tc>
        <w:tc>
          <w:tcPr>
            <w:tcW w:w="2196" w:type="dxa"/>
            <w:vAlign w:val="center"/>
          </w:tcPr>
          <w:p w14:paraId="179286C2" w14:textId="0C205ABB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51,478</w:t>
            </w:r>
          </w:p>
        </w:tc>
        <w:tc>
          <w:tcPr>
            <w:tcW w:w="1725" w:type="dxa"/>
            <w:vAlign w:val="center"/>
          </w:tcPr>
          <w:p w14:paraId="0690121B" w14:textId="50455CCC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0.38</w:t>
            </w:r>
          </w:p>
        </w:tc>
        <w:tc>
          <w:tcPr>
            <w:tcW w:w="1725" w:type="dxa"/>
            <w:vAlign w:val="center"/>
          </w:tcPr>
          <w:p w14:paraId="6444476F" w14:textId="6846E1CC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0.24</w:t>
            </w:r>
            <w:r>
              <w:t>–</w:t>
            </w:r>
            <w:r w:rsidRPr="00DE6E5A">
              <w:t>0.59</w:t>
            </w:r>
          </w:p>
        </w:tc>
      </w:tr>
      <w:tr w:rsidR="00EB40EC" w:rsidRPr="004846B0" w14:paraId="5179D980" w14:textId="77777777" w:rsidTr="00407033">
        <w:tc>
          <w:tcPr>
            <w:tcW w:w="1665" w:type="dxa"/>
            <w:vAlign w:val="center"/>
          </w:tcPr>
          <w:p w14:paraId="66B8CB61" w14:textId="6EFC3F5F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rPr>
                <w:bCs/>
              </w:rPr>
              <w:t>3</w:t>
            </w:r>
          </w:p>
        </w:tc>
        <w:tc>
          <w:tcPr>
            <w:tcW w:w="1715" w:type="dxa"/>
            <w:vAlign w:val="center"/>
          </w:tcPr>
          <w:p w14:paraId="5A5F44B1" w14:textId="21526C1F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30</w:t>
            </w:r>
            <w:r w:rsidR="00D80CE5">
              <w:t xml:space="preserve"> </w:t>
            </w:r>
            <w:r w:rsidR="0020168C">
              <w:t>(12%)</w:t>
            </w:r>
          </w:p>
        </w:tc>
        <w:tc>
          <w:tcPr>
            <w:tcW w:w="2196" w:type="dxa"/>
            <w:vAlign w:val="center"/>
          </w:tcPr>
          <w:p w14:paraId="13DB2F31" w14:textId="5E492404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54,448</w:t>
            </w:r>
          </w:p>
        </w:tc>
        <w:tc>
          <w:tcPr>
            <w:tcW w:w="1725" w:type="dxa"/>
            <w:vAlign w:val="center"/>
          </w:tcPr>
          <w:p w14:paraId="5AAE2C10" w14:textId="36F79E99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0.55</w:t>
            </w:r>
          </w:p>
        </w:tc>
        <w:tc>
          <w:tcPr>
            <w:tcW w:w="1725" w:type="dxa"/>
            <w:vAlign w:val="center"/>
          </w:tcPr>
          <w:p w14:paraId="66DD43AB" w14:textId="1EBDD6D2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0.38</w:t>
            </w:r>
            <w:r>
              <w:t>–</w:t>
            </w:r>
            <w:r w:rsidRPr="00DE6E5A">
              <w:t>0.78</w:t>
            </w:r>
          </w:p>
        </w:tc>
      </w:tr>
      <w:tr w:rsidR="00EB40EC" w:rsidRPr="004846B0" w14:paraId="17F84E22" w14:textId="77777777" w:rsidTr="00407033">
        <w:tc>
          <w:tcPr>
            <w:tcW w:w="1665" w:type="dxa"/>
            <w:vAlign w:val="center"/>
          </w:tcPr>
          <w:p w14:paraId="300F2065" w14:textId="4207453D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rPr>
                <w:bCs/>
              </w:rPr>
              <w:t>4</w:t>
            </w:r>
          </w:p>
        </w:tc>
        <w:tc>
          <w:tcPr>
            <w:tcW w:w="1715" w:type="dxa"/>
            <w:vAlign w:val="center"/>
          </w:tcPr>
          <w:p w14:paraId="4F5A7E8F" w14:textId="749B6B2F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45</w:t>
            </w:r>
            <w:r w:rsidR="0020168C">
              <w:t xml:space="preserve"> </w:t>
            </w:r>
            <w:r w:rsidR="00D95CE6">
              <w:t>(18%)</w:t>
            </w:r>
          </w:p>
        </w:tc>
        <w:tc>
          <w:tcPr>
            <w:tcW w:w="2196" w:type="dxa"/>
            <w:vAlign w:val="center"/>
          </w:tcPr>
          <w:p w14:paraId="5DB612CF" w14:textId="67727883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67,350</w:t>
            </w:r>
          </w:p>
        </w:tc>
        <w:tc>
          <w:tcPr>
            <w:tcW w:w="1725" w:type="dxa"/>
            <w:vAlign w:val="center"/>
          </w:tcPr>
          <w:p w14:paraId="2CFC6764" w14:textId="2D863599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0.67</w:t>
            </w:r>
          </w:p>
        </w:tc>
        <w:tc>
          <w:tcPr>
            <w:tcW w:w="1725" w:type="dxa"/>
            <w:vAlign w:val="center"/>
          </w:tcPr>
          <w:p w14:paraId="6A173926" w14:textId="10C2F9AA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0.50-0.90</w:t>
            </w:r>
          </w:p>
        </w:tc>
      </w:tr>
      <w:tr w:rsidR="00EB40EC" w:rsidRPr="004846B0" w14:paraId="4438ED7F" w14:textId="77777777" w:rsidTr="00407033"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2073CF25" w14:textId="1A41D870" w:rsidR="00EB40EC" w:rsidRPr="00407033" w:rsidRDefault="00EB40EC" w:rsidP="00407033">
            <w:pPr>
              <w:pStyle w:val="HQSCtablefigurecaption"/>
              <w:rPr>
                <w:b w:val="0"/>
              </w:rPr>
            </w:pPr>
            <w:r w:rsidRPr="00407033">
              <w:rPr>
                <w:b w:val="0"/>
              </w:rPr>
              <w:t>5 (Most deprived)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15DE7F1C" w14:textId="058E1691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140</w:t>
            </w:r>
            <w:r w:rsidR="00D95CE6">
              <w:t xml:space="preserve"> (</w:t>
            </w:r>
            <w:r w:rsidR="00BE621A">
              <w:t>57%)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14:paraId="13BEFF49" w14:textId="11ABE72E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77,100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1544A25" w14:textId="0AD09493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1.82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39AD30E1" w14:textId="7EE07C1A" w:rsidR="00EB40EC" w:rsidRPr="004846B0" w:rsidRDefault="00EB40EC" w:rsidP="00EB40EC">
            <w:pPr>
              <w:spacing w:before="60" w:after="60"/>
              <w:rPr>
                <w:rFonts w:cs="Arial"/>
              </w:rPr>
            </w:pPr>
            <w:r w:rsidRPr="00DE6E5A">
              <w:t>1.54-2.15</w:t>
            </w:r>
          </w:p>
        </w:tc>
      </w:tr>
    </w:tbl>
    <w:p w14:paraId="76A5FC54" w14:textId="77FBA18A" w:rsidR="00DD3879" w:rsidRPr="00696294" w:rsidRDefault="00D32AA5" w:rsidP="00A55AD4">
      <w:pPr>
        <w:pStyle w:val="HQSCbodytext"/>
        <w:rPr>
          <w:sz w:val="18"/>
          <w:szCs w:val="18"/>
        </w:rPr>
      </w:pPr>
      <w:r w:rsidRPr="00696294">
        <w:rPr>
          <w:sz w:val="18"/>
          <w:szCs w:val="18"/>
        </w:rPr>
        <w:t xml:space="preserve">Notes: </w:t>
      </w:r>
      <w:r w:rsidR="00A03D88" w:rsidRPr="00696294">
        <w:rPr>
          <w:sz w:val="18"/>
          <w:szCs w:val="18"/>
        </w:rPr>
        <w:t xml:space="preserve">Unknown for </w:t>
      </w:r>
      <w:r>
        <w:rPr>
          <w:sz w:val="18"/>
          <w:szCs w:val="18"/>
        </w:rPr>
        <w:t>one</w:t>
      </w:r>
      <w:r w:rsidRPr="00696294">
        <w:rPr>
          <w:sz w:val="18"/>
          <w:szCs w:val="18"/>
        </w:rPr>
        <w:t xml:space="preserve"> </w:t>
      </w:r>
      <w:r w:rsidR="00A03D88" w:rsidRPr="00696294">
        <w:rPr>
          <w:sz w:val="18"/>
          <w:szCs w:val="18"/>
        </w:rPr>
        <w:t>individual</w:t>
      </w:r>
      <w:r w:rsidR="00130266" w:rsidRPr="00696294">
        <w:rPr>
          <w:sz w:val="18"/>
          <w:szCs w:val="18"/>
        </w:rPr>
        <w:t xml:space="preserve">. </w:t>
      </w:r>
      <w:bookmarkStart w:id="3" w:name="_Hlk217385822"/>
      <w:r w:rsidR="00F00801" w:rsidRPr="00696294">
        <w:rPr>
          <w:sz w:val="18"/>
          <w:szCs w:val="18"/>
        </w:rPr>
        <w:t>F</w:t>
      </w:r>
      <w:r w:rsidR="00CF1FE5" w:rsidRPr="00696294">
        <w:rPr>
          <w:sz w:val="18"/>
          <w:szCs w:val="18"/>
        </w:rPr>
        <w:t xml:space="preserve">rom 2020 </w:t>
      </w:r>
      <w:r w:rsidR="00CB60A7" w:rsidRPr="00696294">
        <w:rPr>
          <w:sz w:val="18"/>
          <w:szCs w:val="18"/>
        </w:rPr>
        <w:t xml:space="preserve">SUDI cases </w:t>
      </w:r>
      <w:r w:rsidR="00CF1FE5" w:rsidRPr="00696294">
        <w:rPr>
          <w:sz w:val="18"/>
          <w:szCs w:val="18"/>
        </w:rPr>
        <w:t>include confirmed plus 85</w:t>
      </w:r>
      <w:r>
        <w:rPr>
          <w:sz w:val="18"/>
          <w:szCs w:val="18"/>
        </w:rPr>
        <w:t xml:space="preserve"> percent</w:t>
      </w:r>
      <w:r w:rsidR="00CF1FE5" w:rsidRPr="00696294">
        <w:rPr>
          <w:sz w:val="18"/>
          <w:szCs w:val="18"/>
        </w:rPr>
        <w:t xml:space="preserve"> of preliminary cases.</w:t>
      </w:r>
      <w:r w:rsidR="006905B8" w:rsidRPr="00696294">
        <w:rPr>
          <w:sz w:val="18"/>
          <w:szCs w:val="18"/>
        </w:rPr>
        <w:t xml:space="preserve"> </w:t>
      </w:r>
      <w:r w:rsidR="009C4CF6" w:rsidRPr="00696294">
        <w:rPr>
          <w:sz w:val="18"/>
          <w:szCs w:val="18"/>
        </w:rPr>
        <w:t>R</w:t>
      </w:r>
      <w:r w:rsidR="006905B8" w:rsidRPr="00696294">
        <w:rPr>
          <w:sz w:val="18"/>
          <w:szCs w:val="18"/>
        </w:rPr>
        <w:t>ounding</w:t>
      </w:r>
      <w:r w:rsidR="00E17E72" w:rsidRPr="00696294">
        <w:rPr>
          <w:sz w:val="18"/>
          <w:szCs w:val="18"/>
        </w:rPr>
        <w:t xml:space="preserve"> </w:t>
      </w:r>
      <w:r w:rsidR="000F77CF" w:rsidRPr="00696294">
        <w:rPr>
          <w:sz w:val="18"/>
          <w:szCs w:val="18"/>
        </w:rPr>
        <w:t xml:space="preserve">of </w:t>
      </w:r>
      <w:r w:rsidR="00CB60A7" w:rsidRPr="00696294">
        <w:rPr>
          <w:sz w:val="18"/>
          <w:szCs w:val="18"/>
        </w:rPr>
        <w:t xml:space="preserve">these </w:t>
      </w:r>
      <w:r w:rsidR="00A066A6" w:rsidRPr="00696294">
        <w:rPr>
          <w:sz w:val="18"/>
          <w:szCs w:val="18"/>
        </w:rPr>
        <w:t>estimated case</w:t>
      </w:r>
      <w:r w:rsidR="00EA14FA" w:rsidRPr="00696294">
        <w:rPr>
          <w:sz w:val="18"/>
          <w:szCs w:val="18"/>
        </w:rPr>
        <w:t>s</w:t>
      </w:r>
      <w:r w:rsidR="00E17E72" w:rsidRPr="00696294">
        <w:rPr>
          <w:sz w:val="18"/>
          <w:szCs w:val="18"/>
        </w:rPr>
        <w:t xml:space="preserve"> impacts on </w:t>
      </w:r>
      <w:r w:rsidR="00142951" w:rsidRPr="00696294">
        <w:rPr>
          <w:sz w:val="18"/>
          <w:szCs w:val="18"/>
        </w:rPr>
        <w:t>SUDI case</w:t>
      </w:r>
      <w:r w:rsidR="00E17E72" w:rsidRPr="00696294">
        <w:rPr>
          <w:sz w:val="18"/>
          <w:szCs w:val="18"/>
        </w:rPr>
        <w:t xml:space="preserve"> counts</w:t>
      </w:r>
      <w:r w:rsidR="006905B8" w:rsidRPr="00696294">
        <w:rPr>
          <w:sz w:val="18"/>
          <w:szCs w:val="18"/>
        </w:rPr>
        <w:t xml:space="preserve">. </w:t>
      </w:r>
    </w:p>
    <w:bookmarkEnd w:id="3"/>
    <w:p w14:paraId="76A0FCCC" w14:textId="43D25224" w:rsidR="0038300B" w:rsidRDefault="00DE6E5A" w:rsidP="00A1679C">
      <w:pPr>
        <w:pStyle w:val="HQSChead2"/>
      </w:pPr>
      <w:r>
        <w:t xml:space="preserve">High </w:t>
      </w:r>
      <w:r w:rsidR="00CD3DED">
        <w:t xml:space="preserve">SUDI </w:t>
      </w:r>
      <w:r>
        <w:t xml:space="preserve">rates in some </w:t>
      </w:r>
      <w:r w:rsidR="00407033">
        <w:t xml:space="preserve">health </w:t>
      </w:r>
      <w:r w:rsidR="73C4134A">
        <w:t xml:space="preserve">service </w:t>
      </w:r>
      <w:r>
        <w:t>districts</w:t>
      </w:r>
    </w:p>
    <w:p w14:paraId="7F6808FF" w14:textId="361A6353" w:rsidR="0038300B" w:rsidRDefault="0038300B" w:rsidP="00DF3F2C">
      <w:pPr>
        <w:pStyle w:val="HQSCbullets"/>
        <w:numPr>
          <w:ilvl w:val="0"/>
          <w:numId w:val="0"/>
        </w:numPr>
        <w:ind w:left="360" w:hanging="360"/>
      </w:pPr>
      <w:r>
        <w:t>There is uneven district distribution of SUDI.</w:t>
      </w:r>
    </w:p>
    <w:p w14:paraId="552E0A4F" w14:textId="358D0D40" w:rsidR="0038300B" w:rsidRPr="00AA11CE" w:rsidRDefault="005005B7" w:rsidP="6C4E1AF8">
      <w:pPr>
        <w:pStyle w:val="HQSCbullets"/>
        <w:numPr>
          <w:ilvl w:val="0"/>
          <w:numId w:val="0"/>
        </w:numPr>
      </w:pPr>
      <w:r w:rsidRPr="005005B7">
        <w:t xml:space="preserve">Northland, </w:t>
      </w:r>
      <w:r w:rsidR="45568DE8">
        <w:t>Counties Manukau,</w:t>
      </w:r>
      <w:r w:rsidR="00AA62DB">
        <w:t xml:space="preserve"> </w:t>
      </w:r>
      <w:proofErr w:type="spellStart"/>
      <w:r w:rsidR="008544BF" w:rsidRPr="008544BF">
        <w:t>Tairāwhiti</w:t>
      </w:r>
      <w:proofErr w:type="spellEnd"/>
      <w:r w:rsidR="008544BF" w:rsidRPr="008544BF">
        <w:t>, Whanganui,</w:t>
      </w:r>
      <w:r w:rsidR="00240204" w:rsidRPr="00240204">
        <w:t xml:space="preserve"> Hawke’s Bay</w:t>
      </w:r>
      <w:r w:rsidR="008544BF" w:rsidRPr="008544BF">
        <w:t xml:space="preserve"> and South Canterbury </w:t>
      </w:r>
      <w:r w:rsidR="45568DE8">
        <w:t xml:space="preserve">rates </w:t>
      </w:r>
      <w:r w:rsidR="0092561A">
        <w:t xml:space="preserve">are </w:t>
      </w:r>
      <w:r w:rsidR="45568DE8">
        <w:t>above the national average.</w:t>
      </w:r>
    </w:p>
    <w:p w14:paraId="624E5349" w14:textId="2F335368" w:rsidR="0038300B" w:rsidRPr="00AA11CE" w:rsidRDefault="00415E38" w:rsidP="6C4E1AF8">
      <w:pPr>
        <w:pStyle w:val="HQSCbullets"/>
        <w:numPr>
          <w:ilvl w:val="0"/>
          <w:numId w:val="0"/>
        </w:numPr>
      </w:pPr>
      <w:r>
        <w:lastRenderedPageBreak/>
        <w:t xml:space="preserve">The lowest rates are seen in </w:t>
      </w:r>
      <w:r w:rsidR="007833F6">
        <w:t xml:space="preserve">Nelson Malborough, Taranaki, </w:t>
      </w:r>
      <w:r w:rsidR="00CE60D9">
        <w:t xml:space="preserve">and Southern Districts during this </w:t>
      </w:r>
      <w:proofErr w:type="gramStart"/>
      <w:r w:rsidR="00CE60D9">
        <w:t>time period</w:t>
      </w:r>
      <w:proofErr w:type="gramEnd"/>
      <w:r w:rsidR="00485B9F">
        <w:t xml:space="preserve">. </w:t>
      </w:r>
      <w:r w:rsidR="0E0969B0">
        <w:t xml:space="preserve"> </w:t>
      </w:r>
    </w:p>
    <w:p w14:paraId="223F06F4" w14:textId="2AAADDCA" w:rsidR="00392157" w:rsidRDefault="000016A5" w:rsidP="0089280D">
      <w:pPr>
        <w:pStyle w:val="HQSCtablecolumnhead"/>
        <w:framePr w:wrap="around"/>
      </w:pPr>
      <w:r>
        <w:t xml:space="preserve">Figure 4: </w:t>
      </w:r>
      <w:r w:rsidR="00CD20BF">
        <w:t>SUDI rates among infants born alive</w:t>
      </w:r>
      <w:r>
        <w:t>,</w:t>
      </w:r>
      <w:r w:rsidR="00CD20BF">
        <w:t xml:space="preserve"> 2019 </w:t>
      </w:r>
      <w:r>
        <w:t xml:space="preserve">to </w:t>
      </w:r>
      <w:r w:rsidR="00CD20BF">
        <w:t>2023, by district</w:t>
      </w:r>
      <w:r w:rsidR="005C0427">
        <w:rPr>
          <w:noProof/>
        </w:rPr>
        <w:drawing>
          <wp:inline distT="0" distB="0" distL="0" distR="0" wp14:anchorId="6E70C9A4" wp14:editId="67C3DDD8">
            <wp:extent cx="6267450" cy="3760470"/>
            <wp:effectExtent l="0" t="0" r="0" b="0"/>
            <wp:docPr id="96405757" name="Picture 4" descr="A complex bar grap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5757" name="Picture 4" descr="A complex bar graph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261" cy="376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3C592" w14:textId="780B62C0" w:rsidR="00CD20BF" w:rsidRDefault="000016A5" w:rsidP="00CD20BF">
      <w:pPr>
        <w:pStyle w:val="HQSCbodytext"/>
        <w:rPr>
          <w:sz w:val="18"/>
          <w:szCs w:val="18"/>
          <w:lang w:val="en-US"/>
        </w:rPr>
      </w:pPr>
      <w:r w:rsidRPr="00A55AD4">
        <w:rPr>
          <w:sz w:val="18"/>
          <w:szCs w:val="18"/>
          <w:lang w:val="en-US"/>
        </w:rPr>
        <w:t xml:space="preserve">Note: </w:t>
      </w:r>
      <w:r w:rsidR="00EA7D86">
        <w:rPr>
          <w:sz w:val="18"/>
          <w:szCs w:val="18"/>
          <w:lang w:val="en-US"/>
        </w:rPr>
        <w:t xml:space="preserve">The dotted red line shows </w:t>
      </w:r>
      <w:r w:rsidR="00131006">
        <w:rPr>
          <w:sz w:val="18"/>
          <w:szCs w:val="18"/>
          <w:lang w:val="en-US"/>
        </w:rPr>
        <w:t xml:space="preserve">the national average rate of SUDI </w:t>
      </w:r>
      <w:r w:rsidR="00C06FE4">
        <w:rPr>
          <w:sz w:val="18"/>
          <w:szCs w:val="18"/>
          <w:lang w:val="en-US"/>
        </w:rPr>
        <w:t>cases</w:t>
      </w:r>
      <w:r w:rsidR="005F6047">
        <w:rPr>
          <w:sz w:val="18"/>
          <w:szCs w:val="18"/>
          <w:lang w:val="en-US"/>
        </w:rPr>
        <w:t>,</w:t>
      </w:r>
      <w:r w:rsidR="00131006">
        <w:rPr>
          <w:sz w:val="18"/>
          <w:szCs w:val="18"/>
          <w:lang w:val="en-US"/>
        </w:rPr>
        <w:t xml:space="preserve"> and the</w:t>
      </w:r>
      <w:r w:rsidR="00131006" w:rsidRPr="00131006">
        <w:rPr>
          <w:sz w:val="18"/>
          <w:szCs w:val="18"/>
          <w:lang w:val="en-US"/>
        </w:rPr>
        <w:t xml:space="preserve"> grey shading</w:t>
      </w:r>
      <w:r w:rsidR="00131006">
        <w:rPr>
          <w:sz w:val="18"/>
          <w:szCs w:val="18"/>
          <w:lang w:val="en-US"/>
        </w:rPr>
        <w:t xml:space="preserve"> shows </w:t>
      </w:r>
      <w:r w:rsidR="005F6047">
        <w:rPr>
          <w:sz w:val="18"/>
          <w:szCs w:val="18"/>
          <w:lang w:val="en-US"/>
        </w:rPr>
        <w:t>the confidence</w:t>
      </w:r>
      <w:r w:rsidR="00CD20BF" w:rsidRPr="00A55AD4">
        <w:rPr>
          <w:sz w:val="18"/>
          <w:szCs w:val="18"/>
          <w:lang w:val="en-US"/>
        </w:rPr>
        <w:t xml:space="preserve"> interval for</w:t>
      </w:r>
      <w:r w:rsidR="00CD20BF" w:rsidRPr="339CBA37">
        <w:rPr>
          <w:lang w:val="en-US"/>
        </w:rPr>
        <w:t xml:space="preserve"> </w:t>
      </w:r>
      <w:r w:rsidR="00CD20BF" w:rsidRPr="00A55AD4">
        <w:rPr>
          <w:sz w:val="18"/>
          <w:szCs w:val="18"/>
          <w:lang w:val="en-US"/>
        </w:rPr>
        <w:t>the national average.</w:t>
      </w:r>
    </w:p>
    <w:p w14:paraId="1FBFB206" w14:textId="6DD840E7" w:rsidR="003C027E" w:rsidRDefault="637476F7" w:rsidP="003C027E">
      <w:pPr>
        <w:pStyle w:val="HQSChead2"/>
      </w:pPr>
      <w:r>
        <w:t xml:space="preserve">High </w:t>
      </w:r>
      <w:r w:rsidR="45568DE8">
        <w:t>SUDI</w:t>
      </w:r>
      <w:r>
        <w:t xml:space="preserve"> in pre-term infants</w:t>
      </w:r>
    </w:p>
    <w:p w14:paraId="5E46BFE5" w14:textId="57785FAA" w:rsidR="003E3EDF" w:rsidRDefault="003E3EDF" w:rsidP="00DF3F2C">
      <w:pPr>
        <w:pStyle w:val="HQSCbullets"/>
        <w:numPr>
          <w:ilvl w:val="0"/>
          <w:numId w:val="0"/>
        </w:numPr>
        <w:ind w:left="360" w:hanging="360"/>
      </w:pPr>
      <w:r w:rsidRPr="00D376A1">
        <w:t>Pre-term infants are over</w:t>
      </w:r>
      <w:r>
        <w:t>-</w:t>
      </w:r>
      <w:r w:rsidRPr="00D376A1">
        <w:t>represented among SUDI cases.</w:t>
      </w:r>
    </w:p>
    <w:p w14:paraId="1AB5D9AC" w14:textId="29C9C76F" w:rsidR="003E3EDF" w:rsidRPr="003C027E" w:rsidRDefault="01570AB1" w:rsidP="6C4E1AF8">
      <w:pPr>
        <w:pStyle w:val="HQSCbullets"/>
        <w:numPr>
          <w:ilvl w:val="0"/>
          <w:numId w:val="0"/>
        </w:numPr>
      </w:pPr>
      <w:r>
        <w:t>One in five SUDI cases</w:t>
      </w:r>
      <w:r w:rsidR="00E31564">
        <w:t xml:space="preserve"> (19%)</w:t>
      </w:r>
      <w:r>
        <w:t xml:space="preserve"> are pre-term </w:t>
      </w:r>
      <w:r w:rsidR="00E31564">
        <w:t>infants.</w:t>
      </w:r>
      <w:r w:rsidR="0092227F">
        <w:t xml:space="preserve"> </w:t>
      </w:r>
      <w:r w:rsidR="0070022F">
        <w:t>P</w:t>
      </w:r>
      <w:r w:rsidR="00DF2D86" w:rsidRPr="00DF2D86">
        <w:t xml:space="preserve">reterm </w:t>
      </w:r>
      <w:r w:rsidR="0070022F">
        <w:t xml:space="preserve">infants make up </w:t>
      </w:r>
      <w:r w:rsidR="00DF2D86" w:rsidRPr="00DF2D86">
        <w:t>7.9</w:t>
      </w:r>
      <w:r w:rsidR="0092561A">
        <w:t xml:space="preserve"> percent</w:t>
      </w:r>
      <w:r w:rsidR="005A3673">
        <w:t xml:space="preserve"> </w:t>
      </w:r>
      <w:r w:rsidR="002637FC">
        <w:t xml:space="preserve">of live </w:t>
      </w:r>
      <w:proofErr w:type="gramStart"/>
      <w:r w:rsidR="002637FC">
        <w:t>births</w:t>
      </w:r>
      <w:proofErr w:type="gramEnd"/>
      <w:r w:rsidR="002637FC">
        <w:t xml:space="preserve"> so this is </w:t>
      </w:r>
      <w:r w:rsidR="00DF2D86" w:rsidRPr="00DF2D86">
        <w:t xml:space="preserve">double what is expected. </w:t>
      </w:r>
    </w:p>
    <w:p w14:paraId="5927D610" w14:textId="28C7DA2A" w:rsidR="00C50FBD" w:rsidRDefault="003E3EDF" w:rsidP="00A55AD4">
      <w:pPr>
        <w:pStyle w:val="HQSCtablecolumnhead"/>
        <w:framePr w:wrap="around"/>
      </w:pPr>
      <w:r>
        <w:t xml:space="preserve">Table 2: </w:t>
      </w:r>
      <w:r w:rsidR="00C50FBD">
        <w:t>SUDI cases among infants born alive, between 2007 and 2023, by gestational age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2010"/>
        <w:gridCol w:w="1842"/>
        <w:gridCol w:w="1572"/>
      </w:tblGrid>
      <w:tr w:rsidR="00344D47" w14:paraId="7865CE05" w14:textId="77777777" w:rsidTr="003C724A"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78266" w14:textId="17637A8E" w:rsidR="00344D47" w:rsidRPr="004846B0" w:rsidRDefault="00344D47" w:rsidP="00344D47">
            <w:pPr>
              <w:pStyle w:val="HQSCtablecolumnhead"/>
              <w:framePr w:hSpace="0" w:wrap="auto" w:vAnchor="margin" w:hAnchor="text" w:yAlign="inline"/>
            </w:pPr>
            <w:r w:rsidRPr="00C50FBD">
              <w:rPr>
                <w:bCs/>
              </w:rPr>
              <w:t>Gestational group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BE6EC" w14:textId="0E5689CF" w:rsidR="00344D47" w:rsidRPr="004846B0" w:rsidRDefault="00C115C5" w:rsidP="00344D47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  <w:bCs/>
              </w:rPr>
              <w:t>Percent of a</w:t>
            </w:r>
            <w:r w:rsidR="00344D47" w:rsidRPr="00C50FBD">
              <w:rPr>
                <w:b/>
                <w:bCs/>
              </w:rPr>
              <w:t xml:space="preserve">ll live births </w:t>
            </w:r>
            <w:r w:rsidR="005741ED">
              <w:rPr>
                <w:b/>
                <w:bCs/>
              </w:rPr>
              <w:t>2007-</w:t>
            </w:r>
            <w:r w:rsidR="00344D47" w:rsidRPr="00C50FBD">
              <w:rPr>
                <w:b/>
                <w:bCs/>
              </w:rPr>
              <w:t>2023</w:t>
            </w:r>
            <w:r w:rsidR="00AA6602">
              <w:rPr>
                <w:b/>
                <w:bCs/>
              </w:rPr>
              <w:t>*</w:t>
            </w:r>
            <w:r w:rsidR="00344D47" w:rsidRPr="00C50FBD"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69E03" w14:textId="28F191E8" w:rsidR="00344D47" w:rsidRDefault="00344D47" w:rsidP="00344D47">
            <w:pPr>
              <w:spacing w:before="60" w:after="60"/>
              <w:rPr>
                <w:rFonts w:cs="Arial"/>
                <w:b/>
              </w:rPr>
            </w:pPr>
            <w:r w:rsidRPr="00C50FBD">
              <w:rPr>
                <w:b/>
                <w:bCs/>
              </w:rPr>
              <w:t>Number of SUDI</w:t>
            </w:r>
            <w:r w:rsidR="00C115C5">
              <w:rPr>
                <w:b/>
                <w:bCs/>
              </w:rPr>
              <w:t xml:space="preserve"> </w:t>
            </w:r>
            <w:r w:rsidR="008409CF">
              <w:rPr>
                <w:b/>
                <w:bCs/>
              </w:rPr>
              <w:t>c</w:t>
            </w:r>
            <w:r w:rsidR="00C115C5">
              <w:rPr>
                <w:b/>
                <w:bCs/>
              </w:rPr>
              <w:t>ases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8AE5C" w14:textId="1E10C210" w:rsidR="00344D47" w:rsidRDefault="00344D47" w:rsidP="00344D47">
            <w:pPr>
              <w:spacing w:before="60" w:after="60"/>
              <w:rPr>
                <w:rFonts w:cs="Arial"/>
                <w:b/>
              </w:rPr>
            </w:pPr>
            <w:r w:rsidRPr="00C50FBD">
              <w:rPr>
                <w:b/>
                <w:bCs/>
              </w:rPr>
              <w:t xml:space="preserve">SUDI cases </w:t>
            </w:r>
            <w:r>
              <w:rPr>
                <w:b/>
                <w:bCs/>
              </w:rPr>
              <w:t>(</w:t>
            </w:r>
            <w:r w:rsidRPr="00C50FBD">
              <w:rPr>
                <w:b/>
                <w:bCs/>
              </w:rPr>
              <w:t>%</w:t>
            </w:r>
            <w:r>
              <w:rPr>
                <w:b/>
                <w:bCs/>
              </w:rPr>
              <w:t>)</w:t>
            </w:r>
          </w:p>
        </w:tc>
      </w:tr>
      <w:tr w:rsidR="00344D47" w:rsidRPr="004846B0" w14:paraId="573E68D2" w14:textId="77777777" w:rsidTr="003C724A"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14BC" w14:textId="77777777" w:rsidR="000C05B8" w:rsidRDefault="00344D47" w:rsidP="00344D47">
            <w:pPr>
              <w:pStyle w:val="HQSCtablefigurecaption"/>
              <w:rPr>
                <w:b w:val="0"/>
                <w:bCs/>
              </w:rPr>
            </w:pPr>
            <w:r w:rsidRPr="00344D47">
              <w:rPr>
                <w:b w:val="0"/>
                <w:bCs/>
              </w:rPr>
              <w:t>Pre-term</w:t>
            </w:r>
          </w:p>
          <w:p w14:paraId="749D8468" w14:textId="43BA53F4" w:rsidR="00344D47" w:rsidRPr="00344D47" w:rsidRDefault="000C05B8" w:rsidP="00344D47">
            <w:pPr>
              <w:pStyle w:val="HQSCtablefigurecaption"/>
              <w:rPr>
                <w:b w:val="0"/>
                <w:bCs/>
              </w:rPr>
            </w:pPr>
            <w:r w:rsidRPr="000C05B8">
              <w:rPr>
                <w:b w:val="0"/>
                <w:bCs/>
              </w:rPr>
              <w:t>&lt; 37 weeks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8D393" w14:textId="1404D150" w:rsidR="00344D47" w:rsidRPr="004846B0" w:rsidRDefault="00344D47" w:rsidP="00344D47">
            <w:pPr>
              <w:spacing w:before="60" w:after="60"/>
              <w:rPr>
                <w:rFonts w:cs="Arial"/>
              </w:rPr>
            </w:pPr>
            <w:r w:rsidRPr="00C50FBD">
              <w:t>7.9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951EC" w14:textId="17DE9899" w:rsidR="00344D47" w:rsidRPr="004846B0" w:rsidRDefault="00344D47" w:rsidP="00344D47">
            <w:pPr>
              <w:spacing w:before="60" w:after="60"/>
              <w:rPr>
                <w:rFonts w:cs="Arial"/>
              </w:rPr>
            </w:pPr>
            <w:r w:rsidRPr="00C50FBD">
              <w:t>167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881F5" w14:textId="08D0B064" w:rsidR="00344D47" w:rsidRPr="004846B0" w:rsidRDefault="00344D47" w:rsidP="00344D47">
            <w:pPr>
              <w:spacing w:before="60" w:after="60"/>
              <w:rPr>
                <w:rFonts w:cs="Arial"/>
              </w:rPr>
            </w:pPr>
            <w:r w:rsidRPr="00C50FBD">
              <w:t>19.3</w:t>
            </w:r>
          </w:p>
        </w:tc>
      </w:tr>
      <w:tr w:rsidR="00344D47" w:rsidRPr="004846B0" w14:paraId="52F1F0F8" w14:textId="77777777" w:rsidTr="003C724A"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0DD2" w14:textId="77777777" w:rsidR="000C05B8" w:rsidRDefault="00344D47" w:rsidP="00344D47">
            <w:pPr>
              <w:pStyle w:val="HQSCtablefigurecaption"/>
              <w:rPr>
                <w:b w:val="0"/>
                <w:bCs/>
              </w:rPr>
            </w:pPr>
            <w:r w:rsidRPr="00344D47">
              <w:rPr>
                <w:b w:val="0"/>
                <w:bCs/>
              </w:rPr>
              <w:t>Term and beyond</w:t>
            </w:r>
          </w:p>
          <w:p w14:paraId="6EFA36BF" w14:textId="7A6E4B4A" w:rsidR="00344D47" w:rsidRPr="00344D47" w:rsidRDefault="000C05B8" w:rsidP="00344D47">
            <w:pPr>
              <w:pStyle w:val="HQSCtablefigurecaption"/>
              <w:rPr>
                <w:b w:val="0"/>
                <w:bCs/>
              </w:rPr>
            </w:pPr>
            <w:r w:rsidRPr="000C05B8">
              <w:rPr>
                <w:b w:val="0"/>
                <w:bCs/>
              </w:rPr>
              <w:t>37 weeks plus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BE73E" w14:textId="5F3DEC02" w:rsidR="00344D47" w:rsidRPr="00DE6E5A" w:rsidRDefault="00344D47" w:rsidP="00344D47">
            <w:pPr>
              <w:spacing w:before="60" w:after="60"/>
            </w:pPr>
            <w:r w:rsidRPr="00C50FBD">
              <w:t>92.0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30925" w14:textId="6593E5EF" w:rsidR="00344D47" w:rsidRPr="00DE6E5A" w:rsidRDefault="00344D47" w:rsidP="00344D47">
            <w:pPr>
              <w:spacing w:before="60" w:after="60"/>
            </w:pPr>
            <w:r w:rsidRPr="00C50FBD">
              <w:t>666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29F31" w14:textId="15F04148" w:rsidR="00344D47" w:rsidRPr="00DE6E5A" w:rsidRDefault="00344D47" w:rsidP="00344D47">
            <w:pPr>
              <w:spacing w:before="60" w:after="60"/>
            </w:pPr>
            <w:r w:rsidRPr="00C50FBD">
              <w:t>77.0</w:t>
            </w:r>
          </w:p>
        </w:tc>
      </w:tr>
      <w:tr w:rsidR="00C115C5" w:rsidRPr="004846B0" w14:paraId="2496AE99" w14:textId="77777777" w:rsidTr="003C724A"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3A5A" w14:textId="6350E0C8" w:rsidR="00C115C5" w:rsidRPr="00344D47" w:rsidRDefault="00CF62E2" w:rsidP="00344D47">
            <w:pPr>
              <w:pStyle w:val="HQSCtablefigurecaption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Unknown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C4FBD" w14:textId="08B24F16" w:rsidR="00C115C5" w:rsidRPr="00C50FBD" w:rsidRDefault="00CF62E2" w:rsidP="00344D47">
            <w:pPr>
              <w:spacing w:before="60" w:after="60"/>
            </w:pPr>
            <w:r>
              <w:t>0.1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C340" w14:textId="61E6B710" w:rsidR="00C115C5" w:rsidRPr="00C50FBD" w:rsidRDefault="00CF62E2" w:rsidP="00344D47">
            <w:pPr>
              <w:spacing w:before="60" w:after="60"/>
            </w:pPr>
            <w:r>
              <w:t>32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E53ED" w14:textId="5D5C04FA" w:rsidR="00C115C5" w:rsidRPr="00C50FBD" w:rsidRDefault="009D3F97" w:rsidP="00344D47">
            <w:pPr>
              <w:spacing w:before="60" w:after="60"/>
            </w:pPr>
            <w:r>
              <w:t>3.7</w:t>
            </w:r>
          </w:p>
        </w:tc>
      </w:tr>
    </w:tbl>
    <w:p w14:paraId="66E8326E" w14:textId="7C6D0F17" w:rsidR="00142951" w:rsidRPr="00142951" w:rsidRDefault="007D749F" w:rsidP="00142951">
      <w:pPr>
        <w:pStyle w:val="HQSCbodytex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Notes: </w:t>
      </w:r>
      <w:r w:rsidR="0077760A">
        <w:rPr>
          <w:sz w:val="18"/>
          <w:szCs w:val="18"/>
        </w:rPr>
        <w:t xml:space="preserve">From </w:t>
      </w:r>
      <w:r w:rsidR="00142951" w:rsidRPr="00142951">
        <w:rPr>
          <w:sz w:val="18"/>
          <w:szCs w:val="18"/>
        </w:rPr>
        <w:t xml:space="preserve">2020 </w:t>
      </w:r>
      <w:r w:rsidR="0077760A">
        <w:rPr>
          <w:sz w:val="18"/>
          <w:szCs w:val="18"/>
        </w:rPr>
        <w:t xml:space="preserve">SUDI cases </w:t>
      </w:r>
      <w:r w:rsidR="00142951" w:rsidRPr="00142951">
        <w:rPr>
          <w:sz w:val="18"/>
          <w:szCs w:val="18"/>
        </w:rPr>
        <w:t>include confirmed plus 85</w:t>
      </w:r>
      <w:r w:rsidR="0092561A">
        <w:rPr>
          <w:sz w:val="18"/>
          <w:szCs w:val="18"/>
        </w:rPr>
        <w:t xml:space="preserve"> percen</w:t>
      </w:r>
      <w:r>
        <w:rPr>
          <w:sz w:val="18"/>
          <w:szCs w:val="18"/>
        </w:rPr>
        <w:t>t</w:t>
      </w:r>
      <w:r w:rsidR="00142951" w:rsidRPr="00142951">
        <w:rPr>
          <w:sz w:val="18"/>
          <w:szCs w:val="18"/>
        </w:rPr>
        <w:t xml:space="preserve"> of preliminary cases. Rounding of </w:t>
      </w:r>
      <w:r w:rsidR="0077760A">
        <w:rPr>
          <w:sz w:val="18"/>
          <w:szCs w:val="18"/>
        </w:rPr>
        <w:t xml:space="preserve">these </w:t>
      </w:r>
      <w:r w:rsidR="00142951" w:rsidRPr="00142951">
        <w:rPr>
          <w:sz w:val="18"/>
          <w:szCs w:val="18"/>
        </w:rPr>
        <w:t>estimated case</w:t>
      </w:r>
      <w:r w:rsidR="008F6AD1">
        <w:rPr>
          <w:sz w:val="18"/>
          <w:szCs w:val="18"/>
        </w:rPr>
        <w:t>s</w:t>
      </w:r>
      <w:r w:rsidR="00142951" w:rsidRPr="00142951">
        <w:rPr>
          <w:sz w:val="18"/>
          <w:szCs w:val="18"/>
        </w:rPr>
        <w:t xml:space="preserve"> impacts on SUDI case counts. </w:t>
      </w:r>
    </w:p>
    <w:p w14:paraId="6E2ADCC3" w14:textId="1B8C02AA" w:rsidR="00790F2C" w:rsidRPr="005A7837" w:rsidRDefault="00344D47" w:rsidP="005A7837">
      <w:pPr>
        <w:pStyle w:val="HQSCbodytext"/>
        <w:spacing w:after="0"/>
        <w:rPr>
          <w:sz w:val="18"/>
          <w:szCs w:val="18"/>
        </w:rPr>
      </w:pPr>
      <w:r w:rsidRPr="339CBA37">
        <w:rPr>
          <w:sz w:val="18"/>
          <w:szCs w:val="18"/>
        </w:rPr>
        <w:t>*</w:t>
      </w:r>
      <w:hyperlink r:id="rId15" w:history="1">
        <w:r w:rsidR="00602C01" w:rsidRPr="00D95675">
          <w:rPr>
            <w:rStyle w:val="Hyperlink"/>
            <w:sz w:val="18"/>
            <w:szCs w:val="18"/>
          </w:rPr>
          <w:t xml:space="preserve">Report on Maternity web tool </w:t>
        </w:r>
        <w:r w:rsidR="00D95675" w:rsidRPr="00D95675">
          <w:rPr>
            <w:rStyle w:val="Hyperlink"/>
            <w:sz w:val="18"/>
            <w:szCs w:val="18"/>
          </w:rPr>
          <w:t>– tewhatuora.govt.nz</w:t>
        </w:r>
      </w:hyperlink>
      <w:r w:rsidRPr="339CBA37">
        <w:rPr>
          <w:sz w:val="18"/>
          <w:szCs w:val="18"/>
        </w:rPr>
        <w:t xml:space="preserve"> </w:t>
      </w:r>
    </w:p>
    <w:p w14:paraId="21DE9945" w14:textId="552C385E" w:rsidR="00C677F9" w:rsidRDefault="09124160" w:rsidP="00235C31">
      <w:pPr>
        <w:pStyle w:val="HQSChead2"/>
      </w:pPr>
      <w:r>
        <w:lastRenderedPageBreak/>
        <w:t xml:space="preserve">High </w:t>
      </w:r>
      <w:r w:rsidR="707CAEBF">
        <w:t xml:space="preserve">SUDI </w:t>
      </w:r>
      <w:r w:rsidR="0057140D">
        <w:t>i</w:t>
      </w:r>
      <w:r>
        <w:t>n the first four months of life</w:t>
      </w:r>
    </w:p>
    <w:p w14:paraId="15AC2FDE" w14:textId="53928FB4" w:rsidR="00141DDA" w:rsidRPr="009F5B95" w:rsidRDefault="00141DDA" w:rsidP="00DF3F2C">
      <w:pPr>
        <w:pStyle w:val="HQSCbullets"/>
        <w:numPr>
          <w:ilvl w:val="0"/>
          <w:numId w:val="0"/>
        </w:numPr>
        <w:ind w:left="360" w:hanging="360"/>
      </w:pPr>
      <w:r>
        <w:t xml:space="preserve">For all infants, the greatest risk period for SUDI </w:t>
      </w:r>
      <w:r w:rsidR="008409CF">
        <w:t>cases</w:t>
      </w:r>
      <w:r>
        <w:t xml:space="preserve"> is in the first four months of life.</w:t>
      </w:r>
    </w:p>
    <w:p w14:paraId="1F8F19B7" w14:textId="14B1D419" w:rsidR="00F537D5" w:rsidRDefault="001D1040" w:rsidP="002523A9">
      <w:pPr>
        <w:pStyle w:val="HQSCtablefigurecaption"/>
      </w:pPr>
      <w:r>
        <w:t xml:space="preserve">Figure </w:t>
      </w:r>
      <w:r w:rsidR="003A5CEF">
        <w:t>5</w:t>
      </w:r>
      <w:r>
        <w:t xml:space="preserve">: </w:t>
      </w:r>
      <w:r w:rsidR="00F537D5" w:rsidRPr="00F537D5">
        <w:t>Proportion of SUDI cases by age at death</w:t>
      </w:r>
      <w:r w:rsidR="00141DDA">
        <w:t>,</w:t>
      </w:r>
      <w:r w:rsidR="00F537D5" w:rsidRPr="00F537D5">
        <w:t xml:space="preserve"> 2007 </w:t>
      </w:r>
      <w:r w:rsidR="00141DDA">
        <w:t>to</w:t>
      </w:r>
      <w:r w:rsidR="00141DDA" w:rsidRPr="00F537D5">
        <w:t xml:space="preserve"> </w:t>
      </w:r>
      <w:r w:rsidR="00F537D5" w:rsidRPr="00F537D5">
        <w:t>2023</w:t>
      </w:r>
      <w:r w:rsidR="00F537D5" w:rsidRPr="00F537D5">
        <w:rPr>
          <w:noProof/>
        </w:rPr>
        <w:drawing>
          <wp:inline distT="0" distB="0" distL="0" distR="0" wp14:anchorId="034DCB29" wp14:editId="2F85A14B">
            <wp:extent cx="5731508" cy="3438904"/>
            <wp:effectExtent l="0" t="0" r="3175" b="0"/>
            <wp:docPr id="1092127071" name="Graphic 4" descr="A complex bar graph.">
              <a:extLst xmlns:a="http://schemas.openxmlformats.org/drawingml/2006/main">
                <a:ext uri="{FF2B5EF4-FFF2-40B4-BE49-F238E27FC236}">
                  <a16:creationId xmlns:a16="http://schemas.microsoft.com/office/drawing/2014/main" id="{CC2B3620-5917-856D-192E-D217445812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27071" name="Graphic 4" descr="A complex bar graph.">
                      <a:extLst>
                        <a:ext uri="{FF2B5EF4-FFF2-40B4-BE49-F238E27FC236}">
                          <a16:creationId xmlns:a16="http://schemas.microsoft.com/office/drawing/2014/main" id="{CC2B3620-5917-856D-192E-D217445812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08" cy="343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49275" w14:textId="48CF27D4" w:rsidR="00F537D5" w:rsidRDefault="007C69A7" w:rsidP="002523A9">
      <w:pPr>
        <w:pStyle w:val="HQSCtablefigurecaption"/>
      </w:pPr>
      <w:r>
        <w:t xml:space="preserve">Table 3: </w:t>
      </w:r>
      <w:r w:rsidR="00480B7D">
        <w:t xml:space="preserve">Percent </w:t>
      </w:r>
      <w:r w:rsidR="003B6991" w:rsidRPr="003B6991">
        <w:t>of SUDI cases by age at death between 2007 and 2023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1845"/>
        <w:gridCol w:w="1699"/>
      </w:tblGrid>
      <w:tr w:rsidR="007C69A7" w14:paraId="4BF9BAAD" w14:textId="77777777" w:rsidTr="007C69A7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C525D" w14:textId="4B49C500" w:rsidR="007C69A7" w:rsidRPr="004846B0" w:rsidRDefault="007C69A7" w:rsidP="007C69A7">
            <w:pPr>
              <w:pStyle w:val="HQSCtablecolumnhead"/>
              <w:framePr w:hSpace="0" w:wrap="auto" w:vAnchor="margin" w:hAnchor="text" w:yAlign="inline"/>
            </w:pPr>
            <w:r w:rsidRPr="003B6991">
              <w:rPr>
                <w:bCs/>
              </w:rPr>
              <w:t>Age (months)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09891" w14:textId="66EE9A51" w:rsidR="007C69A7" w:rsidRPr="007C69A7" w:rsidRDefault="007C69A7" w:rsidP="007C69A7">
            <w:pPr>
              <w:spacing w:before="60" w:after="60"/>
              <w:rPr>
                <w:rFonts w:cs="Arial"/>
                <w:b/>
              </w:rPr>
            </w:pPr>
            <w:r w:rsidRPr="007C69A7">
              <w:rPr>
                <w:b/>
              </w:rPr>
              <w:t>SUDI cases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9EA43" w14:textId="3964EA45" w:rsidR="007C69A7" w:rsidRPr="007C69A7" w:rsidRDefault="004D0848" w:rsidP="007C69A7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 xml:space="preserve">Percent 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CE249" w14:textId="508F0A6B" w:rsidR="007C69A7" w:rsidRPr="007C69A7" w:rsidRDefault="007C69A7" w:rsidP="007C69A7">
            <w:pPr>
              <w:spacing w:before="60" w:after="60"/>
              <w:rPr>
                <w:rFonts w:cs="Arial"/>
                <w:b/>
              </w:rPr>
            </w:pPr>
            <w:r w:rsidRPr="007C69A7">
              <w:rPr>
                <w:b/>
              </w:rPr>
              <w:t>95% CI</w:t>
            </w:r>
          </w:p>
        </w:tc>
      </w:tr>
      <w:tr w:rsidR="007C69A7" w:rsidRPr="004846B0" w14:paraId="190DA9DF" w14:textId="77777777" w:rsidTr="007C69A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5FF4" w14:textId="2FAD81BF" w:rsidR="007C69A7" w:rsidRPr="007C69A7" w:rsidRDefault="007C69A7" w:rsidP="007C69A7">
            <w:pPr>
              <w:pStyle w:val="HQSCtablefigurecaption"/>
              <w:rPr>
                <w:b w:val="0"/>
              </w:rPr>
            </w:pPr>
            <w:r w:rsidRPr="007C69A7">
              <w:rPr>
                <w:b w:val="0"/>
              </w:rPr>
              <w:t>Under 4 months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FD12" w14:textId="660FB233" w:rsidR="007C69A7" w:rsidRPr="004846B0" w:rsidRDefault="007C69A7" w:rsidP="007C69A7">
            <w:pPr>
              <w:spacing w:before="60" w:after="60"/>
              <w:rPr>
                <w:rFonts w:cs="Arial"/>
              </w:rPr>
            </w:pPr>
            <w:r w:rsidRPr="003B6991">
              <w:t>621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53E75" w14:textId="5D1D0BF7" w:rsidR="007C69A7" w:rsidRPr="004846B0" w:rsidRDefault="007C69A7" w:rsidP="007C69A7">
            <w:pPr>
              <w:spacing w:before="60" w:after="60"/>
              <w:rPr>
                <w:rFonts w:cs="Arial"/>
              </w:rPr>
            </w:pPr>
            <w:r w:rsidRPr="003B6991">
              <w:t>71.8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9DAB5" w14:textId="078C9C52" w:rsidR="007C69A7" w:rsidRPr="004846B0" w:rsidRDefault="007C69A7" w:rsidP="007C69A7">
            <w:pPr>
              <w:spacing w:before="60" w:after="60"/>
              <w:rPr>
                <w:rFonts w:cs="Arial"/>
              </w:rPr>
            </w:pPr>
            <w:r w:rsidRPr="003B6991">
              <w:t>68.69</w:t>
            </w:r>
            <w:r>
              <w:t>–</w:t>
            </w:r>
            <w:r w:rsidRPr="003B6991">
              <w:t>74.68</w:t>
            </w:r>
          </w:p>
        </w:tc>
      </w:tr>
      <w:tr w:rsidR="007C69A7" w:rsidRPr="004846B0" w14:paraId="7F37A830" w14:textId="77777777" w:rsidTr="007C69A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ADFC" w14:textId="480C5B7E" w:rsidR="007C69A7" w:rsidRPr="007C69A7" w:rsidRDefault="007C69A7" w:rsidP="007C69A7">
            <w:pPr>
              <w:pStyle w:val="HQSCtablefigurecaption"/>
              <w:rPr>
                <w:b w:val="0"/>
              </w:rPr>
            </w:pPr>
            <w:r w:rsidRPr="007C69A7">
              <w:rPr>
                <w:b w:val="0"/>
              </w:rPr>
              <w:t>Four months and over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8047" w14:textId="1D1ED089" w:rsidR="007C69A7" w:rsidRPr="00C50FBD" w:rsidRDefault="007C69A7" w:rsidP="007C69A7">
            <w:pPr>
              <w:spacing w:before="60" w:after="60"/>
            </w:pPr>
            <w:r w:rsidRPr="003B6991"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7F4A4" w14:textId="451506AB" w:rsidR="007C69A7" w:rsidRPr="00C50FBD" w:rsidRDefault="007C69A7" w:rsidP="007C69A7">
            <w:pPr>
              <w:spacing w:before="60" w:after="60"/>
            </w:pPr>
            <w:r w:rsidRPr="003B6991">
              <w:t>28.2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1110A" w14:textId="52E4F8A8" w:rsidR="007C69A7" w:rsidRPr="00C50FBD" w:rsidRDefault="007C69A7" w:rsidP="007C69A7">
            <w:pPr>
              <w:spacing w:before="60" w:after="60"/>
            </w:pPr>
            <w:r w:rsidRPr="003B6991">
              <w:t>25.32</w:t>
            </w:r>
            <w:r>
              <w:t>–</w:t>
            </w:r>
            <w:r w:rsidRPr="003B6991">
              <w:t>31.31</w:t>
            </w:r>
          </w:p>
        </w:tc>
      </w:tr>
    </w:tbl>
    <w:p w14:paraId="78B023F8" w14:textId="36F22521" w:rsidR="00972FCD" w:rsidRDefault="009F5B95" w:rsidP="004237CF">
      <w:pPr>
        <w:pStyle w:val="HQSChead2"/>
      </w:pPr>
      <w:r w:rsidRPr="009F5B95" w:rsidDel="004F670E">
        <w:t xml:space="preserve">SUDI </w:t>
      </w:r>
      <w:r w:rsidR="00353F29" w:rsidRPr="00353F29">
        <w:t xml:space="preserve">rates </w:t>
      </w:r>
      <w:r w:rsidR="00FF2CDB">
        <w:t xml:space="preserve">and </w:t>
      </w:r>
      <w:r w:rsidR="00DC39E8">
        <w:t>ethnicity</w:t>
      </w:r>
    </w:p>
    <w:p w14:paraId="3837E1D7" w14:textId="6A92DABF" w:rsidR="00E70341" w:rsidRPr="009D1592" w:rsidRDefault="00F33898" w:rsidP="009D1592">
      <w:pPr>
        <w:pStyle w:val="HQSCbodytext"/>
      </w:pPr>
      <w:r w:rsidRPr="009D1592">
        <w:t>Figures</w:t>
      </w:r>
      <w:r w:rsidR="00A7347D" w:rsidRPr="009D1592">
        <w:t xml:space="preserve"> 6 </w:t>
      </w:r>
      <w:r w:rsidRPr="009D1592">
        <w:t xml:space="preserve">to </w:t>
      </w:r>
      <w:r w:rsidR="004F27F1">
        <w:t>10</w:t>
      </w:r>
      <w:r w:rsidRPr="009D1592">
        <w:t xml:space="preserve"> </w:t>
      </w:r>
      <w:r w:rsidR="002129D2">
        <w:t>shows</w:t>
      </w:r>
      <w:r w:rsidRPr="009D1592">
        <w:t xml:space="preserve"> the relationship between ethnicity and SUDI rates. </w:t>
      </w:r>
      <w:r w:rsidR="00173325">
        <w:t>We describe ethnicity two ways</w:t>
      </w:r>
      <w:r w:rsidR="005B048B">
        <w:t xml:space="preserve"> in this report</w:t>
      </w:r>
      <w:r w:rsidR="00D02018">
        <w:t>:</w:t>
      </w:r>
      <w:r w:rsidR="00E74ED8" w:rsidRPr="009D1592">
        <w:t xml:space="preserve"> </w:t>
      </w:r>
      <w:r w:rsidR="00FF2CDB">
        <w:t>prioritised</w:t>
      </w:r>
      <w:r w:rsidR="00DC39E8">
        <w:t xml:space="preserve"> </w:t>
      </w:r>
      <w:r w:rsidR="008E7AF8" w:rsidRPr="009D1592">
        <w:t xml:space="preserve">ethnicity </w:t>
      </w:r>
      <w:r w:rsidR="00FF2CDB">
        <w:t xml:space="preserve">and total </w:t>
      </w:r>
      <w:r w:rsidR="00456BDB">
        <w:t xml:space="preserve">response </w:t>
      </w:r>
      <w:r w:rsidR="00DC39E8">
        <w:t>ethnicity</w:t>
      </w:r>
      <w:r w:rsidR="002E78C0">
        <w:t>.</w:t>
      </w:r>
      <w:r w:rsidR="00DC39E8">
        <w:t xml:space="preserve"> </w:t>
      </w:r>
      <w:r w:rsidR="0060365D">
        <w:t xml:space="preserve">Both these methods have strengths and limitations. </w:t>
      </w:r>
    </w:p>
    <w:p w14:paraId="0CF6C838" w14:textId="669B59E9" w:rsidR="00CE1C1F" w:rsidRDefault="00DA5ACF" w:rsidP="009D1592">
      <w:pPr>
        <w:pStyle w:val="HQSCbodytext"/>
      </w:pPr>
      <w:r w:rsidRPr="009D1592">
        <w:t xml:space="preserve">Prioritised ethnicity is a system that assigns a single ethnic group to individuals with multiple </w:t>
      </w:r>
      <w:r w:rsidR="006E7E01">
        <w:t xml:space="preserve">ethnic </w:t>
      </w:r>
      <w:r w:rsidRPr="009D1592">
        <w:t>affiliations</w:t>
      </w:r>
      <w:r w:rsidR="007647ED">
        <w:t>,</w:t>
      </w:r>
      <w:r w:rsidRPr="009D1592">
        <w:t xml:space="preserve"> based on a predetermined order of priority. The </w:t>
      </w:r>
      <w:r w:rsidR="00E13883">
        <w:t>prioritisation</w:t>
      </w:r>
      <w:r w:rsidRPr="009D1592">
        <w:t xml:space="preserve"> places Māori </w:t>
      </w:r>
      <w:r w:rsidR="00975D7A">
        <w:t>first</w:t>
      </w:r>
      <w:r w:rsidRPr="009D1592">
        <w:t xml:space="preserve"> followed by Pacific </w:t>
      </w:r>
      <w:r w:rsidR="007647ED">
        <w:t>p</w:t>
      </w:r>
      <w:r w:rsidR="007647ED" w:rsidRPr="009D1592">
        <w:t>eoples</w:t>
      </w:r>
      <w:r w:rsidRPr="009D1592">
        <w:t xml:space="preserve">, Asian and then European/Other. </w:t>
      </w:r>
      <w:r w:rsidR="00C9139B">
        <w:t>I</w:t>
      </w:r>
      <w:r w:rsidR="008475FE">
        <w:t xml:space="preserve">t plays an important role </w:t>
      </w:r>
      <w:r w:rsidR="00530355">
        <w:t xml:space="preserve">in identifying people with Māori </w:t>
      </w:r>
      <w:r w:rsidR="00C0656D">
        <w:t>ethnicity</w:t>
      </w:r>
      <w:r w:rsidR="00530355">
        <w:t xml:space="preserve"> in the population. </w:t>
      </w:r>
    </w:p>
    <w:p w14:paraId="4EF6AB33" w14:textId="1854C83F" w:rsidR="00DA5ACF" w:rsidRPr="009D1592" w:rsidRDefault="00741847" w:rsidP="009D1592">
      <w:pPr>
        <w:pStyle w:val="HQSCbodytext"/>
      </w:pPr>
      <w:r>
        <w:t>A</w:t>
      </w:r>
      <w:r w:rsidR="00125777">
        <w:t xml:space="preserve"> l</w:t>
      </w:r>
      <w:r w:rsidR="00DA5ACF" w:rsidRPr="009D1592">
        <w:t xml:space="preserve">imitation of prioritised ethnicity </w:t>
      </w:r>
      <w:r w:rsidR="00470FD0">
        <w:t xml:space="preserve">is </w:t>
      </w:r>
      <w:r w:rsidR="00DA5ACF" w:rsidRPr="009D1592">
        <w:t>the loss of nuanced information about individuals with multiple ethnic affiliations</w:t>
      </w:r>
      <w:r w:rsidR="00346860">
        <w:t>.</w:t>
      </w:r>
      <w:r w:rsidR="00DA5ACF" w:rsidRPr="009D1592">
        <w:t xml:space="preserve"> </w:t>
      </w:r>
    </w:p>
    <w:p w14:paraId="5453861B" w14:textId="6A15E4B1" w:rsidR="00FA2AF3" w:rsidRDefault="00DA5ACF" w:rsidP="009D1592">
      <w:pPr>
        <w:pStyle w:val="HQSCbodytext"/>
      </w:pPr>
      <w:r w:rsidRPr="009D1592">
        <w:t xml:space="preserve">Total ethnicity addresses </w:t>
      </w:r>
      <w:r w:rsidR="00741847">
        <w:t>this</w:t>
      </w:r>
      <w:r w:rsidRPr="009D1592">
        <w:t xml:space="preserve"> limitation of prioritised ethnicity by acknowledging all ethnic groups an individual identifies with. It </w:t>
      </w:r>
      <w:r w:rsidR="00691ADD">
        <w:t>represents</w:t>
      </w:r>
      <w:r w:rsidRPr="009D1592">
        <w:t xml:space="preserve"> all ethnic groups in a population </w:t>
      </w:r>
      <w:r w:rsidR="00AF1351">
        <w:t>and prevents</w:t>
      </w:r>
      <w:r w:rsidRPr="009D1592">
        <w:t xml:space="preserve"> undercounting of ethnic groups lower down in the </w:t>
      </w:r>
      <w:r>
        <w:t>prior</w:t>
      </w:r>
      <w:r w:rsidR="00D16095">
        <w:t>ity</w:t>
      </w:r>
      <w:r w:rsidRPr="009D1592">
        <w:t xml:space="preserve">. </w:t>
      </w:r>
    </w:p>
    <w:p w14:paraId="41A11F0E" w14:textId="08CB80D3" w:rsidR="005F2AD8" w:rsidRDefault="00254C70" w:rsidP="009D1592">
      <w:pPr>
        <w:pStyle w:val="HQSCbodytext"/>
      </w:pPr>
      <w:r>
        <w:t xml:space="preserve">Using </w:t>
      </w:r>
      <w:r w:rsidR="00DA5ACF" w:rsidRPr="009D1592">
        <w:t xml:space="preserve">total </w:t>
      </w:r>
      <w:r>
        <w:t>ethnicity</w:t>
      </w:r>
      <w:r w:rsidR="00DA5ACF" w:rsidRPr="009D1592">
        <w:t xml:space="preserve"> also has drawbacks. It lacks </w:t>
      </w:r>
      <w:r w:rsidR="0066705A">
        <w:t>the</w:t>
      </w:r>
      <w:r w:rsidR="0066705A" w:rsidRPr="009D1592">
        <w:t xml:space="preserve"> </w:t>
      </w:r>
      <w:r w:rsidR="00DA5ACF" w:rsidRPr="009D1592">
        <w:t xml:space="preserve">advantage of prioritised ethnicity – its categories are not mutually exclusive, which hinders statistical analysis. Importantly, the total </w:t>
      </w:r>
      <w:r w:rsidR="006D4125">
        <w:lastRenderedPageBreak/>
        <w:t>ethnicity</w:t>
      </w:r>
      <w:r w:rsidR="00DA5ACF" w:rsidRPr="009D1592">
        <w:t xml:space="preserve"> can also </w:t>
      </w:r>
      <w:r w:rsidR="00975D7A">
        <w:t xml:space="preserve">inaccurately describe </w:t>
      </w:r>
      <w:r w:rsidR="00DA5ACF" w:rsidRPr="009D1592">
        <w:t xml:space="preserve">the size of individual groups due to overlap and can </w:t>
      </w:r>
      <w:r w:rsidR="00792825">
        <w:t>lose</w:t>
      </w:r>
      <w:r w:rsidR="0015200B">
        <w:t xml:space="preserve"> sight of </w:t>
      </w:r>
      <w:r w:rsidR="00DA5ACF" w:rsidRPr="009D1592">
        <w:t>the multi-ethnic identity of many New Zealanders, potentially leading to a misrepresentation of population dynamics.</w:t>
      </w:r>
    </w:p>
    <w:p w14:paraId="4B32E4D8" w14:textId="2E6A5540" w:rsidR="003917D9" w:rsidRDefault="003917D9" w:rsidP="009D1592">
      <w:pPr>
        <w:pStyle w:val="HQSCbodytext"/>
      </w:pPr>
      <w:r>
        <w:t xml:space="preserve">The </w:t>
      </w:r>
      <w:r w:rsidR="00923483">
        <w:t>mortality rate</w:t>
      </w:r>
      <w:r>
        <w:t xml:space="preserve"> for any given year </w:t>
      </w:r>
      <w:r w:rsidR="006E78BC">
        <w:t>need</w:t>
      </w:r>
      <w:r w:rsidR="00923483">
        <w:t>s</w:t>
      </w:r>
      <w:r w:rsidR="006E78BC">
        <w:t xml:space="preserve"> to be interpreted with caution</w:t>
      </w:r>
      <w:r w:rsidR="00DC367E">
        <w:t>.</w:t>
      </w:r>
      <w:r w:rsidR="006E78BC">
        <w:t xml:space="preserve"> </w:t>
      </w:r>
      <w:r w:rsidR="00DC367E">
        <w:t>The</w:t>
      </w:r>
      <w:r w:rsidR="006E78BC">
        <w:t xml:space="preserve"> numbers </w:t>
      </w:r>
      <w:r w:rsidR="008E003D">
        <w:t xml:space="preserve">of SUDI </w:t>
      </w:r>
      <w:r w:rsidR="000176C8">
        <w:t>cases</w:t>
      </w:r>
      <w:r w:rsidR="00107F5A">
        <w:t xml:space="preserve"> in each </w:t>
      </w:r>
      <w:r w:rsidR="008E003D">
        <w:t xml:space="preserve">ethnic group </w:t>
      </w:r>
      <w:r w:rsidR="00F95339">
        <w:t xml:space="preserve">are small and there is </w:t>
      </w:r>
      <w:r w:rsidR="0057115D">
        <w:t xml:space="preserve">considerable </w:t>
      </w:r>
      <w:r w:rsidR="009F0931">
        <w:t>year-to-</w:t>
      </w:r>
      <w:r w:rsidR="0057115D">
        <w:t xml:space="preserve">year </w:t>
      </w:r>
      <w:r w:rsidR="004A4D7D">
        <w:t xml:space="preserve">natural </w:t>
      </w:r>
      <w:r w:rsidR="0057115D">
        <w:t xml:space="preserve">variation. </w:t>
      </w:r>
    </w:p>
    <w:p w14:paraId="04145F2E" w14:textId="4A073B34" w:rsidR="00965104" w:rsidRPr="009D1592" w:rsidRDefault="00A3127D" w:rsidP="009D1592">
      <w:pPr>
        <w:pStyle w:val="HQSCbodytext"/>
      </w:pPr>
      <w:r>
        <w:t>For M</w:t>
      </w:r>
      <w:r w:rsidR="00E10F66">
        <w:t xml:space="preserve">āori, rates remain the same </w:t>
      </w:r>
      <w:r w:rsidR="004658E7">
        <w:t>using either</w:t>
      </w:r>
      <w:r w:rsidR="009323C6">
        <w:t xml:space="preserve"> </w:t>
      </w:r>
      <w:r w:rsidR="00EE5BC3">
        <w:t>t</w:t>
      </w:r>
      <w:r w:rsidR="004658E7">
        <w:t xml:space="preserve">otal </w:t>
      </w:r>
      <w:r w:rsidR="00C22D9E">
        <w:t>or</w:t>
      </w:r>
      <w:r w:rsidR="004658E7">
        <w:t xml:space="preserve"> </w:t>
      </w:r>
      <w:r w:rsidR="00EE5BC3">
        <w:t>p</w:t>
      </w:r>
      <w:r w:rsidR="004658E7">
        <w:t>rioritised ethnicity.</w:t>
      </w:r>
      <w:r w:rsidR="00496D99" w:rsidRPr="009D1592">
        <w:t xml:space="preserve"> </w:t>
      </w:r>
    </w:p>
    <w:p w14:paraId="06883F31" w14:textId="42F13CAE" w:rsidR="00D60C92" w:rsidRDefault="009C6A25" w:rsidP="00A55AD4">
      <w:pPr>
        <w:pStyle w:val="HQSCbodytext"/>
      </w:pPr>
      <w:r>
        <w:t xml:space="preserve">There was </w:t>
      </w:r>
      <w:r w:rsidR="00C27994">
        <w:t>a</w:t>
      </w:r>
      <w:r w:rsidR="00C27994" w:rsidRPr="009D1592">
        <w:t xml:space="preserve"> </w:t>
      </w:r>
      <w:r w:rsidR="00B6512C" w:rsidRPr="009D1592">
        <w:t>significant d</w:t>
      </w:r>
      <w:r w:rsidR="00BA0BC2" w:rsidRPr="009D1592">
        <w:t>ecrease</w:t>
      </w:r>
      <w:r w:rsidR="00B6512C" w:rsidRPr="009D1592">
        <w:t xml:space="preserve"> in SUDI rates </w:t>
      </w:r>
      <w:r w:rsidR="00ED38B7">
        <w:t xml:space="preserve">between </w:t>
      </w:r>
      <w:r w:rsidR="00B6512C" w:rsidRPr="009D1592">
        <w:t xml:space="preserve">2011 </w:t>
      </w:r>
      <w:r w:rsidR="00ED38B7">
        <w:t>and</w:t>
      </w:r>
      <w:r w:rsidR="00B6512C" w:rsidRPr="009D1592">
        <w:t xml:space="preserve"> 2013, </w:t>
      </w:r>
      <w:r w:rsidR="008475EB" w:rsidRPr="009D1592">
        <w:t>which has not been sustained</w:t>
      </w:r>
      <w:r>
        <w:t>.</w:t>
      </w:r>
      <w:r w:rsidR="008475EB" w:rsidRPr="009D1592">
        <w:t xml:space="preserve"> </w:t>
      </w:r>
    </w:p>
    <w:p w14:paraId="13EA5B72" w14:textId="4DB16B49" w:rsidR="00452E82" w:rsidRDefault="00ED38B7" w:rsidP="00A55AD4">
      <w:pPr>
        <w:pStyle w:val="HQSCtablefigurecaption"/>
        <w:rPr>
          <w:b w:val="0"/>
        </w:rPr>
      </w:pPr>
      <w:r>
        <w:t xml:space="preserve">Figure </w:t>
      </w:r>
      <w:r w:rsidR="000010D6">
        <w:t>6</w:t>
      </w:r>
      <w:r>
        <w:t xml:space="preserve">: </w:t>
      </w:r>
      <w:r w:rsidR="002F502A">
        <w:t xml:space="preserve">SUDI </w:t>
      </w:r>
      <w:r w:rsidR="002F502A" w:rsidRPr="00943AD4">
        <w:t>rate</w:t>
      </w:r>
      <w:r w:rsidR="002F502A">
        <w:t>s</w:t>
      </w:r>
      <w:r w:rsidR="002F502A" w:rsidRPr="00943AD4">
        <w:t xml:space="preserve"> </w:t>
      </w:r>
      <w:r w:rsidR="002F502A">
        <w:t xml:space="preserve">for </w:t>
      </w:r>
      <w:r w:rsidR="00691BCB">
        <w:t>Māori</w:t>
      </w:r>
      <w:r w:rsidR="00691BCB" w:rsidRPr="00943AD4">
        <w:t xml:space="preserve"> vs all New Zealand </w:t>
      </w:r>
      <w:r w:rsidR="00691BCB">
        <w:t>using prioritised ethnicity</w:t>
      </w:r>
      <w:r w:rsidR="00525B97">
        <w:t xml:space="preserve">, </w:t>
      </w:r>
      <w:r w:rsidR="00525B97" w:rsidRPr="00D60C92">
        <w:t xml:space="preserve">2007 </w:t>
      </w:r>
      <w:r w:rsidR="00525B97">
        <w:t xml:space="preserve">to </w:t>
      </w:r>
      <w:r w:rsidR="00525B97" w:rsidRPr="00D60C92">
        <w:t>2023</w:t>
      </w:r>
      <w:r w:rsidR="00EE7E90">
        <w:rPr>
          <w:b w:val="0"/>
          <w:noProof/>
        </w:rPr>
        <w:drawing>
          <wp:inline distT="0" distB="0" distL="0" distR="0" wp14:anchorId="2E3A78CE" wp14:editId="463BDCDD">
            <wp:extent cx="5907860" cy="3544716"/>
            <wp:effectExtent l="0" t="0" r="0" b="0"/>
            <wp:docPr id="262463477" name="Picture 6" descr="A complex line grap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63477" name="Picture 6" descr="A complex line graph.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7860" cy="354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E1411" w14:textId="579BAE43" w:rsidR="009E3527" w:rsidRDefault="00FB02C1" w:rsidP="00A55AD4">
      <w:pPr>
        <w:pStyle w:val="HQSCbodytext"/>
        <w:rPr>
          <w:bCs/>
        </w:rPr>
      </w:pPr>
      <w:r>
        <w:t>U</w:t>
      </w:r>
      <w:r w:rsidR="00386BD6">
        <w:t xml:space="preserve">sing </w:t>
      </w:r>
      <w:r w:rsidR="009E3527">
        <w:rPr>
          <w:bCs/>
        </w:rPr>
        <w:t>total e</w:t>
      </w:r>
      <w:r w:rsidR="00386BD6">
        <w:t xml:space="preserve">thnicity makes a significant </w:t>
      </w:r>
      <w:r w:rsidR="00386BD6">
        <w:rPr>
          <w:bCs/>
        </w:rPr>
        <w:t>differen</w:t>
      </w:r>
      <w:r w:rsidR="009E3527">
        <w:rPr>
          <w:bCs/>
        </w:rPr>
        <w:t>ce</w:t>
      </w:r>
      <w:r w:rsidR="00386BD6">
        <w:t xml:space="preserve"> for </w:t>
      </w:r>
      <w:r w:rsidR="00033590">
        <w:t xml:space="preserve">Pacific </w:t>
      </w:r>
      <w:r w:rsidR="00691BCB">
        <w:rPr>
          <w:bCs/>
        </w:rPr>
        <w:t>peoples</w:t>
      </w:r>
      <w:r w:rsidR="00033590">
        <w:rPr>
          <w:bCs/>
        </w:rPr>
        <w:t>.</w:t>
      </w:r>
      <w:r w:rsidR="00033590">
        <w:t xml:space="preserve"> </w:t>
      </w:r>
    </w:p>
    <w:p w14:paraId="40C5745E" w14:textId="16F72F36" w:rsidR="001F7E0B" w:rsidRDefault="00160A99" w:rsidP="00A55AD4">
      <w:pPr>
        <w:pStyle w:val="HQSCbullets"/>
        <w:numPr>
          <w:ilvl w:val="0"/>
          <w:numId w:val="0"/>
        </w:numPr>
      </w:pPr>
      <w:r w:rsidRPr="00160A99">
        <w:t xml:space="preserve">SUDI rates for Pacific infants remain high. </w:t>
      </w:r>
      <w:r w:rsidR="00DD73C3">
        <w:t xml:space="preserve">When Figure 7 </w:t>
      </w:r>
      <w:r w:rsidR="007756A9">
        <w:t xml:space="preserve">(total ethnicity) is compared to Figure 8 </w:t>
      </w:r>
      <w:r w:rsidR="00744132">
        <w:t>(prioritised ethnicity) it</w:t>
      </w:r>
      <w:r w:rsidR="00330065">
        <w:t xml:space="preserve"> shows </w:t>
      </w:r>
      <w:r w:rsidR="4C9C64E7">
        <w:t>SUDI rates for Pacific peoples</w:t>
      </w:r>
      <w:r w:rsidR="70C333CF">
        <w:t xml:space="preserve"> </w:t>
      </w:r>
      <w:r w:rsidR="75DDB352">
        <w:t xml:space="preserve">are more </w:t>
      </w:r>
      <w:r w:rsidR="408FB084">
        <w:t>visible when</w:t>
      </w:r>
      <w:r w:rsidR="25A9A604">
        <w:t xml:space="preserve"> </w:t>
      </w:r>
      <w:r w:rsidR="70C333CF">
        <w:t>using t</w:t>
      </w:r>
      <w:r w:rsidR="25A9A604">
        <w:t xml:space="preserve">otal </w:t>
      </w:r>
      <w:r w:rsidR="70C333CF">
        <w:t>ethnicity</w:t>
      </w:r>
      <w:r w:rsidR="009F0931">
        <w:t>.</w:t>
      </w:r>
    </w:p>
    <w:p w14:paraId="1BB35635" w14:textId="34A7A8D2" w:rsidR="00145306" w:rsidRPr="007578FD" w:rsidRDefault="00772A81">
      <w:pPr>
        <w:pStyle w:val="HQSCbodytext"/>
        <w:rPr>
          <w:b/>
          <w:bCs/>
        </w:rPr>
      </w:pPr>
      <w:r w:rsidRPr="007578FD">
        <w:t xml:space="preserve">Note there is more </w:t>
      </w:r>
      <w:r w:rsidR="00996BFB" w:rsidRPr="007578FD">
        <w:t>year-to-year</w:t>
      </w:r>
      <w:r w:rsidRPr="007578FD">
        <w:t xml:space="preserve"> variation in </w:t>
      </w:r>
      <w:r w:rsidR="00691BCB">
        <w:rPr>
          <w:bCs/>
        </w:rPr>
        <w:t xml:space="preserve">SUDI </w:t>
      </w:r>
      <w:r w:rsidRPr="007578FD">
        <w:t xml:space="preserve">rates </w:t>
      </w:r>
      <w:r w:rsidR="000F2E19">
        <w:t>among Pacific people</w:t>
      </w:r>
      <w:r w:rsidR="00732554">
        <w:t>s</w:t>
      </w:r>
      <w:r w:rsidR="000F2E19">
        <w:t xml:space="preserve"> </w:t>
      </w:r>
      <w:r w:rsidR="00CD639F">
        <w:t>as</w:t>
      </w:r>
      <w:r w:rsidRPr="007578FD">
        <w:t xml:space="preserve"> the populations are smaller</w:t>
      </w:r>
      <w:r w:rsidR="007578FD" w:rsidRPr="007578FD">
        <w:t xml:space="preserve"> than</w:t>
      </w:r>
      <w:r w:rsidR="007578FD">
        <w:t xml:space="preserve"> </w:t>
      </w:r>
      <w:r w:rsidR="00CD639F">
        <w:t>for</w:t>
      </w:r>
      <w:r w:rsidR="007578FD" w:rsidRPr="007578FD">
        <w:t xml:space="preserve"> Māori and all New Zealand. </w:t>
      </w:r>
    </w:p>
    <w:p w14:paraId="050D29DB" w14:textId="2B0CB18F" w:rsidR="00971313" w:rsidRDefault="003F4508" w:rsidP="00A55AD4">
      <w:pPr>
        <w:pStyle w:val="HQSCtablefigurecaption"/>
      </w:pPr>
      <w:r>
        <w:lastRenderedPageBreak/>
        <w:t xml:space="preserve">Figure </w:t>
      </w:r>
      <w:r w:rsidR="00E905D6">
        <w:t>7</w:t>
      </w:r>
      <w:r>
        <w:t xml:space="preserve">: </w:t>
      </w:r>
      <w:r w:rsidR="002F502A">
        <w:t xml:space="preserve">SUDI </w:t>
      </w:r>
      <w:r w:rsidR="002F502A" w:rsidRPr="00943AD4">
        <w:t>rate</w:t>
      </w:r>
      <w:r w:rsidR="002F502A">
        <w:t>s</w:t>
      </w:r>
      <w:r w:rsidR="002F502A" w:rsidRPr="00943AD4">
        <w:t xml:space="preserve"> </w:t>
      </w:r>
      <w:r w:rsidR="002F502A">
        <w:t xml:space="preserve">for </w:t>
      </w:r>
      <w:r w:rsidR="00AD25AE">
        <w:t xml:space="preserve">Pacific </w:t>
      </w:r>
      <w:proofErr w:type="gramStart"/>
      <w:r w:rsidR="00AD25AE">
        <w:t>peoples</w:t>
      </w:r>
      <w:proofErr w:type="gramEnd"/>
      <w:r w:rsidR="00971313" w:rsidRPr="00943AD4">
        <w:t xml:space="preserve"> vs all New Zealand </w:t>
      </w:r>
      <w:r w:rsidR="00C0007A">
        <w:t xml:space="preserve">using </w:t>
      </w:r>
      <w:r w:rsidR="00763C26">
        <w:t>total ethnicity</w:t>
      </w:r>
      <w:r w:rsidR="00525B97">
        <w:t xml:space="preserve">, </w:t>
      </w:r>
      <w:r w:rsidR="00525B97" w:rsidRPr="00D60C92">
        <w:t xml:space="preserve">2007 </w:t>
      </w:r>
      <w:r w:rsidR="00525B97">
        <w:t>to</w:t>
      </w:r>
      <w:r w:rsidR="00525B97" w:rsidRPr="00D60C92">
        <w:t xml:space="preserve"> 2023</w:t>
      </w:r>
      <w:r w:rsidR="00DE16A1">
        <w:rPr>
          <w:noProof/>
        </w:rPr>
        <w:drawing>
          <wp:inline distT="0" distB="0" distL="0" distR="0" wp14:anchorId="3B105280" wp14:editId="5CB0DAEB">
            <wp:extent cx="5973533" cy="3584120"/>
            <wp:effectExtent l="0" t="0" r="8255" b="0"/>
            <wp:docPr id="1061463809" name="Picture 7" descr="A complex line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63809" name="Picture 7" descr="A complex line graph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533" cy="35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3A6AC" w14:textId="5774A510" w:rsidR="00971313" w:rsidRDefault="00627747" w:rsidP="00A55AD4">
      <w:pPr>
        <w:pStyle w:val="HQSCtablefigurecaption"/>
        <w:rPr>
          <w:b w:val="0"/>
        </w:rPr>
      </w:pPr>
      <w:r>
        <w:t xml:space="preserve">Figure </w:t>
      </w:r>
      <w:r w:rsidR="00E905D6">
        <w:t>8</w:t>
      </w:r>
      <w:r>
        <w:t xml:space="preserve">: </w:t>
      </w:r>
      <w:r w:rsidR="002F502A">
        <w:t xml:space="preserve">SUDI </w:t>
      </w:r>
      <w:r w:rsidR="002F502A" w:rsidRPr="00452E82">
        <w:t>rate</w:t>
      </w:r>
      <w:r w:rsidR="002F502A">
        <w:t>s</w:t>
      </w:r>
      <w:r w:rsidR="002F502A" w:rsidRPr="00452E82">
        <w:t xml:space="preserve"> </w:t>
      </w:r>
      <w:r w:rsidR="002F502A">
        <w:t xml:space="preserve">for </w:t>
      </w:r>
      <w:r w:rsidR="008B3DEA">
        <w:t xml:space="preserve">Pacific </w:t>
      </w:r>
      <w:proofErr w:type="gramStart"/>
      <w:r w:rsidR="00E06F20">
        <w:t>peoples</w:t>
      </w:r>
      <w:proofErr w:type="gramEnd"/>
      <w:r w:rsidR="00E06F20" w:rsidRPr="00452E82">
        <w:t xml:space="preserve"> </w:t>
      </w:r>
      <w:r w:rsidR="00971313" w:rsidRPr="00452E82">
        <w:t xml:space="preserve">vs all New Zealand </w:t>
      </w:r>
      <w:r w:rsidR="0016679F">
        <w:t xml:space="preserve">using </w:t>
      </w:r>
      <w:r w:rsidR="00763C26">
        <w:t>prioritised ethnicity</w:t>
      </w:r>
      <w:r>
        <w:t xml:space="preserve">, </w:t>
      </w:r>
      <w:r w:rsidRPr="00D60C92">
        <w:t xml:space="preserve">2007 </w:t>
      </w:r>
      <w:r>
        <w:t>to</w:t>
      </w:r>
      <w:r w:rsidRPr="00D60C92">
        <w:t xml:space="preserve"> 2023</w:t>
      </w:r>
      <w:r w:rsidR="004306AC">
        <w:rPr>
          <w:b w:val="0"/>
          <w:noProof/>
        </w:rPr>
        <w:drawing>
          <wp:inline distT="0" distB="0" distL="0" distR="0" wp14:anchorId="635B4E6B" wp14:editId="25FE8B68">
            <wp:extent cx="5969681" cy="3581809"/>
            <wp:effectExtent l="0" t="0" r="0" b="0"/>
            <wp:docPr id="1829746087" name="Picture 8" descr="A complex line grap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746087" name="Picture 8" descr="A complex line graph.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681" cy="358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3D066" w14:textId="525EA675" w:rsidR="00CC487E" w:rsidRDefault="005D23A2" w:rsidP="005630DA">
      <w:pPr>
        <w:pStyle w:val="HQSCtablefigurecaption"/>
        <w:rPr>
          <w:b w:val="0"/>
          <w:bCs/>
        </w:rPr>
      </w:pPr>
      <w:r w:rsidRPr="00AA52FB">
        <w:rPr>
          <w:b w:val="0"/>
          <w:bCs/>
        </w:rPr>
        <w:t>Figure</w:t>
      </w:r>
      <w:r w:rsidR="00DE406D">
        <w:rPr>
          <w:b w:val="0"/>
          <w:bCs/>
        </w:rPr>
        <w:t>s</w:t>
      </w:r>
      <w:r w:rsidRPr="00AA52FB">
        <w:rPr>
          <w:b w:val="0"/>
          <w:bCs/>
        </w:rPr>
        <w:t xml:space="preserve"> </w:t>
      </w:r>
      <w:r w:rsidR="00E905D6">
        <w:rPr>
          <w:b w:val="0"/>
          <w:bCs/>
        </w:rPr>
        <w:t>9</w:t>
      </w:r>
      <w:r w:rsidR="00DE406D">
        <w:rPr>
          <w:b w:val="0"/>
          <w:bCs/>
        </w:rPr>
        <w:t xml:space="preserve"> and 1</w:t>
      </w:r>
      <w:r w:rsidR="00E905D6">
        <w:rPr>
          <w:b w:val="0"/>
          <w:bCs/>
        </w:rPr>
        <w:t>0</w:t>
      </w:r>
      <w:r w:rsidR="00DE406D" w:rsidRPr="00AA52FB">
        <w:rPr>
          <w:b w:val="0"/>
          <w:bCs/>
        </w:rPr>
        <w:t xml:space="preserve"> </w:t>
      </w:r>
      <w:r w:rsidRPr="00AA52FB">
        <w:rPr>
          <w:b w:val="0"/>
          <w:bCs/>
        </w:rPr>
        <w:t xml:space="preserve">uses </w:t>
      </w:r>
      <w:r w:rsidR="001232B0">
        <w:rPr>
          <w:b w:val="0"/>
          <w:bCs/>
        </w:rPr>
        <w:t>t</w:t>
      </w:r>
      <w:r w:rsidR="001232B0" w:rsidRPr="00AA52FB">
        <w:rPr>
          <w:b w:val="0"/>
          <w:bCs/>
        </w:rPr>
        <w:t xml:space="preserve">otal </w:t>
      </w:r>
      <w:r w:rsidR="001232B0">
        <w:rPr>
          <w:b w:val="0"/>
          <w:bCs/>
        </w:rPr>
        <w:t>e</w:t>
      </w:r>
      <w:r w:rsidR="001232B0" w:rsidRPr="00AA52FB">
        <w:rPr>
          <w:b w:val="0"/>
          <w:bCs/>
        </w:rPr>
        <w:t xml:space="preserve">thnicity </w:t>
      </w:r>
      <w:r w:rsidRPr="00AA52FB">
        <w:rPr>
          <w:b w:val="0"/>
          <w:bCs/>
        </w:rPr>
        <w:t xml:space="preserve">to describe the rate for </w:t>
      </w:r>
      <w:r w:rsidR="00AA52FB" w:rsidRPr="00AA52FB">
        <w:rPr>
          <w:b w:val="0"/>
          <w:bCs/>
        </w:rPr>
        <w:t>European/</w:t>
      </w:r>
      <w:r w:rsidR="001232B0">
        <w:rPr>
          <w:b w:val="0"/>
          <w:bCs/>
        </w:rPr>
        <w:t>O</w:t>
      </w:r>
      <w:r w:rsidR="001232B0" w:rsidRPr="00AA52FB">
        <w:rPr>
          <w:b w:val="0"/>
          <w:bCs/>
        </w:rPr>
        <w:t xml:space="preserve">ther </w:t>
      </w:r>
      <w:r w:rsidR="00AA52FB" w:rsidRPr="00AA52FB">
        <w:rPr>
          <w:b w:val="0"/>
          <w:bCs/>
        </w:rPr>
        <w:t>and for Asian</w:t>
      </w:r>
      <w:r w:rsidR="004A3D75">
        <w:rPr>
          <w:b w:val="0"/>
          <w:bCs/>
        </w:rPr>
        <w:t xml:space="preserve"> e</w:t>
      </w:r>
      <w:r w:rsidR="00AA52FB" w:rsidRPr="00AA52FB">
        <w:rPr>
          <w:b w:val="0"/>
          <w:bCs/>
        </w:rPr>
        <w:t xml:space="preserve">thnic groups. For both these groups the rate is lower than the national average rate.  </w:t>
      </w:r>
    </w:p>
    <w:p w14:paraId="4830A370" w14:textId="60513D56" w:rsidR="009C6126" w:rsidRDefault="009C6126" w:rsidP="005630DA">
      <w:pPr>
        <w:pStyle w:val="HQSCtablefigurecaption"/>
        <w:rPr>
          <w:b w:val="0"/>
          <w:bCs/>
        </w:rPr>
      </w:pPr>
      <w:r>
        <w:rPr>
          <w:b w:val="0"/>
          <w:bCs/>
        </w:rPr>
        <w:t xml:space="preserve">Note: for Asian </w:t>
      </w:r>
      <w:r w:rsidR="00864A69">
        <w:rPr>
          <w:b w:val="0"/>
          <w:bCs/>
        </w:rPr>
        <w:t>ethnic groups</w:t>
      </w:r>
      <w:r w:rsidR="00070283">
        <w:rPr>
          <w:b w:val="0"/>
          <w:bCs/>
        </w:rPr>
        <w:t xml:space="preserve"> 4</w:t>
      </w:r>
      <w:r w:rsidR="00183A2D">
        <w:rPr>
          <w:b w:val="0"/>
          <w:bCs/>
        </w:rPr>
        <w:t>5</w:t>
      </w:r>
      <w:r w:rsidR="00971D75">
        <w:rPr>
          <w:b w:val="0"/>
          <w:bCs/>
        </w:rPr>
        <w:t xml:space="preserve"> percent</w:t>
      </w:r>
      <w:r w:rsidR="00070283">
        <w:rPr>
          <w:b w:val="0"/>
          <w:bCs/>
        </w:rPr>
        <w:t xml:space="preserve"> also identified as Māori or Pacific peoples.</w:t>
      </w:r>
    </w:p>
    <w:p w14:paraId="15F55989" w14:textId="75D1EBEE" w:rsidR="0054471D" w:rsidRPr="00AA52FB" w:rsidRDefault="009F0931" w:rsidP="005630DA">
      <w:pPr>
        <w:pStyle w:val="HQSCtablefigurecaption"/>
        <w:rPr>
          <w:b w:val="0"/>
          <w:bCs/>
        </w:rPr>
      </w:pPr>
      <w:r>
        <w:rPr>
          <w:b w:val="0"/>
          <w:bCs/>
        </w:rPr>
        <w:lastRenderedPageBreak/>
        <w:t>Sixty-one</w:t>
      </w:r>
      <w:r w:rsidR="00A16D95">
        <w:rPr>
          <w:b w:val="0"/>
          <w:bCs/>
        </w:rPr>
        <w:t xml:space="preserve"> percent of European</w:t>
      </w:r>
      <w:r w:rsidR="002D489A">
        <w:rPr>
          <w:b w:val="0"/>
          <w:bCs/>
        </w:rPr>
        <w:t>/</w:t>
      </w:r>
      <w:r w:rsidR="00A16D95">
        <w:rPr>
          <w:b w:val="0"/>
          <w:bCs/>
        </w:rPr>
        <w:t xml:space="preserve">Other also identified as </w:t>
      </w:r>
      <w:r w:rsidR="00BA43FC">
        <w:rPr>
          <w:b w:val="0"/>
          <w:bCs/>
        </w:rPr>
        <w:t xml:space="preserve">another ethnicity, Asian, Pacific peoples or Māori. </w:t>
      </w:r>
    </w:p>
    <w:p w14:paraId="013D3C9A" w14:textId="6D44461B" w:rsidR="009E7A99" w:rsidRDefault="00A61D5F" w:rsidP="00A55AD4">
      <w:pPr>
        <w:pStyle w:val="HQSCtablefigurecaption"/>
      </w:pPr>
      <w:r>
        <w:t>Figure</w:t>
      </w:r>
      <w:r w:rsidR="003F4508">
        <w:t xml:space="preserve"> </w:t>
      </w:r>
      <w:r w:rsidR="00E905D6">
        <w:t>9</w:t>
      </w:r>
      <w:r w:rsidR="003F4508">
        <w:t xml:space="preserve">: </w:t>
      </w:r>
      <w:r w:rsidR="009E7A99" w:rsidRPr="00D60C92">
        <w:t xml:space="preserve">SUDI rates for </w:t>
      </w:r>
      <w:r w:rsidR="00BB1973" w:rsidRPr="00BB1973">
        <w:t>European</w:t>
      </w:r>
      <w:r w:rsidR="000F76B5">
        <w:t>/</w:t>
      </w:r>
      <w:proofErr w:type="gramStart"/>
      <w:r w:rsidR="00BB1973" w:rsidRPr="00BB1973">
        <w:t>Other</w:t>
      </w:r>
      <w:proofErr w:type="gramEnd"/>
      <w:r w:rsidR="00BB1973" w:rsidRPr="00BB1973">
        <w:t xml:space="preserve"> </w:t>
      </w:r>
      <w:r w:rsidR="00373D81">
        <w:t xml:space="preserve">vs </w:t>
      </w:r>
      <w:r w:rsidR="00373D81" w:rsidRPr="00943AD4">
        <w:t xml:space="preserve">all New Zealand </w:t>
      </w:r>
      <w:r w:rsidR="00373D81">
        <w:t xml:space="preserve">using total ethnicity, </w:t>
      </w:r>
      <w:r w:rsidR="00373D81" w:rsidRPr="00D60C92">
        <w:t xml:space="preserve">2007 </w:t>
      </w:r>
      <w:r w:rsidR="00373D81">
        <w:t>to</w:t>
      </w:r>
      <w:r w:rsidR="00373D81" w:rsidRPr="00D60C92">
        <w:t xml:space="preserve"> 2023</w:t>
      </w:r>
      <w:r w:rsidR="000F76B5">
        <w:rPr>
          <w:noProof/>
        </w:rPr>
        <w:drawing>
          <wp:inline distT="0" distB="0" distL="0" distR="0" wp14:anchorId="07664E05" wp14:editId="547C9462">
            <wp:extent cx="6160208" cy="3696125"/>
            <wp:effectExtent l="0" t="0" r="0" b="0"/>
            <wp:docPr id="1702384786" name="Picture 9" descr="A complex line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84786" name="Picture 9" descr="A complex line graph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208" cy="36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3761B" w14:textId="614B0341" w:rsidR="00827A91" w:rsidRDefault="0F7A9C3B">
      <w:pPr>
        <w:pStyle w:val="HQSCtablefigurecaption"/>
      </w:pPr>
      <w:r>
        <w:rPr>
          <w:b w:val="0"/>
        </w:rPr>
        <w:t>New Zealand European</w:t>
      </w:r>
      <w:r w:rsidR="002D489A">
        <w:rPr>
          <w:b w:val="0"/>
        </w:rPr>
        <w:t>/Other</w:t>
      </w:r>
      <w:r w:rsidR="3D69DD3D">
        <w:rPr>
          <w:b w:val="0"/>
        </w:rPr>
        <w:t>, excluding Māori and Pacific,</w:t>
      </w:r>
      <w:r>
        <w:rPr>
          <w:b w:val="0"/>
        </w:rPr>
        <w:t xml:space="preserve"> are reported together</w:t>
      </w:r>
      <w:r w:rsidR="3D69DD3D">
        <w:rPr>
          <w:b w:val="0"/>
        </w:rPr>
        <w:t>.</w:t>
      </w:r>
    </w:p>
    <w:p w14:paraId="4EE357DE" w14:textId="32E282A4" w:rsidR="00AD6EC0" w:rsidRDefault="006B0BC0" w:rsidP="00A55AD4">
      <w:pPr>
        <w:pStyle w:val="HQSCtablefigurecaption"/>
        <w:rPr>
          <w:b w:val="0"/>
        </w:rPr>
      </w:pPr>
      <w:r>
        <w:t xml:space="preserve">Figure </w:t>
      </w:r>
      <w:r w:rsidR="00A917EE">
        <w:t>1</w:t>
      </w:r>
      <w:r w:rsidR="00E905D6">
        <w:t>0</w:t>
      </w:r>
      <w:r>
        <w:t xml:space="preserve">: </w:t>
      </w:r>
      <w:r w:rsidRPr="00D60C92">
        <w:t xml:space="preserve">SUDI rates for </w:t>
      </w:r>
      <w:r>
        <w:t>Asian</w:t>
      </w:r>
      <w:r w:rsidRPr="00BB1973">
        <w:t xml:space="preserve"> </w:t>
      </w:r>
      <w:r>
        <w:t>vs</w:t>
      </w:r>
      <w:r w:rsidR="009E7A99" w:rsidRPr="00452E82">
        <w:t xml:space="preserve"> all New Zealand </w:t>
      </w:r>
      <w:r>
        <w:t xml:space="preserve">using total ethnicity, </w:t>
      </w:r>
      <w:r w:rsidRPr="00D60C92">
        <w:t xml:space="preserve">2007 </w:t>
      </w:r>
      <w:r>
        <w:t>to</w:t>
      </w:r>
      <w:r w:rsidRPr="00D60C92">
        <w:t xml:space="preserve"> 2023</w:t>
      </w:r>
      <w:r w:rsidR="00E248FD">
        <w:rPr>
          <w:b w:val="0"/>
          <w:noProof/>
        </w:rPr>
        <w:drawing>
          <wp:inline distT="0" distB="0" distL="0" distR="0" wp14:anchorId="721647DA" wp14:editId="4668EFA3">
            <wp:extent cx="5857103" cy="3514262"/>
            <wp:effectExtent l="0" t="0" r="0" b="0"/>
            <wp:docPr id="1150949461" name="Picture 10" descr="A complex line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49461" name="Picture 10" descr="A complex line graph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699" cy="35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5FD92" w14:textId="4701976A" w:rsidR="00971313" w:rsidRDefault="000656D3" w:rsidP="00971313">
      <w:pPr>
        <w:pStyle w:val="HQSCbodytext"/>
      </w:pPr>
      <w:r>
        <w:t>Note: Asian</w:t>
      </w:r>
      <w:r w:rsidR="00183A2D">
        <w:t xml:space="preserve"> ethnicity</w:t>
      </w:r>
      <w:r>
        <w:t xml:space="preserve"> </w:t>
      </w:r>
      <w:r w:rsidR="00792825">
        <w:t>includes</w:t>
      </w:r>
      <w:r w:rsidR="00070CD9">
        <w:t xml:space="preserve"> Asian, Southeast Asian, Chinese, Indian</w:t>
      </w:r>
      <w:r w:rsidR="004D112F">
        <w:t>.</w:t>
      </w:r>
    </w:p>
    <w:bookmarkEnd w:id="1"/>
    <w:p w14:paraId="09198747" w14:textId="375D274A" w:rsidR="00AE149C" w:rsidRDefault="00AE149C" w:rsidP="00792E41">
      <w:pPr>
        <w:pStyle w:val="HQSChead2"/>
      </w:pPr>
      <w:r w:rsidRPr="00AE149C">
        <w:rPr>
          <w:bCs/>
          <w:lang w:val="en-US"/>
        </w:rPr>
        <w:lastRenderedPageBreak/>
        <w:t>This data supports important sector developments</w:t>
      </w:r>
    </w:p>
    <w:p w14:paraId="24A0BB1C" w14:textId="4958BF51" w:rsidR="2DB23456" w:rsidRPr="00A91E08" w:rsidRDefault="2DB23456" w:rsidP="00A91E08">
      <w:pPr>
        <w:pStyle w:val="HQSCbodytext"/>
      </w:pPr>
      <w:r w:rsidRPr="00A91E08">
        <w:t xml:space="preserve">Monitoring SUDI data over time identifies where and when greater support is required and supports the </w:t>
      </w:r>
      <w:r w:rsidR="008A4A70">
        <w:t xml:space="preserve">health </w:t>
      </w:r>
      <w:r w:rsidRPr="00A91E08">
        <w:t xml:space="preserve">sector to engage impacted communities and families. </w:t>
      </w:r>
      <w:r w:rsidR="00F20089">
        <w:t>Importan</w:t>
      </w:r>
      <w:r w:rsidR="00E61DE3">
        <w:t xml:space="preserve">t activities in the sector include: </w:t>
      </w:r>
    </w:p>
    <w:p w14:paraId="31FF8229" w14:textId="4D6B530F" w:rsidR="00F20089" w:rsidRDefault="007931FE" w:rsidP="00A55AD4">
      <w:pPr>
        <w:pStyle w:val="HQSCbullets"/>
      </w:pPr>
      <w:r w:rsidRPr="007931FE">
        <w:t>Health New Zealand | Te Whatu Ora resetting the National SUDI Prevention Programme with national leadership</w:t>
      </w:r>
      <w:r w:rsidR="000766C5">
        <w:t>,</w:t>
      </w:r>
      <w:r w:rsidRPr="007931FE">
        <w:t xml:space="preserve"> now under Hauora Māori Services and governance through the Kahu </w:t>
      </w:r>
      <w:proofErr w:type="spellStart"/>
      <w:r w:rsidRPr="007931FE">
        <w:t>Taurima</w:t>
      </w:r>
      <w:proofErr w:type="spellEnd"/>
      <w:r w:rsidRPr="007931FE">
        <w:t xml:space="preserve"> Steering Group, to strengthen coordination of the health sector response. </w:t>
      </w:r>
      <w:r w:rsidR="00F20089">
        <w:t xml:space="preserve"> </w:t>
      </w:r>
    </w:p>
    <w:p w14:paraId="5DC9A72D" w14:textId="699154C4" w:rsidR="00F20089" w:rsidRPr="00A91E08" w:rsidRDefault="001457B3" w:rsidP="00A55AD4">
      <w:pPr>
        <w:pStyle w:val="HQSCbullets"/>
      </w:pPr>
      <w:proofErr w:type="spellStart"/>
      <w:r>
        <w:t>H</w:t>
      </w:r>
      <w:r w:rsidR="00345B83">
        <w:t>ā</w:t>
      </w:r>
      <w:r>
        <w:t>pai</w:t>
      </w:r>
      <w:proofErr w:type="spellEnd"/>
      <w:r w:rsidR="00F20089">
        <w:t xml:space="preserve"> </w:t>
      </w:r>
      <w:r w:rsidR="00EB3D5B">
        <w:t xml:space="preserve">Te </w:t>
      </w:r>
      <w:r w:rsidR="00F20089">
        <w:t>Hauora publish</w:t>
      </w:r>
      <w:r w:rsidR="000766C5">
        <w:t>ing</w:t>
      </w:r>
      <w:r w:rsidR="00F20089">
        <w:t xml:space="preserve"> refreshed messaging on </w:t>
      </w:r>
      <w:r w:rsidR="00551689">
        <w:t>safe sleep</w:t>
      </w:r>
      <w:r w:rsidR="000766C5">
        <w:t xml:space="preserve"> in December 2025</w:t>
      </w:r>
      <w:r w:rsidR="00FD02E6">
        <w:t>.</w:t>
      </w:r>
    </w:p>
    <w:p w14:paraId="16D95A82" w14:textId="0387F505" w:rsidR="00657A50" w:rsidRPr="00A91E08" w:rsidRDefault="008D4D61" w:rsidP="00A91E08">
      <w:pPr>
        <w:pStyle w:val="HQSCbodytext"/>
      </w:pPr>
      <w:r>
        <w:t xml:space="preserve">The </w:t>
      </w:r>
      <w:r w:rsidR="37D7DF9D" w:rsidRPr="00657A50">
        <w:t xml:space="preserve">SUDI prevention </w:t>
      </w:r>
      <w:r w:rsidRPr="00657A50">
        <w:t>programme</w:t>
      </w:r>
      <w:r w:rsidR="728947ED" w:rsidRPr="00657A50">
        <w:t xml:space="preserve"> </w:t>
      </w:r>
      <w:r w:rsidR="37D7DF9D">
        <w:t>combine</w:t>
      </w:r>
      <w:r w:rsidR="00E61DE3">
        <w:t>s</w:t>
      </w:r>
      <w:r w:rsidR="37D7DF9D" w:rsidRPr="00657A50">
        <w:t xml:space="preserve"> the work of agencies, including health, housing</w:t>
      </w:r>
      <w:r w:rsidR="2E852EFE" w:rsidRPr="00657A50">
        <w:t>,</w:t>
      </w:r>
      <w:r w:rsidR="37D7DF9D" w:rsidRPr="00657A50">
        <w:t xml:space="preserve"> social services and income support providers, to provide effective services that support </w:t>
      </w:r>
      <w:r w:rsidR="4D7D8898" w:rsidRPr="00657A50">
        <w:t>hap</w:t>
      </w:r>
      <w:r w:rsidR="4D7D8898" w:rsidRPr="00A91E08">
        <w:t>ū</w:t>
      </w:r>
      <w:r w:rsidR="6C34F1E8" w:rsidRPr="00A91E08">
        <w:t xml:space="preserve"> </w:t>
      </w:r>
      <w:r w:rsidR="4D7D8898" w:rsidRPr="00657A50">
        <w:t>(pregnant) wh</w:t>
      </w:r>
      <w:r w:rsidR="4D7D8898" w:rsidRPr="00A91E08">
        <w:t>ā</w:t>
      </w:r>
      <w:r w:rsidR="4D7D8898" w:rsidRPr="00657A50">
        <w:t xml:space="preserve">nau </w:t>
      </w:r>
      <w:r w:rsidR="4B533BBE" w:rsidRPr="00657A50">
        <w:t>and those with</w:t>
      </w:r>
      <w:r w:rsidR="00400B09">
        <w:t xml:space="preserve"> young</w:t>
      </w:r>
      <w:r w:rsidR="4B533BBE" w:rsidRPr="00657A50">
        <w:t xml:space="preserve"> </w:t>
      </w:r>
      <w:r w:rsidR="00BC5B42">
        <w:t>infants</w:t>
      </w:r>
      <w:r w:rsidR="4B533BBE" w:rsidRPr="00A91E08">
        <w:t xml:space="preserve"> to be </w:t>
      </w:r>
      <w:r w:rsidR="5D6AE7DD" w:rsidRPr="00A91E08">
        <w:t>and</w:t>
      </w:r>
      <w:r w:rsidR="4B533BBE" w:rsidRPr="00A91E08">
        <w:t xml:space="preserve"> remain well, </w:t>
      </w:r>
      <w:r w:rsidR="51AFA79A" w:rsidRPr="00A91E08">
        <w:t>including</w:t>
      </w:r>
      <w:r w:rsidR="4B533BBE" w:rsidRPr="00A91E08">
        <w:t xml:space="preserve"> </w:t>
      </w:r>
      <w:r w:rsidR="00F6717D">
        <w:t>having</w:t>
      </w:r>
      <w:r w:rsidR="4B533BBE" w:rsidRPr="00A91E08">
        <w:t xml:space="preserve"> a safe </w:t>
      </w:r>
      <w:r w:rsidR="5F123950" w:rsidRPr="00A91E08">
        <w:t xml:space="preserve">place for </w:t>
      </w:r>
      <w:proofErr w:type="spellStart"/>
      <w:r w:rsidR="70C7DC3E" w:rsidRPr="00657A50">
        <w:t>p</w:t>
      </w:r>
      <w:r w:rsidR="70C7DC3E" w:rsidRPr="00A91E08">
        <w:t>ēpi</w:t>
      </w:r>
      <w:proofErr w:type="spellEnd"/>
      <w:r w:rsidR="70C7DC3E" w:rsidRPr="00A91E08">
        <w:t xml:space="preserve"> to sleep. </w:t>
      </w:r>
      <w:r w:rsidR="727963A4" w:rsidRPr="00A91E08">
        <w:t>Engagement</w:t>
      </w:r>
      <w:r w:rsidR="6378A04F" w:rsidRPr="00A91E08">
        <w:t xml:space="preserve"> with those at risk, alongside culturally appropriate support </w:t>
      </w:r>
      <w:r w:rsidR="40B22ECE">
        <w:t>and respect</w:t>
      </w:r>
      <w:r w:rsidR="00627719">
        <w:t>ful</w:t>
      </w:r>
      <w:r w:rsidR="40B22ECE">
        <w:t xml:space="preserve"> ways t</w:t>
      </w:r>
      <w:r w:rsidR="05AA510B">
        <w:t>hat</w:t>
      </w:r>
      <w:r w:rsidR="40B22ECE">
        <w:t xml:space="preserve"> build trust </w:t>
      </w:r>
      <w:r w:rsidR="00792825">
        <w:t>is</w:t>
      </w:r>
      <w:r w:rsidR="6378A04F" w:rsidRPr="00A91E08">
        <w:t xml:space="preserve"> critical to achieving </w:t>
      </w:r>
      <w:r w:rsidR="00FE7EFB">
        <w:t>a reduction in these preventable deaths</w:t>
      </w:r>
      <w:r w:rsidR="04CFE99F" w:rsidRPr="00A91E08">
        <w:t xml:space="preserve">. </w:t>
      </w:r>
    </w:p>
    <w:p w14:paraId="6E03119C" w14:textId="284E288F" w:rsidR="008F6C8B" w:rsidRDefault="008F6C8B" w:rsidP="00A91E08">
      <w:pPr>
        <w:pStyle w:val="HQSChead2"/>
      </w:pPr>
      <w:r>
        <w:t>Contact us</w:t>
      </w:r>
    </w:p>
    <w:p w14:paraId="2542EB56" w14:textId="4548DCF9" w:rsidR="00B35909" w:rsidRDefault="00B35909" w:rsidP="00B35909">
      <w:pPr>
        <w:pStyle w:val="HQSCbodytext"/>
      </w:pPr>
      <w:r w:rsidRPr="00B35909">
        <w:t xml:space="preserve">This is the beginning of regular monitoring of SUDI by </w:t>
      </w:r>
      <w:r w:rsidR="00530A96">
        <w:t>the Commission</w:t>
      </w:r>
      <w:r w:rsidR="00885E9F">
        <w:t xml:space="preserve">. Please contact us if </w:t>
      </w:r>
      <w:r w:rsidR="00680F1F">
        <w:t>you have any questions or a</w:t>
      </w:r>
      <w:r w:rsidRPr="00B35909">
        <w:t>dditional data analysis you would like to see</w:t>
      </w:r>
      <w:r w:rsidR="00680F1F">
        <w:t xml:space="preserve">. Email: </w:t>
      </w:r>
      <w:hyperlink r:id="rId28" w:history="1">
        <w:r w:rsidR="00DF47C8" w:rsidRPr="00F642DB">
          <w:rPr>
            <w:rStyle w:val="Hyperlink"/>
          </w:rPr>
          <w:t>info@hqsc.govt.nz</w:t>
        </w:r>
      </w:hyperlink>
    </w:p>
    <w:p w14:paraId="491ADAA6" w14:textId="7DF65CD0" w:rsidR="00E92118" w:rsidRDefault="00E92118" w:rsidP="002E7E64">
      <w:pPr>
        <w:pStyle w:val="HQSCbodytext"/>
        <w:spacing w:before="4800"/>
      </w:pPr>
      <w:r w:rsidRPr="00052E86">
        <w:t xml:space="preserve">Published </w:t>
      </w:r>
      <w:r>
        <w:t xml:space="preserve">in </w:t>
      </w:r>
      <w:r w:rsidRPr="00362B0C">
        <w:t>January 2026</w:t>
      </w:r>
      <w:r>
        <w:t xml:space="preserve"> by Health Quality &amp; Safety Commission Te Tāh</w:t>
      </w:r>
      <w:r w:rsidR="00125A5B">
        <w:t>ū Hauora</w:t>
      </w:r>
      <w:r>
        <w:t xml:space="preserve">, PO Box 25496, Wellington, 6146. </w:t>
      </w:r>
      <w:r w:rsidRPr="00052E86">
        <w:t xml:space="preserve">Available online at </w:t>
      </w:r>
      <w:hyperlink r:id="rId29" w:history="1">
        <w:r w:rsidRPr="00052E86">
          <w:rPr>
            <w:rStyle w:val="Hyperlink"/>
          </w:rPr>
          <w:t>www.hqsc.govt.nz</w:t>
        </w:r>
      </w:hyperlink>
      <w:r>
        <w:t>.</w:t>
      </w:r>
      <w:r w:rsidR="00A35CD4">
        <w:t xml:space="preserve"> </w:t>
      </w:r>
      <w:r w:rsidRPr="00052E86">
        <w:t xml:space="preserve">Enquiries to: </w:t>
      </w:r>
      <w:hyperlink r:id="rId30" w:history="1">
        <w:r w:rsidRPr="00A45102">
          <w:rPr>
            <w:rStyle w:val="Hyperlink"/>
          </w:rPr>
          <w:t>info@hqsc.govt.nz</w:t>
        </w:r>
      </w:hyperlink>
    </w:p>
    <w:p w14:paraId="30EFB4EB" w14:textId="12832FDD" w:rsidR="00FA0BF4" w:rsidRPr="00B35909" w:rsidRDefault="00E92118" w:rsidP="00A55AD4">
      <w:pPr>
        <w:pStyle w:val="HQSCbodytext"/>
        <w:jc w:val="center"/>
      </w:pPr>
      <w:r>
        <w:rPr>
          <w:noProof/>
        </w:rPr>
        <w:drawing>
          <wp:inline distT="0" distB="0" distL="0" distR="0" wp14:anchorId="6F282798" wp14:editId="7283F32B">
            <wp:extent cx="1403350" cy="529871"/>
            <wp:effectExtent l="0" t="0" r="6350" b="3810"/>
            <wp:docPr id="9" name="Picture 9" descr="New Zea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New Zealand Government logo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006" cy="54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BF4" w:rsidRPr="00B35909">
      <w:footerReference w:type="defaul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E7E7" w14:textId="77777777" w:rsidR="007962E4" w:rsidRDefault="007962E4" w:rsidP="003C45E1">
      <w:pPr>
        <w:spacing w:after="0" w:line="240" w:lineRule="auto"/>
      </w:pPr>
      <w:r>
        <w:separator/>
      </w:r>
    </w:p>
  </w:endnote>
  <w:endnote w:type="continuationSeparator" w:id="0">
    <w:p w14:paraId="665E4301" w14:textId="77777777" w:rsidR="007962E4" w:rsidRDefault="007962E4" w:rsidP="003C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603580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B58123" w14:textId="4DCFDB3F" w:rsidR="004907D7" w:rsidRPr="004A752B" w:rsidRDefault="00443013" w:rsidP="004A752B">
            <w:pPr>
              <w:pStyle w:val="Footer"/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Monitoring</w:t>
            </w:r>
            <w:r w:rsidR="001F6F6D" w:rsidRPr="001F6F6D">
              <w:rPr>
                <w:sz w:val="20"/>
                <w:szCs w:val="20"/>
              </w:rPr>
              <w:t xml:space="preserve"> Sudden Unexpected Death in Infancy</w:t>
            </w:r>
            <w:r w:rsidR="004A752B" w:rsidRPr="004A752B">
              <w:rPr>
                <w:sz w:val="20"/>
                <w:szCs w:val="20"/>
              </w:rPr>
              <w:tab/>
            </w:r>
            <w:r w:rsidR="004A752B" w:rsidRPr="004A752B">
              <w:rPr>
                <w:sz w:val="20"/>
                <w:szCs w:val="20"/>
              </w:rPr>
              <w:tab/>
            </w:r>
            <w:r w:rsidR="004A752B" w:rsidRPr="004A752B">
              <w:rPr>
                <w:sz w:val="20"/>
                <w:szCs w:val="20"/>
              </w:rPr>
              <w:fldChar w:fldCharType="begin"/>
            </w:r>
            <w:r w:rsidR="004A752B" w:rsidRPr="004A752B">
              <w:rPr>
                <w:sz w:val="20"/>
                <w:szCs w:val="20"/>
              </w:rPr>
              <w:instrText xml:space="preserve"> PAGE </w:instrText>
            </w:r>
            <w:r w:rsidR="004A752B" w:rsidRPr="004A752B">
              <w:rPr>
                <w:sz w:val="20"/>
                <w:szCs w:val="20"/>
              </w:rPr>
              <w:fldChar w:fldCharType="separate"/>
            </w:r>
            <w:r w:rsidR="004A752B" w:rsidRPr="004A752B">
              <w:rPr>
                <w:noProof/>
                <w:sz w:val="20"/>
                <w:szCs w:val="20"/>
              </w:rPr>
              <w:t>2</w:t>
            </w:r>
            <w:r w:rsidR="004A752B" w:rsidRPr="004A752B">
              <w:rPr>
                <w:sz w:val="20"/>
                <w:szCs w:val="20"/>
              </w:rPr>
              <w:fldChar w:fldCharType="end"/>
            </w:r>
            <w:r w:rsidR="004A752B" w:rsidRPr="004A752B">
              <w:rPr>
                <w:sz w:val="20"/>
                <w:szCs w:val="20"/>
              </w:rPr>
              <w:t xml:space="preserve"> of </w:t>
            </w:r>
            <w:r w:rsidR="004A752B" w:rsidRPr="004A752B">
              <w:rPr>
                <w:sz w:val="20"/>
                <w:szCs w:val="20"/>
              </w:rPr>
              <w:fldChar w:fldCharType="begin"/>
            </w:r>
            <w:r w:rsidR="004A752B" w:rsidRPr="004A752B">
              <w:rPr>
                <w:sz w:val="20"/>
                <w:szCs w:val="20"/>
              </w:rPr>
              <w:instrText xml:space="preserve"> NUMPAGES  </w:instrText>
            </w:r>
            <w:r w:rsidR="004A752B" w:rsidRPr="004A752B">
              <w:rPr>
                <w:sz w:val="20"/>
                <w:szCs w:val="20"/>
              </w:rPr>
              <w:fldChar w:fldCharType="separate"/>
            </w:r>
            <w:r w:rsidR="004A752B" w:rsidRPr="004A752B">
              <w:rPr>
                <w:noProof/>
                <w:sz w:val="20"/>
                <w:szCs w:val="20"/>
              </w:rPr>
              <w:t>2</w:t>
            </w:r>
            <w:r w:rsidR="004A752B" w:rsidRPr="004A752B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3029" w14:textId="77777777" w:rsidR="007962E4" w:rsidRDefault="007962E4" w:rsidP="003C45E1">
      <w:pPr>
        <w:spacing w:after="0" w:line="240" w:lineRule="auto"/>
      </w:pPr>
      <w:r>
        <w:separator/>
      </w:r>
    </w:p>
  </w:footnote>
  <w:footnote w:type="continuationSeparator" w:id="0">
    <w:p w14:paraId="1918A445" w14:textId="77777777" w:rsidR="007962E4" w:rsidRDefault="007962E4" w:rsidP="003C4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48A0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554B7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134035"/>
    <w:multiLevelType w:val="multilevel"/>
    <w:tmpl w:val="2090B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C304779"/>
    <w:multiLevelType w:val="hybridMultilevel"/>
    <w:tmpl w:val="4E30ED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90D44"/>
    <w:multiLevelType w:val="hybridMultilevel"/>
    <w:tmpl w:val="F808FC2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87844"/>
    <w:multiLevelType w:val="hybridMultilevel"/>
    <w:tmpl w:val="7C86928C"/>
    <w:lvl w:ilvl="0" w:tplc="6CB282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906E0"/>
    <w:multiLevelType w:val="hybridMultilevel"/>
    <w:tmpl w:val="E6D63B6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A3C85"/>
    <w:multiLevelType w:val="hybridMultilevel"/>
    <w:tmpl w:val="7C7E67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2634"/>
    <w:multiLevelType w:val="hybridMultilevel"/>
    <w:tmpl w:val="189EC3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E3E3A"/>
    <w:multiLevelType w:val="hybridMultilevel"/>
    <w:tmpl w:val="D74617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5F62"/>
    <w:multiLevelType w:val="multilevel"/>
    <w:tmpl w:val="0C16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361D1"/>
    <w:multiLevelType w:val="hybridMultilevel"/>
    <w:tmpl w:val="390AAC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CD3D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B0D68"/>
    <w:multiLevelType w:val="hybridMultilevel"/>
    <w:tmpl w:val="A142FE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D2A43"/>
    <w:multiLevelType w:val="hybridMultilevel"/>
    <w:tmpl w:val="F26E1BA4"/>
    <w:lvl w:ilvl="0" w:tplc="D43A4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7AB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3CF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B2B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561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28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488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660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45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7B723FF"/>
    <w:multiLevelType w:val="hybridMultilevel"/>
    <w:tmpl w:val="555C0578"/>
    <w:lvl w:ilvl="0" w:tplc="3FB8E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E3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A7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86B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2B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08A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542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1EC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303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D29109C"/>
    <w:multiLevelType w:val="hybridMultilevel"/>
    <w:tmpl w:val="CC4AF280"/>
    <w:styleLink w:val="Dash"/>
    <w:lvl w:ilvl="0" w:tplc="A5D216C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4A48D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FA2A3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002358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D21FE0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70F85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B05962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A4DEF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44216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E895F3E"/>
    <w:multiLevelType w:val="hybridMultilevel"/>
    <w:tmpl w:val="0DFE3C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D71A2"/>
    <w:multiLevelType w:val="multilevel"/>
    <w:tmpl w:val="2334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E06C33"/>
    <w:multiLevelType w:val="hybridMultilevel"/>
    <w:tmpl w:val="460CC8E4"/>
    <w:lvl w:ilvl="0" w:tplc="90F45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8E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6C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8E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E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4D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0EA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0F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02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74B4637"/>
    <w:multiLevelType w:val="hybridMultilevel"/>
    <w:tmpl w:val="DC24D8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758FD"/>
    <w:multiLevelType w:val="multilevel"/>
    <w:tmpl w:val="2090B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01453E9"/>
    <w:multiLevelType w:val="hybridMultilevel"/>
    <w:tmpl w:val="D42E7B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D4776"/>
    <w:multiLevelType w:val="hybridMultilevel"/>
    <w:tmpl w:val="55E468BC"/>
    <w:lvl w:ilvl="0" w:tplc="755E26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8E823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A00C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850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98B3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F649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22E2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6288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2E0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0230B"/>
    <w:multiLevelType w:val="hybridMultilevel"/>
    <w:tmpl w:val="50AC4CE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F5ACB"/>
    <w:multiLevelType w:val="hybridMultilevel"/>
    <w:tmpl w:val="B17420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C3B95"/>
    <w:multiLevelType w:val="hybridMultilevel"/>
    <w:tmpl w:val="FB6014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37056"/>
    <w:multiLevelType w:val="hybridMultilevel"/>
    <w:tmpl w:val="D35028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B6656"/>
    <w:multiLevelType w:val="hybridMultilevel"/>
    <w:tmpl w:val="600ADA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D4156"/>
    <w:multiLevelType w:val="hybridMultilevel"/>
    <w:tmpl w:val="6430DB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13112">
    <w:abstractNumId w:val="11"/>
  </w:num>
  <w:num w:numId="2" w16cid:durableId="1664695360">
    <w:abstractNumId w:val="19"/>
  </w:num>
  <w:num w:numId="3" w16cid:durableId="86075489">
    <w:abstractNumId w:val="23"/>
  </w:num>
  <w:num w:numId="4" w16cid:durableId="961226629">
    <w:abstractNumId w:val="20"/>
  </w:num>
  <w:num w:numId="5" w16cid:durableId="810247892">
    <w:abstractNumId w:val="24"/>
  </w:num>
  <w:num w:numId="6" w16cid:durableId="199098544">
    <w:abstractNumId w:val="15"/>
  </w:num>
  <w:num w:numId="7" w16cid:durableId="1829781319">
    <w:abstractNumId w:val="27"/>
  </w:num>
  <w:num w:numId="8" w16cid:durableId="534579980">
    <w:abstractNumId w:val="21"/>
  </w:num>
  <w:num w:numId="9" w16cid:durableId="1863742993">
    <w:abstractNumId w:val="9"/>
  </w:num>
  <w:num w:numId="10" w16cid:durableId="50538599">
    <w:abstractNumId w:val="6"/>
  </w:num>
  <w:num w:numId="11" w16cid:durableId="1131828693">
    <w:abstractNumId w:val="4"/>
  </w:num>
  <w:num w:numId="12" w16cid:durableId="1093433892">
    <w:abstractNumId w:val="26"/>
  </w:num>
  <w:num w:numId="13" w16cid:durableId="272787516">
    <w:abstractNumId w:val="25"/>
  </w:num>
  <w:num w:numId="14" w16cid:durableId="1390617373">
    <w:abstractNumId w:val="5"/>
  </w:num>
  <w:num w:numId="15" w16cid:durableId="761143986">
    <w:abstractNumId w:val="2"/>
  </w:num>
  <w:num w:numId="16" w16cid:durableId="1515728625">
    <w:abstractNumId w:val="1"/>
  </w:num>
  <w:num w:numId="17" w16cid:durableId="999843847">
    <w:abstractNumId w:val="0"/>
  </w:num>
  <w:num w:numId="18" w16cid:durableId="1301568591">
    <w:abstractNumId w:val="0"/>
    <w:lvlOverride w:ilvl="0">
      <w:startOverride w:val="1"/>
    </w:lvlOverride>
  </w:num>
  <w:num w:numId="19" w16cid:durableId="518355954">
    <w:abstractNumId w:val="18"/>
  </w:num>
  <w:num w:numId="20" w16cid:durableId="761416832">
    <w:abstractNumId w:val="14"/>
  </w:num>
  <w:num w:numId="21" w16cid:durableId="373626581">
    <w:abstractNumId w:val="13"/>
  </w:num>
  <w:num w:numId="22" w16cid:durableId="1138181037">
    <w:abstractNumId w:val="22"/>
  </w:num>
  <w:num w:numId="23" w16cid:durableId="1649898539">
    <w:abstractNumId w:val="10"/>
  </w:num>
  <w:num w:numId="24" w16cid:durableId="722798889">
    <w:abstractNumId w:val="17"/>
  </w:num>
  <w:num w:numId="25" w16cid:durableId="1256596702">
    <w:abstractNumId w:val="7"/>
  </w:num>
  <w:num w:numId="26" w16cid:durableId="376054459">
    <w:abstractNumId w:val="3"/>
  </w:num>
  <w:num w:numId="27" w16cid:durableId="1238903144">
    <w:abstractNumId w:val="16"/>
  </w:num>
  <w:num w:numId="28" w16cid:durableId="653526455">
    <w:abstractNumId w:val="28"/>
  </w:num>
  <w:num w:numId="29" w16cid:durableId="1333870413">
    <w:abstractNumId w:val="12"/>
  </w:num>
  <w:num w:numId="30" w16cid:durableId="1250382370">
    <w:abstractNumId w:val="1"/>
  </w:num>
  <w:num w:numId="31" w16cid:durableId="191956105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A0"/>
    <w:rsid w:val="00000224"/>
    <w:rsid w:val="00000711"/>
    <w:rsid w:val="00000F28"/>
    <w:rsid w:val="000010D6"/>
    <w:rsid w:val="0000126A"/>
    <w:rsid w:val="000016A5"/>
    <w:rsid w:val="00002EBF"/>
    <w:rsid w:val="000031AB"/>
    <w:rsid w:val="00003978"/>
    <w:rsid w:val="00004367"/>
    <w:rsid w:val="0000443D"/>
    <w:rsid w:val="00004768"/>
    <w:rsid w:val="00005443"/>
    <w:rsid w:val="000055DE"/>
    <w:rsid w:val="00005986"/>
    <w:rsid w:val="0000701B"/>
    <w:rsid w:val="000072B5"/>
    <w:rsid w:val="00010267"/>
    <w:rsid w:val="00012CD3"/>
    <w:rsid w:val="00013164"/>
    <w:rsid w:val="00013F1E"/>
    <w:rsid w:val="000142BE"/>
    <w:rsid w:val="000145D9"/>
    <w:rsid w:val="00014BDF"/>
    <w:rsid w:val="00014F3D"/>
    <w:rsid w:val="000154D5"/>
    <w:rsid w:val="00015F44"/>
    <w:rsid w:val="00016719"/>
    <w:rsid w:val="000169FA"/>
    <w:rsid w:val="00017216"/>
    <w:rsid w:val="00017325"/>
    <w:rsid w:val="000176C8"/>
    <w:rsid w:val="00020232"/>
    <w:rsid w:val="000206E5"/>
    <w:rsid w:val="00021A1A"/>
    <w:rsid w:val="000235D4"/>
    <w:rsid w:val="00023F04"/>
    <w:rsid w:val="00024465"/>
    <w:rsid w:val="0002497C"/>
    <w:rsid w:val="00024D65"/>
    <w:rsid w:val="0002553A"/>
    <w:rsid w:val="000257D7"/>
    <w:rsid w:val="000262B2"/>
    <w:rsid w:val="00026401"/>
    <w:rsid w:val="00027414"/>
    <w:rsid w:val="00027BDC"/>
    <w:rsid w:val="000309AE"/>
    <w:rsid w:val="00032AA8"/>
    <w:rsid w:val="000330D2"/>
    <w:rsid w:val="00033590"/>
    <w:rsid w:val="00033A38"/>
    <w:rsid w:val="0003451F"/>
    <w:rsid w:val="00037A44"/>
    <w:rsid w:val="00040981"/>
    <w:rsid w:val="00040D78"/>
    <w:rsid w:val="000413DE"/>
    <w:rsid w:val="0004242C"/>
    <w:rsid w:val="00042F38"/>
    <w:rsid w:val="00043083"/>
    <w:rsid w:val="00043309"/>
    <w:rsid w:val="000442F1"/>
    <w:rsid w:val="000448CB"/>
    <w:rsid w:val="00044FD6"/>
    <w:rsid w:val="00045582"/>
    <w:rsid w:val="0004778E"/>
    <w:rsid w:val="00051401"/>
    <w:rsid w:val="00051942"/>
    <w:rsid w:val="00051CC0"/>
    <w:rsid w:val="0005287A"/>
    <w:rsid w:val="00052B4C"/>
    <w:rsid w:val="000532A7"/>
    <w:rsid w:val="00054DAB"/>
    <w:rsid w:val="0005504C"/>
    <w:rsid w:val="00056941"/>
    <w:rsid w:val="00057F11"/>
    <w:rsid w:val="0006021F"/>
    <w:rsid w:val="000608F4"/>
    <w:rsid w:val="00062B82"/>
    <w:rsid w:val="00062BAC"/>
    <w:rsid w:val="0006315E"/>
    <w:rsid w:val="00063D16"/>
    <w:rsid w:val="000656D3"/>
    <w:rsid w:val="00065DE2"/>
    <w:rsid w:val="000667CA"/>
    <w:rsid w:val="00066F81"/>
    <w:rsid w:val="00067C71"/>
    <w:rsid w:val="00070283"/>
    <w:rsid w:val="00070CD9"/>
    <w:rsid w:val="00071CE6"/>
    <w:rsid w:val="00072B90"/>
    <w:rsid w:val="00074E0D"/>
    <w:rsid w:val="00075642"/>
    <w:rsid w:val="00075951"/>
    <w:rsid w:val="000766C5"/>
    <w:rsid w:val="00076C2C"/>
    <w:rsid w:val="00077897"/>
    <w:rsid w:val="000801AA"/>
    <w:rsid w:val="00080C6C"/>
    <w:rsid w:val="00081524"/>
    <w:rsid w:val="00081E3B"/>
    <w:rsid w:val="00083C26"/>
    <w:rsid w:val="00084974"/>
    <w:rsid w:val="00086338"/>
    <w:rsid w:val="00086975"/>
    <w:rsid w:val="0008726B"/>
    <w:rsid w:val="0009035D"/>
    <w:rsid w:val="00091142"/>
    <w:rsid w:val="0009169F"/>
    <w:rsid w:val="00091E22"/>
    <w:rsid w:val="00092A37"/>
    <w:rsid w:val="00093C84"/>
    <w:rsid w:val="00095EDD"/>
    <w:rsid w:val="00095F92"/>
    <w:rsid w:val="00095FB3"/>
    <w:rsid w:val="00096C19"/>
    <w:rsid w:val="000A1145"/>
    <w:rsid w:val="000A24D1"/>
    <w:rsid w:val="000A3615"/>
    <w:rsid w:val="000A383B"/>
    <w:rsid w:val="000A3BAC"/>
    <w:rsid w:val="000A4552"/>
    <w:rsid w:val="000A465D"/>
    <w:rsid w:val="000A5622"/>
    <w:rsid w:val="000A5F36"/>
    <w:rsid w:val="000A6B95"/>
    <w:rsid w:val="000A7B86"/>
    <w:rsid w:val="000B09A4"/>
    <w:rsid w:val="000B111C"/>
    <w:rsid w:val="000B1FB3"/>
    <w:rsid w:val="000B2AA0"/>
    <w:rsid w:val="000B2BBB"/>
    <w:rsid w:val="000B4002"/>
    <w:rsid w:val="000B4CE0"/>
    <w:rsid w:val="000B5462"/>
    <w:rsid w:val="000B6565"/>
    <w:rsid w:val="000C0008"/>
    <w:rsid w:val="000C0484"/>
    <w:rsid w:val="000C05B8"/>
    <w:rsid w:val="000C06E6"/>
    <w:rsid w:val="000C0B02"/>
    <w:rsid w:val="000C1227"/>
    <w:rsid w:val="000C29B8"/>
    <w:rsid w:val="000C2DF4"/>
    <w:rsid w:val="000C3F74"/>
    <w:rsid w:val="000C71F5"/>
    <w:rsid w:val="000C7A72"/>
    <w:rsid w:val="000C7CC8"/>
    <w:rsid w:val="000D1918"/>
    <w:rsid w:val="000D1D3C"/>
    <w:rsid w:val="000D295D"/>
    <w:rsid w:val="000D2D89"/>
    <w:rsid w:val="000D3211"/>
    <w:rsid w:val="000D3BCE"/>
    <w:rsid w:val="000D6042"/>
    <w:rsid w:val="000D7E4B"/>
    <w:rsid w:val="000E0739"/>
    <w:rsid w:val="000E3DBB"/>
    <w:rsid w:val="000E5B30"/>
    <w:rsid w:val="000F090A"/>
    <w:rsid w:val="000F0DDA"/>
    <w:rsid w:val="000F25DA"/>
    <w:rsid w:val="000F2A70"/>
    <w:rsid w:val="000F2DCF"/>
    <w:rsid w:val="000F2E19"/>
    <w:rsid w:val="000F32C0"/>
    <w:rsid w:val="000F32D0"/>
    <w:rsid w:val="000F3AF7"/>
    <w:rsid w:val="000F4088"/>
    <w:rsid w:val="000F498C"/>
    <w:rsid w:val="000F6AE1"/>
    <w:rsid w:val="000F7471"/>
    <w:rsid w:val="000F76B5"/>
    <w:rsid w:val="000F77CF"/>
    <w:rsid w:val="00100228"/>
    <w:rsid w:val="001010C7"/>
    <w:rsid w:val="00101302"/>
    <w:rsid w:val="00101C0C"/>
    <w:rsid w:val="001026E1"/>
    <w:rsid w:val="001041C5"/>
    <w:rsid w:val="00104BBC"/>
    <w:rsid w:val="00104F64"/>
    <w:rsid w:val="00105234"/>
    <w:rsid w:val="00105324"/>
    <w:rsid w:val="00105E23"/>
    <w:rsid w:val="0010663E"/>
    <w:rsid w:val="0010681F"/>
    <w:rsid w:val="00106ECE"/>
    <w:rsid w:val="00107F5A"/>
    <w:rsid w:val="001105A4"/>
    <w:rsid w:val="001109C8"/>
    <w:rsid w:val="001111D6"/>
    <w:rsid w:val="001123E1"/>
    <w:rsid w:val="00112C86"/>
    <w:rsid w:val="00112D80"/>
    <w:rsid w:val="00115489"/>
    <w:rsid w:val="00115AEB"/>
    <w:rsid w:val="0011634E"/>
    <w:rsid w:val="001169C9"/>
    <w:rsid w:val="00117ECB"/>
    <w:rsid w:val="00120A71"/>
    <w:rsid w:val="00120C79"/>
    <w:rsid w:val="001214C8"/>
    <w:rsid w:val="00121B34"/>
    <w:rsid w:val="0012208A"/>
    <w:rsid w:val="001222F7"/>
    <w:rsid w:val="00122C80"/>
    <w:rsid w:val="00122D8F"/>
    <w:rsid w:val="001232B0"/>
    <w:rsid w:val="001249E2"/>
    <w:rsid w:val="00124E94"/>
    <w:rsid w:val="00125777"/>
    <w:rsid w:val="00125A5B"/>
    <w:rsid w:val="001261A1"/>
    <w:rsid w:val="001268D0"/>
    <w:rsid w:val="00130266"/>
    <w:rsid w:val="001305F0"/>
    <w:rsid w:val="00130E4C"/>
    <w:rsid w:val="00131006"/>
    <w:rsid w:val="0013118C"/>
    <w:rsid w:val="00131E3D"/>
    <w:rsid w:val="00131EA3"/>
    <w:rsid w:val="001328E0"/>
    <w:rsid w:val="00133F6A"/>
    <w:rsid w:val="001341BC"/>
    <w:rsid w:val="00134F5C"/>
    <w:rsid w:val="001378CA"/>
    <w:rsid w:val="00137C63"/>
    <w:rsid w:val="00140AAC"/>
    <w:rsid w:val="001412CB"/>
    <w:rsid w:val="00141520"/>
    <w:rsid w:val="00141DDA"/>
    <w:rsid w:val="001424B2"/>
    <w:rsid w:val="00142951"/>
    <w:rsid w:val="00143651"/>
    <w:rsid w:val="00143810"/>
    <w:rsid w:val="00144384"/>
    <w:rsid w:val="00144784"/>
    <w:rsid w:val="00144FB0"/>
    <w:rsid w:val="00145306"/>
    <w:rsid w:val="001457B3"/>
    <w:rsid w:val="00147145"/>
    <w:rsid w:val="00150EC1"/>
    <w:rsid w:val="00150EE7"/>
    <w:rsid w:val="00150F2F"/>
    <w:rsid w:val="0015200B"/>
    <w:rsid w:val="00153C73"/>
    <w:rsid w:val="00154426"/>
    <w:rsid w:val="001553EA"/>
    <w:rsid w:val="0015661D"/>
    <w:rsid w:val="00157350"/>
    <w:rsid w:val="00157A11"/>
    <w:rsid w:val="00160216"/>
    <w:rsid w:val="00160A99"/>
    <w:rsid w:val="00161A39"/>
    <w:rsid w:val="001639FA"/>
    <w:rsid w:val="00164036"/>
    <w:rsid w:val="001658FF"/>
    <w:rsid w:val="00165B6D"/>
    <w:rsid w:val="001660C3"/>
    <w:rsid w:val="0016649C"/>
    <w:rsid w:val="0016679F"/>
    <w:rsid w:val="001703CB"/>
    <w:rsid w:val="00172B67"/>
    <w:rsid w:val="00173325"/>
    <w:rsid w:val="001735A9"/>
    <w:rsid w:val="00173B88"/>
    <w:rsid w:val="00173E88"/>
    <w:rsid w:val="00174907"/>
    <w:rsid w:val="00174E7F"/>
    <w:rsid w:val="001754DA"/>
    <w:rsid w:val="00176868"/>
    <w:rsid w:val="00176C32"/>
    <w:rsid w:val="0017714D"/>
    <w:rsid w:val="00180E08"/>
    <w:rsid w:val="00180EB8"/>
    <w:rsid w:val="00181EEB"/>
    <w:rsid w:val="00181EF0"/>
    <w:rsid w:val="0018224B"/>
    <w:rsid w:val="00182524"/>
    <w:rsid w:val="00182632"/>
    <w:rsid w:val="00182A01"/>
    <w:rsid w:val="00182C5B"/>
    <w:rsid w:val="00183219"/>
    <w:rsid w:val="00183707"/>
    <w:rsid w:val="0018386D"/>
    <w:rsid w:val="00183A2D"/>
    <w:rsid w:val="00183EE1"/>
    <w:rsid w:val="00183F98"/>
    <w:rsid w:val="001842C3"/>
    <w:rsid w:val="001844E4"/>
    <w:rsid w:val="00184F9F"/>
    <w:rsid w:val="001855EA"/>
    <w:rsid w:val="00185F52"/>
    <w:rsid w:val="0018718F"/>
    <w:rsid w:val="00187E04"/>
    <w:rsid w:val="001910A6"/>
    <w:rsid w:val="00191E26"/>
    <w:rsid w:val="00193951"/>
    <w:rsid w:val="0019407B"/>
    <w:rsid w:val="00194669"/>
    <w:rsid w:val="00196074"/>
    <w:rsid w:val="001961CC"/>
    <w:rsid w:val="00196D50"/>
    <w:rsid w:val="001970E5"/>
    <w:rsid w:val="0019718B"/>
    <w:rsid w:val="001A02AD"/>
    <w:rsid w:val="001A132C"/>
    <w:rsid w:val="001A167E"/>
    <w:rsid w:val="001A2A4E"/>
    <w:rsid w:val="001A44E7"/>
    <w:rsid w:val="001A4651"/>
    <w:rsid w:val="001A4B41"/>
    <w:rsid w:val="001A4C05"/>
    <w:rsid w:val="001A4CDD"/>
    <w:rsid w:val="001A6068"/>
    <w:rsid w:val="001A6553"/>
    <w:rsid w:val="001A6AB9"/>
    <w:rsid w:val="001A6BBB"/>
    <w:rsid w:val="001A7456"/>
    <w:rsid w:val="001B0620"/>
    <w:rsid w:val="001B0B63"/>
    <w:rsid w:val="001B0CD5"/>
    <w:rsid w:val="001B13D8"/>
    <w:rsid w:val="001B161C"/>
    <w:rsid w:val="001B4FE0"/>
    <w:rsid w:val="001B50FD"/>
    <w:rsid w:val="001B59FF"/>
    <w:rsid w:val="001B6AEC"/>
    <w:rsid w:val="001C083E"/>
    <w:rsid w:val="001C0EF8"/>
    <w:rsid w:val="001C2409"/>
    <w:rsid w:val="001C31FC"/>
    <w:rsid w:val="001C3D58"/>
    <w:rsid w:val="001C3DCC"/>
    <w:rsid w:val="001C3E54"/>
    <w:rsid w:val="001C3FDB"/>
    <w:rsid w:val="001C6051"/>
    <w:rsid w:val="001C652E"/>
    <w:rsid w:val="001C714C"/>
    <w:rsid w:val="001D0822"/>
    <w:rsid w:val="001D0D6F"/>
    <w:rsid w:val="001D1040"/>
    <w:rsid w:val="001D2579"/>
    <w:rsid w:val="001D2A14"/>
    <w:rsid w:val="001D3379"/>
    <w:rsid w:val="001D373D"/>
    <w:rsid w:val="001D658C"/>
    <w:rsid w:val="001D6AAD"/>
    <w:rsid w:val="001D6D4D"/>
    <w:rsid w:val="001E06DF"/>
    <w:rsid w:val="001E0B57"/>
    <w:rsid w:val="001E132A"/>
    <w:rsid w:val="001E22FE"/>
    <w:rsid w:val="001E2501"/>
    <w:rsid w:val="001E2A35"/>
    <w:rsid w:val="001E3E9A"/>
    <w:rsid w:val="001E5B5D"/>
    <w:rsid w:val="001E5C31"/>
    <w:rsid w:val="001E6A9F"/>
    <w:rsid w:val="001E736F"/>
    <w:rsid w:val="001E73BB"/>
    <w:rsid w:val="001F1896"/>
    <w:rsid w:val="001F19CD"/>
    <w:rsid w:val="001F2B26"/>
    <w:rsid w:val="001F3461"/>
    <w:rsid w:val="001F3894"/>
    <w:rsid w:val="001F6297"/>
    <w:rsid w:val="001F6F6D"/>
    <w:rsid w:val="001F72C0"/>
    <w:rsid w:val="001F7E0B"/>
    <w:rsid w:val="001F7EA8"/>
    <w:rsid w:val="00200B6A"/>
    <w:rsid w:val="00200D39"/>
    <w:rsid w:val="00200D65"/>
    <w:rsid w:val="0020107E"/>
    <w:rsid w:val="0020168C"/>
    <w:rsid w:val="00203EA2"/>
    <w:rsid w:val="00205657"/>
    <w:rsid w:val="00205AD6"/>
    <w:rsid w:val="00206124"/>
    <w:rsid w:val="002077D2"/>
    <w:rsid w:val="00207DFD"/>
    <w:rsid w:val="002103E0"/>
    <w:rsid w:val="002104CF"/>
    <w:rsid w:val="0021076B"/>
    <w:rsid w:val="002121B9"/>
    <w:rsid w:val="002125B2"/>
    <w:rsid w:val="0021261B"/>
    <w:rsid w:val="002129D2"/>
    <w:rsid w:val="0021360F"/>
    <w:rsid w:val="00214AE5"/>
    <w:rsid w:val="00215550"/>
    <w:rsid w:val="00216411"/>
    <w:rsid w:val="00216748"/>
    <w:rsid w:val="002201B7"/>
    <w:rsid w:val="00220C26"/>
    <w:rsid w:val="00221BE4"/>
    <w:rsid w:val="0022252D"/>
    <w:rsid w:val="00222F33"/>
    <w:rsid w:val="0022393D"/>
    <w:rsid w:val="00224C37"/>
    <w:rsid w:val="00225BC0"/>
    <w:rsid w:val="002263EF"/>
    <w:rsid w:val="002266BC"/>
    <w:rsid w:val="00227096"/>
    <w:rsid w:val="0023054B"/>
    <w:rsid w:val="002311FC"/>
    <w:rsid w:val="00231DD2"/>
    <w:rsid w:val="002339EA"/>
    <w:rsid w:val="00234781"/>
    <w:rsid w:val="00235C31"/>
    <w:rsid w:val="0023633B"/>
    <w:rsid w:val="002371B4"/>
    <w:rsid w:val="00237533"/>
    <w:rsid w:val="002375D2"/>
    <w:rsid w:val="00237C5E"/>
    <w:rsid w:val="00237F47"/>
    <w:rsid w:val="00240204"/>
    <w:rsid w:val="00240ACC"/>
    <w:rsid w:val="002415BB"/>
    <w:rsid w:val="00241B0D"/>
    <w:rsid w:val="00243272"/>
    <w:rsid w:val="00244839"/>
    <w:rsid w:val="00244B3A"/>
    <w:rsid w:val="00244FE7"/>
    <w:rsid w:val="00245178"/>
    <w:rsid w:val="00245E2B"/>
    <w:rsid w:val="002464D8"/>
    <w:rsid w:val="00250925"/>
    <w:rsid w:val="002514A1"/>
    <w:rsid w:val="002523A9"/>
    <w:rsid w:val="0025281E"/>
    <w:rsid w:val="00252B7B"/>
    <w:rsid w:val="00252CD1"/>
    <w:rsid w:val="00253744"/>
    <w:rsid w:val="00253909"/>
    <w:rsid w:val="00254C70"/>
    <w:rsid w:val="00255959"/>
    <w:rsid w:val="002562EB"/>
    <w:rsid w:val="00257684"/>
    <w:rsid w:val="00260E77"/>
    <w:rsid w:val="0026121B"/>
    <w:rsid w:val="00262948"/>
    <w:rsid w:val="00262988"/>
    <w:rsid w:val="002637FC"/>
    <w:rsid w:val="002650AB"/>
    <w:rsid w:val="002658C4"/>
    <w:rsid w:val="002665C5"/>
    <w:rsid w:val="00267FA7"/>
    <w:rsid w:val="002701E1"/>
    <w:rsid w:val="002707BD"/>
    <w:rsid w:val="00271095"/>
    <w:rsid w:val="0027152B"/>
    <w:rsid w:val="00271BF8"/>
    <w:rsid w:val="00272AA4"/>
    <w:rsid w:val="00276544"/>
    <w:rsid w:val="0028072F"/>
    <w:rsid w:val="0028093F"/>
    <w:rsid w:val="002814C8"/>
    <w:rsid w:val="00281D5B"/>
    <w:rsid w:val="0028200B"/>
    <w:rsid w:val="002851DD"/>
    <w:rsid w:val="0028587D"/>
    <w:rsid w:val="00285C58"/>
    <w:rsid w:val="00287D53"/>
    <w:rsid w:val="002900E6"/>
    <w:rsid w:val="0029029C"/>
    <w:rsid w:val="0029094D"/>
    <w:rsid w:val="00291061"/>
    <w:rsid w:val="00291E66"/>
    <w:rsid w:val="00293F77"/>
    <w:rsid w:val="00294D9A"/>
    <w:rsid w:val="0029676C"/>
    <w:rsid w:val="002969D8"/>
    <w:rsid w:val="00297548"/>
    <w:rsid w:val="00297582"/>
    <w:rsid w:val="00297676"/>
    <w:rsid w:val="00297B4B"/>
    <w:rsid w:val="00297DA1"/>
    <w:rsid w:val="002A2BE5"/>
    <w:rsid w:val="002A3073"/>
    <w:rsid w:val="002A497E"/>
    <w:rsid w:val="002A54CD"/>
    <w:rsid w:val="002A6031"/>
    <w:rsid w:val="002B0589"/>
    <w:rsid w:val="002B12CE"/>
    <w:rsid w:val="002B255D"/>
    <w:rsid w:val="002B3291"/>
    <w:rsid w:val="002B3C42"/>
    <w:rsid w:val="002B4FF6"/>
    <w:rsid w:val="002B6478"/>
    <w:rsid w:val="002C0D3D"/>
    <w:rsid w:val="002C1589"/>
    <w:rsid w:val="002C1870"/>
    <w:rsid w:val="002C18B6"/>
    <w:rsid w:val="002C26D6"/>
    <w:rsid w:val="002C3202"/>
    <w:rsid w:val="002C3732"/>
    <w:rsid w:val="002C37A2"/>
    <w:rsid w:val="002C41A2"/>
    <w:rsid w:val="002C448B"/>
    <w:rsid w:val="002C4B06"/>
    <w:rsid w:val="002C4ECD"/>
    <w:rsid w:val="002C60F2"/>
    <w:rsid w:val="002C6F19"/>
    <w:rsid w:val="002D190C"/>
    <w:rsid w:val="002D1FBB"/>
    <w:rsid w:val="002D224A"/>
    <w:rsid w:val="002D22C7"/>
    <w:rsid w:val="002D2BA3"/>
    <w:rsid w:val="002D3089"/>
    <w:rsid w:val="002D489A"/>
    <w:rsid w:val="002D4E63"/>
    <w:rsid w:val="002D59DD"/>
    <w:rsid w:val="002D5CF7"/>
    <w:rsid w:val="002D6127"/>
    <w:rsid w:val="002E1465"/>
    <w:rsid w:val="002E1666"/>
    <w:rsid w:val="002E2081"/>
    <w:rsid w:val="002E22C4"/>
    <w:rsid w:val="002E2CCF"/>
    <w:rsid w:val="002E3592"/>
    <w:rsid w:val="002E547C"/>
    <w:rsid w:val="002E60EB"/>
    <w:rsid w:val="002E6134"/>
    <w:rsid w:val="002E6A81"/>
    <w:rsid w:val="002E752A"/>
    <w:rsid w:val="002E7831"/>
    <w:rsid w:val="002E78C0"/>
    <w:rsid w:val="002E7E64"/>
    <w:rsid w:val="002F1766"/>
    <w:rsid w:val="002F1B27"/>
    <w:rsid w:val="002F23EE"/>
    <w:rsid w:val="002F354F"/>
    <w:rsid w:val="002F502A"/>
    <w:rsid w:val="002F563C"/>
    <w:rsid w:val="002F5BDB"/>
    <w:rsid w:val="002F6103"/>
    <w:rsid w:val="002F6704"/>
    <w:rsid w:val="002F6B34"/>
    <w:rsid w:val="002F6BFE"/>
    <w:rsid w:val="00300830"/>
    <w:rsid w:val="0030109F"/>
    <w:rsid w:val="00301AB6"/>
    <w:rsid w:val="00302174"/>
    <w:rsid w:val="003022C2"/>
    <w:rsid w:val="003024D0"/>
    <w:rsid w:val="00303A87"/>
    <w:rsid w:val="00303EF1"/>
    <w:rsid w:val="00304874"/>
    <w:rsid w:val="00304DD4"/>
    <w:rsid w:val="00305946"/>
    <w:rsid w:val="0030594F"/>
    <w:rsid w:val="003060EA"/>
    <w:rsid w:val="003061EE"/>
    <w:rsid w:val="0030636F"/>
    <w:rsid w:val="00307045"/>
    <w:rsid w:val="00307EBE"/>
    <w:rsid w:val="00310A90"/>
    <w:rsid w:val="0031208A"/>
    <w:rsid w:val="00312E30"/>
    <w:rsid w:val="003169E9"/>
    <w:rsid w:val="003179CC"/>
    <w:rsid w:val="00320630"/>
    <w:rsid w:val="00320E0B"/>
    <w:rsid w:val="00321576"/>
    <w:rsid w:val="00321A66"/>
    <w:rsid w:val="003226B6"/>
    <w:rsid w:val="0032404B"/>
    <w:rsid w:val="003245E1"/>
    <w:rsid w:val="00324F95"/>
    <w:rsid w:val="0032513E"/>
    <w:rsid w:val="00325987"/>
    <w:rsid w:val="00325B25"/>
    <w:rsid w:val="00327073"/>
    <w:rsid w:val="00327C07"/>
    <w:rsid w:val="00330065"/>
    <w:rsid w:val="00331D2C"/>
    <w:rsid w:val="00333F1E"/>
    <w:rsid w:val="00333F79"/>
    <w:rsid w:val="00335341"/>
    <w:rsid w:val="00335513"/>
    <w:rsid w:val="003358B8"/>
    <w:rsid w:val="00335D0C"/>
    <w:rsid w:val="003362F8"/>
    <w:rsid w:val="00340460"/>
    <w:rsid w:val="00340841"/>
    <w:rsid w:val="003409B7"/>
    <w:rsid w:val="00341CCE"/>
    <w:rsid w:val="00341D16"/>
    <w:rsid w:val="0034255E"/>
    <w:rsid w:val="00342F79"/>
    <w:rsid w:val="00343C86"/>
    <w:rsid w:val="00344A97"/>
    <w:rsid w:val="00344D47"/>
    <w:rsid w:val="003451B3"/>
    <w:rsid w:val="00345201"/>
    <w:rsid w:val="00345ACC"/>
    <w:rsid w:val="00345B83"/>
    <w:rsid w:val="00346860"/>
    <w:rsid w:val="003470AA"/>
    <w:rsid w:val="00347286"/>
    <w:rsid w:val="00350237"/>
    <w:rsid w:val="003502FC"/>
    <w:rsid w:val="00350934"/>
    <w:rsid w:val="00350BA8"/>
    <w:rsid w:val="00351589"/>
    <w:rsid w:val="00351BD5"/>
    <w:rsid w:val="003522A9"/>
    <w:rsid w:val="00353D2F"/>
    <w:rsid w:val="00353D5F"/>
    <w:rsid w:val="00353F29"/>
    <w:rsid w:val="003544FE"/>
    <w:rsid w:val="0035453B"/>
    <w:rsid w:val="003557A9"/>
    <w:rsid w:val="003558C2"/>
    <w:rsid w:val="00355A6C"/>
    <w:rsid w:val="00355DBD"/>
    <w:rsid w:val="00355E55"/>
    <w:rsid w:val="00356454"/>
    <w:rsid w:val="0035680A"/>
    <w:rsid w:val="003569AF"/>
    <w:rsid w:val="00360C31"/>
    <w:rsid w:val="0036225A"/>
    <w:rsid w:val="00362B0C"/>
    <w:rsid w:val="003668E1"/>
    <w:rsid w:val="003674E8"/>
    <w:rsid w:val="00367576"/>
    <w:rsid w:val="00370C0F"/>
    <w:rsid w:val="0037164C"/>
    <w:rsid w:val="003720D9"/>
    <w:rsid w:val="0037227D"/>
    <w:rsid w:val="00372989"/>
    <w:rsid w:val="00373D81"/>
    <w:rsid w:val="003747CA"/>
    <w:rsid w:val="00374EB2"/>
    <w:rsid w:val="003751B1"/>
    <w:rsid w:val="00376AAC"/>
    <w:rsid w:val="00380044"/>
    <w:rsid w:val="0038042C"/>
    <w:rsid w:val="0038047E"/>
    <w:rsid w:val="00380919"/>
    <w:rsid w:val="00381BE0"/>
    <w:rsid w:val="0038300B"/>
    <w:rsid w:val="00383A99"/>
    <w:rsid w:val="00383B5A"/>
    <w:rsid w:val="00385975"/>
    <w:rsid w:val="00386712"/>
    <w:rsid w:val="00386B1A"/>
    <w:rsid w:val="00386BD6"/>
    <w:rsid w:val="003879E3"/>
    <w:rsid w:val="00387F7E"/>
    <w:rsid w:val="00390890"/>
    <w:rsid w:val="00390A08"/>
    <w:rsid w:val="003917D9"/>
    <w:rsid w:val="00392157"/>
    <w:rsid w:val="003927A1"/>
    <w:rsid w:val="00392C96"/>
    <w:rsid w:val="00393170"/>
    <w:rsid w:val="003935D5"/>
    <w:rsid w:val="00394CD0"/>
    <w:rsid w:val="00396071"/>
    <w:rsid w:val="0039642A"/>
    <w:rsid w:val="00396D18"/>
    <w:rsid w:val="003A1838"/>
    <w:rsid w:val="003A1DA5"/>
    <w:rsid w:val="003A1EC9"/>
    <w:rsid w:val="003A2405"/>
    <w:rsid w:val="003A2BC1"/>
    <w:rsid w:val="003A395B"/>
    <w:rsid w:val="003A3D1C"/>
    <w:rsid w:val="003A5CEF"/>
    <w:rsid w:val="003A6129"/>
    <w:rsid w:val="003B05C1"/>
    <w:rsid w:val="003B12D3"/>
    <w:rsid w:val="003B13D7"/>
    <w:rsid w:val="003B2535"/>
    <w:rsid w:val="003B5BA0"/>
    <w:rsid w:val="003B6991"/>
    <w:rsid w:val="003B6C8D"/>
    <w:rsid w:val="003B784D"/>
    <w:rsid w:val="003B78E4"/>
    <w:rsid w:val="003B7D3F"/>
    <w:rsid w:val="003C027E"/>
    <w:rsid w:val="003C1053"/>
    <w:rsid w:val="003C166C"/>
    <w:rsid w:val="003C3067"/>
    <w:rsid w:val="003C3E27"/>
    <w:rsid w:val="003C41F8"/>
    <w:rsid w:val="003C44F3"/>
    <w:rsid w:val="003C45E1"/>
    <w:rsid w:val="003C597F"/>
    <w:rsid w:val="003C62C3"/>
    <w:rsid w:val="003C6A34"/>
    <w:rsid w:val="003C6AAF"/>
    <w:rsid w:val="003C724A"/>
    <w:rsid w:val="003C72A4"/>
    <w:rsid w:val="003C76D6"/>
    <w:rsid w:val="003D0BB4"/>
    <w:rsid w:val="003D19E6"/>
    <w:rsid w:val="003D1A7B"/>
    <w:rsid w:val="003D3143"/>
    <w:rsid w:val="003D4135"/>
    <w:rsid w:val="003D61E8"/>
    <w:rsid w:val="003D6F00"/>
    <w:rsid w:val="003D77FF"/>
    <w:rsid w:val="003E0207"/>
    <w:rsid w:val="003E0435"/>
    <w:rsid w:val="003E0FC6"/>
    <w:rsid w:val="003E1978"/>
    <w:rsid w:val="003E2061"/>
    <w:rsid w:val="003E2238"/>
    <w:rsid w:val="003E22D1"/>
    <w:rsid w:val="003E275C"/>
    <w:rsid w:val="003E2AB1"/>
    <w:rsid w:val="003E38E3"/>
    <w:rsid w:val="003E3EDF"/>
    <w:rsid w:val="003E52D6"/>
    <w:rsid w:val="003E5737"/>
    <w:rsid w:val="003E5B8F"/>
    <w:rsid w:val="003E7047"/>
    <w:rsid w:val="003F0279"/>
    <w:rsid w:val="003F05F7"/>
    <w:rsid w:val="003F0791"/>
    <w:rsid w:val="003F1052"/>
    <w:rsid w:val="003F13D3"/>
    <w:rsid w:val="003F16B9"/>
    <w:rsid w:val="003F2227"/>
    <w:rsid w:val="003F2334"/>
    <w:rsid w:val="003F330A"/>
    <w:rsid w:val="003F4508"/>
    <w:rsid w:val="003F57BD"/>
    <w:rsid w:val="003F5A26"/>
    <w:rsid w:val="00400B09"/>
    <w:rsid w:val="00401316"/>
    <w:rsid w:val="004023D3"/>
    <w:rsid w:val="00402A50"/>
    <w:rsid w:val="00402A86"/>
    <w:rsid w:val="00403035"/>
    <w:rsid w:val="0040657D"/>
    <w:rsid w:val="00406944"/>
    <w:rsid w:val="00406D61"/>
    <w:rsid w:val="00407033"/>
    <w:rsid w:val="00407901"/>
    <w:rsid w:val="00407CA8"/>
    <w:rsid w:val="004101EA"/>
    <w:rsid w:val="0041027A"/>
    <w:rsid w:val="00410D2D"/>
    <w:rsid w:val="004114BA"/>
    <w:rsid w:val="00411BBC"/>
    <w:rsid w:val="00411D89"/>
    <w:rsid w:val="00412D39"/>
    <w:rsid w:val="00412E24"/>
    <w:rsid w:val="00415E38"/>
    <w:rsid w:val="00416629"/>
    <w:rsid w:val="00417242"/>
    <w:rsid w:val="00417E9D"/>
    <w:rsid w:val="004201E0"/>
    <w:rsid w:val="00420F2E"/>
    <w:rsid w:val="0042151F"/>
    <w:rsid w:val="00422BFF"/>
    <w:rsid w:val="004237CF"/>
    <w:rsid w:val="00423FAF"/>
    <w:rsid w:val="004241B9"/>
    <w:rsid w:val="00424C2F"/>
    <w:rsid w:val="004258F9"/>
    <w:rsid w:val="00425AA0"/>
    <w:rsid w:val="00426559"/>
    <w:rsid w:val="004300F1"/>
    <w:rsid w:val="004306AC"/>
    <w:rsid w:val="0043072F"/>
    <w:rsid w:val="004309FD"/>
    <w:rsid w:val="00432A5D"/>
    <w:rsid w:val="00432DE0"/>
    <w:rsid w:val="00433D6F"/>
    <w:rsid w:val="00434EBD"/>
    <w:rsid w:val="0043559A"/>
    <w:rsid w:val="004363F2"/>
    <w:rsid w:val="004368BC"/>
    <w:rsid w:val="00436B44"/>
    <w:rsid w:val="0043743D"/>
    <w:rsid w:val="0044117B"/>
    <w:rsid w:val="004412B6"/>
    <w:rsid w:val="00441496"/>
    <w:rsid w:val="00441F3B"/>
    <w:rsid w:val="00442447"/>
    <w:rsid w:val="00442819"/>
    <w:rsid w:val="00442889"/>
    <w:rsid w:val="00443013"/>
    <w:rsid w:val="00443F4B"/>
    <w:rsid w:val="00444447"/>
    <w:rsid w:val="004458DE"/>
    <w:rsid w:val="00446190"/>
    <w:rsid w:val="0044667E"/>
    <w:rsid w:val="004466EF"/>
    <w:rsid w:val="00446D45"/>
    <w:rsid w:val="00447327"/>
    <w:rsid w:val="004473EB"/>
    <w:rsid w:val="0045000E"/>
    <w:rsid w:val="00450949"/>
    <w:rsid w:val="00451D49"/>
    <w:rsid w:val="00452687"/>
    <w:rsid w:val="00452E82"/>
    <w:rsid w:val="00453204"/>
    <w:rsid w:val="00456BDB"/>
    <w:rsid w:val="00456C7D"/>
    <w:rsid w:val="0045730F"/>
    <w:rsid w:val="004616BB"/>
    <w:rsid w:val="00461A9A"/>
    <w:rsid w:val="00461AE6"/>
    <w:rsid w:val="004629F7"/>
    <w:rsid w:val="00462A15"/>
    <w:rsid w:val="00462D7A"/>
    <w:rsid w:val="004635E4"/>
    <w:rsid w:val="004639D3"/>
    <w:rsid w:val="004658E7"/>
    <w:rsid w:val="004670F6"/>
    <w:rsid w:val="004674C2"/>
    <w:rsid w:val="00467A2E"/>
    <w:rsid w:val="00470861"/>
    <w:rsid w:val="00470ECD"/>
    <w:rsid w:val="00470FD0"/>
    <w:rsid w:val="00471364"/>
    <w:rsid w:val="004719D7"/>
    <w:rsid w:val="00473C45"/>
    <w:rsid w:val="00474B3F"/>
    <w:rsid w:val="0047638D"/>
    <w:rsid w:val="0047654C"/>
    <w:rsid w:val="004768AB"/>
    <w:rsid w:val="004774F4"/>
    <w:rsid w:val="00480B7D"/>
    <w:rsid w:val="004813C8"/>
    <w:rsid w:val="0048247F"/>
    <w:rsid w:val="00482600"/>
    <w:rsid w:val="004846B0"/>
    <w:rsid w:val="004857E1"/>
    <w:rsid w:val="004859B6"/>
    <w:rsid w:val="00485B9F"/>
    <w:rsid w:val="00485D05"/>
    <w:rsid w:val="004863EB"/>
    <w:rsid w:val="00486C99"/>
    <w:rsid w:val="00486DB3"/>
    <w:rsid w:val="00486FDA"/>
    <w:rsid w:val="004907D7"/>
    <w:rsid w:val="004909C5"/>
    <w:rsid w:val="00491669"/>
    <w:rsid w:val="00491715"/>
    <w:rsid w:val="0049216C"/>
    <w:rsid w:val="004923D9"/>
    <w:rsid w:val="004929C6"/>
    <w:rsid w:val="00493805"/>
    <w:rsid w:val="004947A0"/>
    <w:rsid w:val="00495150"/>
    <w:rsid w:val="00496254"/>
    <w:rsid w:val="0049681B"/>
    <w:rsid w:val="004968AD"/>
    <w:rsid w:val="00496D99"/>
    <w:rsid w:val="004975FB"/>
    <w:rsid w:val="004A013B"/>
    <w:rsid w:val="004A0DE8"/>
    <w:rsid w:val="004A182F"/>
    <w:rsid w:val="004A19D6"/>
    <w:rsid w:val="004A1ACA"/>
    <w:rsid w:val="004A1D75"/>
    <w:rsid w:val="004A1E32"/>
    <w:rsid w:val="004A2DA6"/>
    <w:rsid w:val="004A30E5"/>
    <w:rsid w:val="004A3340"/>
    <w:rsid w:val="004A3D75"/>
    <w:rsid w:val="004A456B"/>
    <w:rsid w:val="004A4700"/>
    <w:rsid w:val="004A4A37"/>
    <w:rsid w:val="004A4D7D"/>
    <w:rsid w:val="004A54CE"/>
    <w:rsid w:val="004A6075"/>
    <w:rsid w:val="004A752B"/>
    <w:rsid w:val="004B0E7D"/>
    <w:rsid w:val="004B3624"/>
    <w:rsid w:val="004B387A"/>
    <w:rsid w:val="004B3932"/>
    <w:rsid w:val="004B3F63"/>
    <w:rsid w:val="004B4624"/>
    <w:rsid w:val="004B5370"/>
    <w:rsid w:val="004B7369"/>
    <w:rsid w:val="004B7C98"/>
    <w:rsid w:val="004B7CE3"/>
    <w:rsid w:val="004B7FF5"/>
    <w:rsid w:val="004C1371"/>
    <w:rsid w:val="004C1731"/>
    <w:rsid w:val="004C2392"/>
    <w:rsid w:val="004C24CF"/>
    <w:rsid w:val="004C37BF"/>
    <w:rsid w:val="004C5CD1"/>
    <w:rsid w:val="004C5F94"/>
    <w:rsid w:val="004C607F"/>
    <w:rsid w:val="004C64F9"/>
    <w:rsid w:val="004C6CC9"/>
    <w:rsid w:val="004C71BE"/>
    <w:rsid w:val="004D0433"/>
    <w:rsid w:val="004D0848"/>
    <w:rsid w:val="004D0AD0"/>
    <w:rsid w:val="004D112F"/>
    <w:rsid w:val="004D19BD"/>
    <w:rsid w:val="004D42B8"/>
    <w:rsid w:val="004D441C"/>
    <w:rsid w:val="004D6696"/>
    <w:rsid w:val="004D6BD2"/>
    <w:rsid w:val="004D6D94"/>
    <w:rsid w:val="004D7F30"/>
    <w:rsid w:val="004D7FA9"/>
    <w:rsid w:val="004E0306"/>
    <w:rsid w:val="004E0317"/>
    <w:rsid w:val="004E04D9"/>
    <w:rsid w:val="004E0B5D"/>
    <w:rsid w:val="004E0E5E"/>
    <w:rsid w:val="004E14CB"/>
    <w:rsid w:val="004E19F1"/>
    <w:rsid w:val="004E1DD4"/>
    <w:rsid w:val="004E1E96"/>
    <w:rsid w:val="004E284A"/>
    <w:rsid w:val="004E37FB"/>
    <w:rsid w:val="004E479D"/>
    <w:rsid w:val="004E4BE9"/>
    <w:rsid w:val="004E6CE7"/>
    <w:rsid w:val="004E708C"/>
    <w:rsid w:val="004F014A"/>
    <w:rsid w:val="004F0180"/>
    <w:rsid w:val="004F05B1"/>
    <w:rsid w:val="004F0CFB"/>
    <w:rsid w:val="004F10C8"/>
    <w:rsid w:val="004F1196"/>
    <w:rsid w:val="004F260B"/>
    <w:rsid w:val="004F2741"/>
    <w:rsid w:val="004F27F1"/>
    <w:rsid w:val="004F288C"/>
    <w:rsid w:val="004F30CA"/>
    <w:rsid w:val="004F5066"/>
    <w:rsid w:val="004F5232"/>
    <w:rsid w:val="004F542C"/>
    <w:rsid w:val="004F544F"/>
    <w:rsid w:val="004F5ABB"/>
    <w:rsid w:val="004F5BB1"/>
    <w:rsid w:val="004F670E"/>
    <w:rsid w:val="004F6871"/>
    <w:rsid w:val="004F6D15"/>
    <w:rsid w:val="004F77D6"/>
    <w:rsid w:val="005005B7"/>
    <w:rsid w:val="00501B8B"/>
    <w:rsid w:val="005025A1"/>
    <w:rsid w:val="005045E3"/>
    <w:rsid w:val="00504B19"/>
    <w:rsid w:val="00505999"/>
    <w:rsid w:val="00506622"/>
    <w:rsid w:val="00506FE9"/>
    <w:rsid w:val="0050765D"/>
    <w:rsid w:val="0051184D"/>
    <w:rsid w:val="005123A8"/>
    <w:rsid w:val="005133FD"/>
    <w:rsid w:val="0051345C"/>
    <w:rsid w:val="00513FF9"/>
    <w:rsid w:val="00514BA8"/>
    <w:rsid w:val="005157B1"/>
    <w:rsid w:val="005166FD"/>
    <w:rsid w:val="0051771C"/>
    <w:rsid w:val="0052081D"/>
    <w:rsid w:val="00521413"/>
    <w:rsid w:val="00521B08"/>
    <w:rsid w:val="00524015"/>
    <w:rsid w:val="005240E9"/>
    <w:rsid w:val="00525B97"/>
    <w:rsid w:val="0052622E"/>
    <w:rsid w:val="005267A2"/>
    <w:rsid w:val="00530355"/>
    <w:rsid w:val="00530A96"/>
    <w:rsid w:val="00530F66"/>
    <w:rsid w:val="0053108C"/>
    <w:rsid w:val="0053143A"/>
    <w:rsid w:val="0053236E"/>
    <w:rsid w:val="00532D99"/>
    <w:rsid w:val="00532DF6"/>
    <w:rsid w:val="00533F38"/>
    <w:rsid w:val="005340B9"/>
    <w:rsid w:val="0053487E"/>
    <w:rsid w:val="00535047"/>
    <w:rsid w:val="005351ED"/>
    <w:rsid w:val="00536057"/>
    <w:rsid w:val="005369FF"/>
    <w:rsid w:val="00537908"/>
    <w:rsid w:val="00537CBA"/>
    <w:rsid w:val="00540003"/>
    <w:rsid w:val="00540B23"/>
    <w:rsid w:val="00541B19"/>
    <w:rsid w:val="0054471D"/>
    <w:rsid w:val="005451B3"/>
    <w:rsid w:val="00547128"/>
    <w:rsid w:val="00547D48"/>
    <w:rsid w:val="00551613"/>
    <w:rsid w:val="00551689"/>
    <w:rsid w:val="005516FE"/>
    <w:rsid w:val="00551DD8"/>
    <w:rsid w:val="0055532B"/>
    <w:rsid w:val="005557C1"/>
    <w:rsid w:val="00555C13"/>
    <w:rsid w:val="00555CB1"/>
    <w:rsid w:val="0055652E"/>
    <w:rsid w:val="00556F47"/>
    <w:rsid w:val="005570AD"/>
    <w:rsid w:val="0055712A"/>
    <w:rsid w:val="005601D4"/>
    <w:rsid w:val="00561028"/>
    <w:rsid w:val="00561F23"/>
    <w:rsid w:val="005630DA"/>
    <w:rsid w:val="0056311C"/>
    <w:rsid w:val="005643EC"/>
    <w:rsid w:val="00566A3D"/>
    <w:rsid w:val="005678BB"/>
    <w:rsid w:val="00570D46"/>
    <w:rsid w:val="0057115D"/>
    <w:rsid w:val="0057140D"/>
    <w:rsid w:val="005715C2"/>
    <w:rsid w:val="00572C53"/>
    <w:rsid w:val="0057335F"/>
    <w:rsid w:val="00573A6C"/>
    <w:rsid w:val="005741ED"/>
    <w:rsid w:val="00574A44"/>
    <w:rsid w:val="005751FA"/>
    <w:rsid w:val="005756A2"/>
    <w:rsid w:val="00576675"/>
    <w:rsid w:val="00576C9C"/>
    <w:rsid w:val="00576D7A"/>
    <w:rsid w:val="00580214"/>
    <w:rsid w:val="005809D9"/>
    <w:rsid w:val="00580F29"/>
    <w:rsid w:val="005820DB"/>
    <w:rsid w:val="005825AC"/>
    <w:rsid w:val="0058260A"/>
    <w:rsid w:val="0058455D"/>
    <w:rsid w:val="00584623"/>
    <w:rsid w:val="005849F1"/>
    <w:rsid w:val="0058563E"/>
    <w:rsid w:val="005875E5"/>
    <w:rsid w:val="00594523"/>
    <w:rsid w:val="00594B85"/>
    <w:rsid w:val="005956B4"/>
    <w:rsid w:val="00595F92"/>
    <w:rsid w:val="00596AF7"/>
    <w:rsid w:val="00596B5C"/>
    <w:rsid w:val="005A1E10"/>
    <w:rsid w:val="005A202C"/>
    <w:rsid w:val="005A35C7"/>
    <w:rsid w:val="005A3673"/>
    <w:rsid w:val="005A5B29"/>
    <w:rsid w:val="005A5D3F"/>
    <w:rsid w:val="005A602A"/>
    <w:rsid w:val="005A6D47"/>
    <w:rsid w:val="005A7837"/>
    <w:rsid w:val="005B033F"/>
    <w:rsid w:val="005B048B"/>
    <w:rsid w:val="005B1251"/>
    <w:rsid w:val="005B1A91"/>
    <w:rsid w:val="005B2BBC"/>
    <w:rsid w:val="005B476A"/>
    <w:rsid w:val="005B59BC"/>
    <w:rsid w:val="005B5A3E"/>
    <w:rsid w:val="005B652B"/>
    <w:rsid w:val="005B68AE"/>
    <w:rsid w:val="005C0427"/>
    <w:rsid w:val="005C2EE4"/>
    <w:rsid w:val="005C306E"/>
    <w:rsid w:val="005C3F69"/>
    <w:rsid w:val="005C47E4"/>
    <w:rsid w:val="005C48F2"/>
    <w:rsid w:val="005C6B44"/>
    <w:rsid w:val="005C6DAF"/>
    <w:rsid w:val="005C719C"/>
    <w:rsid w:val="005C72D4"/>
    <w:rsid w:val="005D04AB"/>
    <w:rsid w:val="005D0EE9"/>
    <w:rsid w:val="005D15D7"/>
    <w:rsid w:val="005D1C2A"/>
    <w:rsid w:val="005D23A2"/>
    <w:rsid w:val="005D23F6"/>
    <w:rsid w:val="005D25AA"/>
    <w:rsid w:val="005D3F37"/>
    <w:rsid w:val="005D40D5"/>
    <w:rsid w:val="005D57BE"/>
    <w:rsid w:val="005E0715"/>
    <w:rsid w:val="005E1C29"/>
    <w:rsid w:val="005E383A"/>
    <w:rsid w:val="005E3A56"/>
    <w:rsid w:val="005E3F39"/>
    <w:rsid w:val="005E450D"/>
    <w:rsid w:val="005E455F"/>
    <w:rsid w:val="005E5AE4"/>
    <w:rsid w:val="005E7436"/>
    <w:rsid w:val="005F1E8C"/>
    <w:rsid w:val="005F1E96"/>
    <w:rsid w:val="005F2127"/>
    <w:rsid w:val="005F2AD8"/>
    <w:rsid w:val="005F2B44"/>
    <w:rsid w:val="005F3CE1"/>
    <w:rsid w:val="005F4005"/>
    <w:rsid w:val="005F4F38"/>
    <w:rsid w:val="005F5444"/>
    <w:rsid w:val="005F6047"/>
    <w:rsid w:val="005F6209"/>
    <w:rsid w:val="005F6894"/>
    <w:rsid w:val="006010FC"/>
    <w:rsid w:val="00601775"/>
    <w:rsid w:val="00601F0D"/>
    <w:rsid w:val="00602C01"/>
    <w:rsid w:val="00602FA9"/>
    <w:rsid w:val="006032D3"/>
    <w:rsid w:val="00603654"/>
    <w:rsid w:val="0060365D"/>
    <w:rsid w:val="0060395C"/>
    <w:rsid w:val="00603E4C"/>
    <w:rsid w:val="0060524A"/>
    <w:rsid w:val="00605876"/>
    <w:rsid w:val="00606E99"/>
    <w:rsid w:val="00610563"/>
    <w:rsid w:val="00610576"/>
    <w:rsid w:val="006107EF"/>
    <w:rsid w:val="0061093C"/>
    <w:rsid w:val="00610A16"/>
    <w:rsid w:val="0061217B"/>
    <w:rsid w:val="006123C6"/>
    <w:rsid w:val="00612D3A"/>
    <w:rsid w:val="006138D1"/>
    <w:rsid w:val="00613990"/>
    <w:rsid w:val="00615811"/>
    <w:rsid w:val="00615BDC"/>
    <w:rsid w:val="00616725"/>
    <w:rsid w:val="0062308A"/>
    <w:rsid w:val="0062394C"/>
    <w:rsid w:val="00626F51"/>
    <w:rsid w:val="00627719"/>
    <w:rsid w:val="00627747"/>
    <w:rsid w:val="00627EF7"/>
    <w:rsid w:val="00630927"/>
    <w:rsid w:val="00630A1A"/>
    <w:rsid w:val="00630A71"/>
    <w:rsid w:val="00632295"/>
    <w:rsid w:val="0063238D"/>
    <w:rsid w:val="00632461"/>
    <w:rsid w:val="006326F5"/>
    <w:rsid w:val="0063341E"/>
    <w:rsid w:val="006346C4"/>
    <w:rsid w:val="00635CDD"/>
    <w:rsid w:val="00635F6B"/>
    <w:rsid w:val="00636D95"/>
    <w:rsid w:val="006376A9"/>
    <w:rsid w:val="006405F2"/>
    <w:rsid w:val="00640734"/>
    <w:rsid w:val="00640803"/>
    <w:rsid w:val="00640F2D"/>
    <w:rsid w:val="006412F5"/>
    <w:rsid w:val="00641AC2"/>
    <w:rsid w:val="00642DE8"/>
    <w:rsid w:val="006443C3"/>
    <w:rsid w:val="0064457E"/>
    <w:rsid w:val="00645555"/>
    <w:rsid w:val="00645807"/>
    <w:rsid w:val="006469DF"/>
    <w:rsid w:val="00646AB1"/>
    <w:rsid w:val="006478EC"/>
    <w:rsid w:val="006501CA"/>
    <w:rsid w:val="0065168B"/>
    <w:rsid w:val="00651727"/>
    <w:rsid w:val="00651CEF"/>
    <w:rsid w:val="00651DAB"/>
    <w:rsid w:val="00651EE8"/>
    <w:rsid w:val="0065238C"/>
    <w:rsid w:val="00652C0C"/>
    <w:rsid w:val="0065374E"/>
    <w:rsid w:val="006537A5"/>
    <w:rsid w:val="00654FB2"/>
    <w:rsid w:val="0065535B"/>
    <w:rsid w:val="006568B7"/>
    <w:rsid w:val="00656A04"/>
    <w:rsid w:val="00656FA9"/>
    <w:rsid w:val="00657A50"/>
    <w:rsid w:val="00661105"/>
    <w:rsid w:val="006621D1"/>
    <w:rsid w:val="00662F45"/>
    <w:rsid w:val="006657D7"/>
    <w:rsid w:val="00665D22"/>
    <w:rsid w:val="00666274"/>
    <w:rsid w:val="0066705A"/>
    <w:rsid w:val="0066715D"/>
    <w:rsid w:val="0066722D"/>
    <w:rsid w:val="00667D7C"/>
    <w:rsid w:val="006709F6"/>
    <w:rsid w:val="00672126"/>
    <w:rsid w:val="00672E4C"/>
    <w:rsid w:val="00673983"/>
    <w:rsid w:val="006742ED"/>
    <w:rsid w:val="0067432D"/>
    <w:rsid w:val="0067434C"/>
    <w:rsid w:val="006752B3"/>
    <w:rsid w:val="00675B7E"/>
    <w:rsid w:val="00676114"/>
    <w:rsid w:val="0067771A"/>
    <w:rsid w:val="00677DF6"/>
    <w:rsid w:val="00680240"/>
    <w:rsid w:val="006803C3"/>
    <w:rsid w:val="00680C72"/>
    <w:rsid w:val="00680F1F"/>
    <w:rsid w:val="006814E2"/>
    <w:rsid w:val="006821D2"/>
    <w:rsid w:val="0068236F"/>
    <w:rsid w:val="006828DE"/>
    <w:rsid w:val="006838BC"/>
    <w:rsid w:val="00683D36"/>
    <w:rsid w:val="0068435B"/>
    <w:rsid w:val="00685328"/>
    <w:rsid w:val="00685FA7"/>
    <w:rsid w:val="0068664B"/>
    <w:rsid w:val="006905B8"/>
    <w:rsid w:val="0069060A"/>
    <w:rsid w:val="006907DA"/>
    <w:rsid w:val="00691ADD"/>
    <w:rsid w:val="00691BCB"/>
    <w:rsid w:val="00691F5B"/>
    <w:rsid w:val="00692495"/>
    <w:rsid w:val="00692FCD"/>
    <w:rsid w:val="00694CE4"/>
    <w:rsid w:val="00695C2D"/>
    <w:rsid w:val="00696294"/>
    <w:rsid w:val="00696DEB"/>
    <w:rsid w:val="00697876"/>
    <w:rsid w:val="00697ADC"/>
    <w:rsid w:val="00697C79"/>
    <w:rsid w:val="00697EE7"/>
    <w:rsid w:val="006A09E8"/>
    <w:rsid w:val="006A0E5C"/>
    <w:rsid w:val="006A2940"/>
    <w:rsid w:val="006A2ABD"/>
    <w:rsid w:val="006A3910"/>
    <w:rsid w:val="006A473A"/>
    <w:rsid w:val="006A491E"/>
    <w:rsid w:val="006A4E3B"/>
    <w:rsid w:val="006A53AE"/>
    <w:rsid w:val="006A5F3F"/>
    <w:rsid w:val="006A6052"/>
    <w:rsid w:val="006A6334"/>
    <w:rsid w:val="006A64CF"/>
    <w:rsid w:val="006A67A2"/>
    <w:rsid w:val="006A6F8D"/>
    <w:rsid w:val="006A7E69"/>
    <w:rsid w:val="006B04DF"/>
    <w:rsid w:val="006B0BC0"/>
    <w:rsid w:val="006B1EAB"/>
    <w:rsid w:val="006B2F4A"/>
    <w:rsid w:val="006B32B7"/>
    <w:rsid w:val="006B3EBD"/>
    <w:rsid w:val="006B4B65"/>
    <w:rsid w:val="006B4E4A"/>
    <w:rsid w:val="006B65C5"/>
    <w:rsid w:val="006B68B4"/>
    <w:rsid w:val="006B7442"/>
    <w:rsid w:val="006B7508"/>
    <w:rsid w:val="006C002C"/>
    <w:rsid w:val="006C1E94"/>
    <w:rsid w:val="006C2462"/>
    <w:rsid w:val="006C2DF7"/>
    <w:rsid w:val="006C2E2C"/>
    <w:rsid w:val="006C33A7"/>
    <w:rsid w:val="006C3BBE"/>
    <w:rsid w:val="006C4081"/>
    <w:rsid w:val="006C435F"/>
    <w:rsid w:val="006C45BA"/>
    <w:rsid w:val="006C483A"/>
    <w:rsid w:val="006C6809"/>
    <w:rsid w:val="006C796E"/>
    <w:rsid w:val="006D08BD"/>
    <w:rsid w:val="006D1081"/>
    <w:rsid w:val="006D1BA9"/>
    <w:rsid w:val="006D2995"/>
    <w:rsid w:val="006D2B6E"/>
    <w:rsid w:val="006D2CCB"/>
    <w:rsid w:val="006D341B"/>
    <w:rsid w:val="006D3D27"/>
    <w:rsid w:val="006D4125"/>
    <w:rsid w:val="006D4188"/>
    <w:rsid w:val="006D428D"/>
    <w:rsid w:val="006D43CF"/>
    <w:rsid w:val="006D4BD1"/>
    <w:rsid w:val="006D4EF8"/>
    <w:rsid w:val="006D666D"/>
    <w:rsid w:val="006E00EE"/>
    <w:rsid w:val="006E0225"/>
    <w:rsid w:val="006E0CBC"/>
    <w:rsid w:val="006E0F65"/>
    <w:rsid w:val="006E10FE"/>
    <w:rsid w:val="006E1A83"/>
    <w:rsid w:val="006E1EC2"/>
    <w:rsid w:val="006E2927"/>
    <w:rsid w:val="006E3852"/>
    <w:rsid w:val="006E3D7B"/>
    <w:rsid w:val="006E4525"/>
    <w:rsid w:val="006E4960"/>
    <w:rsid w:val="006E5039"/>
    <w:rsid w:val="006E6439"/>
    <w:rsid w:val="006E6BF3"/>
    <w:rsid w:val="006E706A"/>
    <w:rsid w:val="006E78BC"/>
    <w:rsid w:val="006E7E01"/>
    <w:rsid w:val="006F02B4"/>
    <w:rsid w:val="006F491B"/>
    <w:rsid w:val="006F495F"/>
    <w:rsid w:val="006F4F4B"/>
    <w:rsid w:val="006F5141"/>
    <w:rsid w:val="006F5E55"/>
    <w:rsid w:val="006F7AA8"/>
    <w:rsid w:val="0070022F"/>
    <w:rsid w:val="00701446"/>
    <w:rsid w:val="00701542"/>
    <w:rsid w:val="00701993"/>
    <w:rsid w:val="007019AA"/>
    <w:rsid w:val="00702068"/>
    <w:rsid w:val="00702438"/>
    <w:rsid w:val="00703375"/>
    <w:rsid w:val="0070496F"/>
    <w:rsid w:val="00704E7D"/>
    <w:rsid w:val="00706C95"/>
    <w:rsid w:val="00707E7B"/>
    <w:rsid w:val="00710F3B"/>
    <w:rsid w:val="00710FB8"/>
    <w:rsid w:val="00713C5D"/>
    <w:rsid w:val="00714FA1"/>
    <w:rsid w:val="00715CEB"/>
    <w:rsid w:val="00716634"/>
    <w:rsid w:val="007174FC"/>
    <w:rsid w:val="00721342"/>
    <w:rsid w:val="0072253E"/>
    <w:rsid w:val="00722C09"/>
    <w:rsid w:val="00723A99"/>
    <w:rsid w:val="00724286"/>
    <w:rsid w:val="007243F9"/>
    <w:rsid w:val="007248A2"/>
    <w:rsid w:val="00726013"/>
    <w:rsid w:val="007319E3"/>
    <w:rsid w:val="00731BD0"/>
    <w:rsid w:val="00732554"/>
    <w:rsid w:val="00732FBC"/>
    <w:rsid w:val="007347F0"/>
    <w:rsid w:val="007351D5"/>
    <w:rsid w:val="00740542"/>
    <w:rsid w:val="007407E4"/>
    <w:rsid w:val="00741217"/>
    <w:rsid w:val="007415A2"/>
    <w:rsid w:val="00741847"/>
    <w:rsid w:val="00742A7F"/>
    <w:rsid w:val="0074308A"/>
    <w:rsid w:val="00744132"/>
    <w:rsid w:val="00744371"/>
    <w:rsid w:val="00752144"/>
    <w:rsid w:val="00754956"/>
    <w:rsid w:val="00754F6D"/>
    <w:rsid w:val="007578FD"/>
    <w:rsid w:val="00757FD8"/>
    <w:rsid w:val="00760894"/>
    <w:rsid w:val="00760BB1"/>
    <w:rsid w:val="00762438"/>
    <w:rsid w:val="0076246E"/>
    <w:rsid w:val="00762C95"/>
    <w:rsid w:val="00763165"/>
    <w:rsid w:val="00763715"/>
    <w:rsid w:val="00763C26"/>
    <w:rsid w:val="00763ED2"/>
    <w:rsid w:val="00763F45"/>
    <w:rsid w:val="00764327"/>
    <w:rsid w:val="007647ED"/>
    <w:rsid w:val="00764E9F"/>
    <w:rsid w:val="00764FC7"/>
    <w:rsid w:val="007653D8"/>
    <w:rsid w:val="00766AEE"/>
    <w:rsid w:val="00770D2E"/>
    <w:rsid w:val="00771E61"/>
    <w:rsid w:val="00771EE9"/>
    <w:rsid w:val="00772A81"/>
    <w:rsid w:val="007756A9"/>
    <w:rsid w:val="0077595B"/>
    <w:rsid w:val="00776838"/>
    <w:rsid w:val="0077712F"/>
    <w:rsid w:val="0077760A"/>
    <w:rsid w:val="00777F9A"/>
    <w:rsid w:val="00781911"/>
    <w:rsid w:val="00782C88"/>
    <w:rsid w:val="00782E63"/>
    <w:rsid w:val="00782F46"/>
    <w:rsid w:val="007833F6"/>
    <w:rsid w:val="00783A9B"/>
    <w:rsid w:val="00784788"/>
    <w:rsid w:val="0078489A"/>
    <w:rsid w:val="007852F8"/>
    <w:rsid w:val="007863E4"/>
    <w:rsid w:val="00786552"/>
    <w:rsid w:val="00786D2D"/>
    <w:rsid w:val="00790804"/>
    <w:rsid w:val="00790B45"/>
    <w:rsid w:val="00790F2C"/>
    <w:rsid w:val="0079171B"/>
    <w:rsid w:val="00791EF2"/>
    <w:rsid w:val="00791FB8"/>
    <w:rsid w:val="007922E7"/>
    <w:rsid w:val="0079243D"/>
    <w:rsid w:val="00792722"/>
    <w:rsid w:val="00792825"/>
    <w:rsid w:val="007929A2"/>
    <w:rsid w:val="007929B2"/>
    <w:rsid w:val="00792E41"/>
    <w:rsid w:val="00792E4C"/>
    <w:rsid w:val="007930BC"/>
    <w:rsid w:val="007931FE"/>
    <w:rsid w:val="007949ED"/>
    <w:rsid w:val="00794C37"/>
    <w:rsid w:val="00795CCE"/>
    <w:rsid w:val="007962E4"/>
    <w:rsid w:val="00796A9E"/>
    <w:rsid w:val="00797213"/>
    <w:rsid w:val="00797691"/>
    <w:rsid w:val="007A0445"/>
    <w:rsid w:val="007A0D01"/>
    <w:rsid w:val="007A12D4"/>
    <w:rsid w:val="007A13D0"/>
    <w:rsid w:val="007A1976"/>
    <w:rsid w:val="007A2C62"/>
    <w:rsid w:val="007A32FD"/>
    <w:rsid w:val="007A4DBA"/>
    <w:rsid w:val="007A570B"/>
    <w:rsid w:val="007A67AD"/>
    <w:rsid w:val="007A7BB5"/>
    <w:rsid w:val="007A7CD6"/>
    <w:rsid w:val="007B0DC2"/>
    <w:rsid w:val="007B151D"/>
    <w:rsid w:val="007B1BA1"/>
    <w:rsid w:val="007B1C1A"/>
    <w:rsid w:val="007B2E6E"/>
    <w:rsid w:val="007B3883"/>
    <w:rsid w:val="007B4222"/>
    <w:rsid w:val="007B5C9E"/>
    <w:rsid w:val="007C13AC"/>
    <w:rsid w:val="007C18B3"/>
    <w:rsid w:val="007C2E58"/>
    <w:rsid w:val="007C3522"/>
    <w:rsid w:val="007C3D25"/>
    <w:rsid w:val="007C454E"/>
    <w:rsid w:val="007C557D"/>
    <w:rsid w:val="007C69A7"/>
    <w:rsid w:val="007C7595"/>
    <w:rsid w:val="007C7A5C"/>
    <w:rsid w:val="007C7ED1"/>
    <w:rsid w:val="007D0752"/>
    <w:rsid w:val="007D219A"/>
    <w:rsid w:val="007D2332"/>
    <w:rsid w:val="007D34AD"/>
    <w:rsid w:val="007D3D3A"/>
    <w:rsid w:val="007D4142"/>
    <w:rsid w:val="007D55C8"/>
    <w:rsid w:val="007D594B"/>
    <w:rsid w:val="007D749F"/>
    <w:rsid w:val="007D78CB"/>
    <w:rsid w:val="007E0634"/>
    <w:rsid w:val="007E073F"/>
    <w:rsid w:val="007E09DC"/>
    <w:rsid w:val="007E1EB2"/>
    <w:rsid w:val="007E3A4C"/>
    <w:rsid w:val="007E3CA1"/>
    <w:rsid w:val="007E5241"/>
    <w:rsid w:val="007E568B"/>
    <w:rsid w:val="007E67AA"/>
    <w:rsid w:val="007F060B"/>
    <w:rsid w:val="007F0B7A"/>
    <w:rsid w:val="007F1255"/>
    <w:rsid w:val="007F145B"/>
    <w:rsid w:val="007F27CB"/>
    <w:rsid w:val="007F2D3B"/>
    <w:rsid w:val="007F4A2D"/>
    <w:rsid w:val="007F54E5"/>
    <w:rsid w:val="007F694F"/>
    <w:rsid w:val="007F6A9E"/>
    <w:rsid w:val="007F7612"/>
    <w:rsid w:val="007F79FC"/>
    <w:rsid w:val="007F7D30"/>
    <w:rsid w:val="007F7D6E"/>
    <w:rsid w:val="00801A1F"/>
    <w:rsid w:val="0080238B"/>
    <w:rsid w:val="00802A41"/>
    <w:rsid w:val="00803339"/>
    <w:rsid w:val="008036BA"/>
    <w:rsid w:val="0080373F"/>
    <w:rsid w:val="00803975"/>
    <w:rsid w:val="00803F69"/>
    <w:rsid w:val="008042A5"/>
    <w:rsid w:val="00805012"/>
    <w:rsid w:val="0080549C"/>
    <w:rsid w:val="00805BB6"/>
    <w:rsid w:val="00806A50"/>
    <w:rsid w:val="008079B4"/>
    <w:rsid w:val="00811357"/>
    <w:rsid w:val="00811360"/>
    <w:rsid w:val="008113A5"/>
    <w:rsid w:val="008115CF"/>
    <w:rsid w:val="008131B0"/>
    <w:rsid w:val="00813430"/>
    <w:rsid w:val="00813D42"/>
    <w:rsid w:val="00816533"/>
    <w:rsid w:val="00816A83"/>
    <w:rsid w:val="00816CAF"/>
    <w:rsid w:val="00820E20"/>
    <w:rsid w:val="00821649"/>
    <w:rsid w:val="00821CAB"/>
    <w:rsid w:val="0082306F"/>
    <w:rsid w:val="00823679"/>
    <w:rsid w:val="00824C43"/>
    <w:rsid w:val="00826FD0"/>
    <w:rsid w:val="00827632"/>
    <w:rsid w:val="00827A91"/>
    <w:rsid w:val="008310B8"/>
    <w:rsid w:val="00831D31"/>
    <w:rsid w:val="0083285B"/>
    <w:rsid w:val="008332F5"/>
    <w:rsid w:val="00833405"/>
    <w:rsid w:val="008343D7"/>
    <w:rsid w:val="00835853"/>
    <w:rsid w:val="00835AA7"/>
    <w:rsid w:val="008363E5"/>
    <w:rsid w:val="00836876"/>
    <w:rsid w:val="00836A8E"/>
    <w:rsid w:val="00836C24"/>
    <w:rsid w:val="00836CC9"/>
    <w:rsid w:val="00840176"/>
    <w:rsid w:val="00840539"/>
    <w:rsid w:val="008409CF"/>
    <w:rsid w:val="00841260"/>
    <w:rsid w:val="00842D68"/>
    <w:rsid w:val="008431ED"/>
    <w:rsid w:val="00844E79"/>
    <w:rsid w:val="00845529"/>
    <w:rsid w:val="00845634"/>
    <w:rsid w:val="00845F20"/>
    <w:rsid w:val="0084602B"/>
    <w:rsid w:val="0084633E"/>
    <w:rsid w:val="00846C16"/>
    <w:rsid w:val="008475EB"/>
    <w:rsid w:val="008475FE"/>
    <w:rsid w:val="0085071D"/>
    <w:rsid w:val="00851905"/>
    <w:rsid w:val="008519A6"/>
    <w:rsid w:val="00851B85"/>
    <w:rsid w:val="00852275"/>
    <w:rsid w:val="00853903"/>
    <w:rsid w:val="008544BF"/>
    <w:rsid w:val="0085450A"/>
    <w:rsid w:val="00854D8E"/>
    <w:rsid w:val="0085597F"/>
    <w:rsid w:val="00855EE0"/>
    <w:rsid w:val="008563A4"/>
    <w:rsid w:val="0085715B"/>
    <w:rsid w:val="0085723D"/>
    <w:rsid w:val="008573B6"/>
    <w:rsid w:val="008601B0"/>
    <w:rsid w:val="00861C08"/>
    <w:rsid w:val="008626D1"/>
    <w:rsid w:val="00862876"/>
    <w:rsid w:val="0086396F"/>
    <w:rsid w:val="00864375"/>
    <w:rsid w:val="00864A69"/>
    <w:rsid w:val="00865172"/>
    <w:rsid w:val="00865EAB"/>
    <w:rsid w:val="0087040B"/>
    <w:rsid w:val="00870921"/>
    <w:rsid w:val="00870F74"/>
    <w:rsid w:val="00873043"/>
    <w:rsid w:val="008739C8"/>
    <w:rsid w:val="00874087"/>
    <w:rsid w:val="00874A48"/>
    <w:rsid w:val="008754A8"/>
    <w:rsid w:val="00875747"/>
    <w:rsid w:val="00876EE9"/>
    <w:rsid w:val="008778B0"/>
    <w:rsid w:val="008778B5"/>
    <w:rsid w:val="00877FDA"/>
    <w:rsid w:val="0088125A"/>
    <w:rsid w:val="008816F8"/>
    <w:rsid w:val="00881869"/>
    <w:rsid w:val="00881A32"/>
    <w:rsid w:val="008822C1"/>
    <w:rsid w:val="00883BF6"/>
    <w:rsid w:val="00883E24"/>
    <w:rsid w:val="00884C6B"/>
    <w:rsid w:val="00884D8A"/>
    <w:rsid w:val="00885263"/>
    <w:rsid w:val="00885343"/>
    <w:rsid w:val="00885E9F"/>
    <w:rsid w:val="008908CB"/>
    <w:rsid w:val="0089096B"/>
    <w:rsid w:val="008911FB"/>
    <w:rsid w:val="008917AD"/>
    <w:rsid w:val="0089280D"/>
    <w:rsid w:val="00893435"/>
    <w:rsid w:val="008946E7"/>
    <w:rsid w:val="0089548C"/>
    <w:rsid w:val="0089568E"/>
    <w:rsid w:val="00895A49"/>
    <w:rsid w:val="008960B0"/>
    <w:rsid w:val="00896D63"/>
    <w:rsid w:val="00896E8C"/>
    <w:rsid w:val="008A2335"/>
    <w:rsid w:val="008A2607"/>
    <w:rsid w:val="008A2B6D"/>
    <w:rsid w:val="008A4746"/>
    <w:rsid w:val="008A49E8"/>
    <w:rsid w:val="008A4A70"/>
    <w:rsid w:val="008A4D1C"/>
    <w:rsid w:val="008A58D2"/>
    <w:rsid w:val="008A60AE"/>
    <w:rsid w:val="008A7569"/>
    <w:rsid w:val="008B04F5"/>
    <w:rsid w:val="008B0971"/>
    <w:rsid w:val="008B0A01"/>
    <w:rsid w:val="008B0E06"/>
    <w:rsid w:val="008B33DC"/>
    <w:rsid w:val="008B3DEA"/>
    <w:rsid w:val="008B4E25"/>
    <w:rsid w:val="008B7E6E"/>
    <w:rsid w:val="008C0822"/>
    <w:rsid w:val="008C233F"/>
    <w:rsid w:val="008C3186"/>
    <w:rsid w:val="008C3260"/>
    <w:rsid w:val="008C329A"/>
    <w:rsid w:val="008C35BB"/>
    <w:rsid w:val="008C3C54"/>
    <w:rsid w:val="008C4218"/>
    <w:rsid w:val="008C5E97"/>
    <w:rsid w:val="008C5F91"/>
    <w:rsid w:val="008C61A0"/>
    <w:rsid w:val="008D01FD"/>
    <w:rsid w:val="008D1E6C"/>
    <w:rsid w:val="008D26A8"/>
    <w:rsid w:val="008D34DE"/>
    <w:rsid w:val="008D3EC2"/>
    <w:rsid w:val="008D4D61"/>
    <w:rsid w:val="008D7ACA"/>
    <w:rsid w:val="008D7B48"/>
    <w:rsid w:val="008E003D"/>
    <w:rsid w:val="008E1024"/>
    <w:rsid w:val="008E1094"/>
    <w:rsid w:val="008E2016"/>
    <w:rsid w:val="008E22A3"/>
    <w:rsid w:val="008E33E1"/>
    <w:rsid w:val="008E407A"/>
    <w:rsid w:val="008E4816"/>
    <w:rsid w:val="008E5328"/>
    <w:rsid w:val="008E65D4"/>
    <w:rsid w:val="008E7AF8"/>
    <w:rsid w:val="008F00B5"/>
    <w:rsid w:val="008F0563"/>
    <w:rsid w:val="008F0A9C"/>
    <w:rsid w:val="008F12DC"/>
    <w:rsid w:val="008F21E0"/>
    <w:rsid w:val="008F5179"/>
    <w:rsid w:val="008F5719"/>
    <w:rsid w:val="008F57F0"/>
    <w:rsid w:val="008F6AD1"/>
    <w:rsid w:val="008F6B3D"/>
    <w:rsid w:val="008F6C8B"/>
    <w:rsid w:val="008F6ECF"/>
    <w:rsid w:val="008F749A"/>
    <w:rsid w:val="008F762E"/>
    <w:rsid w:val="008F7951"/>
    <w:rsid w:val="008F7E81"/>
    <w:rsid w:val="00900A73"/>
    <w:rsid w:val="00900AFF"/>
    <w:rsid w:val="009012A8"/>
    <w:rsid w:val="009013D0"/>
    <w:rsid w:val="00902409"/>
    <w:rsid w:val="00903D97"/>
    <w:rsid w:val="00903E7E"/>
    <w:rsid w:val="0090411D"/>
    <w:rsid w:val="0090431D"/>
    <w:rsid w:val="00905630"/>
    <w:rsid w:val="00905B49"/>
    <w:rsid w:val="00906793"/>
    <w:rsid w:val="00910174"/>
    <w:rsid w:val="00910986"/>
    <w:rsid w:val="00911920"/>
    <w:rsid w:val="00912349"/>
    <w:rsid w:val="009124FF"/>
    <w:rsid w:val="00912CA6"/>
    <w:rsid w:val="009131C5"/>
    <w:rsid w:val="0091326F"/>
    <w:rsid w:val="00914500"/>
    <w:rsid w:val="00914C08"/>
    <w:rsid w:val="00915076"/>
    <w:rsid w:val="00915D2C"/>
    <w:rsid w:val="00915E13"/>
    <w:rsid w:val="0091725D"/>
    <w:rsid w:val="009200C0"/>
    <w:rsid w:val="009203D3"/>
    <w:rsid w:val="00920749"/>
    <w:rsid w:val="0092204F"/>
    <w:rsid w:val="0092227F"/>
    <w:rsid w:val="0092274C"/>
    <w:rsid w:val="0092294D"/>
    <w:rsid w:val="00922A75"/>
    <w:rsid w:val="00923481"/>
    <w:rsid w:val="00923483"/>
    <w:rsid w:val="00924439"/>
    <w:rsid w:val="0092561A"/>
    <w:rsid w:val="00926558"/>
    <w:rsid w:val="00926724"/>
    <w:rsid w:val="00926AD8"/>
    <w:rsid w:val="009271F2"/>
    <w:rsid w:val="00927427"/>
    <w:rsid w:val="00927BBE"/>
    <w:rsid w:val="00930138"/>
    <w:rsid w:val="00930564"/>
    <w:rsid w:val="00930B7A"/>
    <w:rsid w:val="00930BF3"/>
    <w:rsid w:val="009323C6"/>
    <w:rsid w:val="00932668"/>
    <w:rsid w:val="00934050"/>
    <w:rsid w:val="00934458"/>
    <w:rsid w:val="0093499B"/>
    <w:rsid w:val="009350E4"/>
    <w:rsid w:val="009406D1"/>
    <w:rsid w:val="0094131A"/>
    <w:rsid w:val="009417FA"/>
    <w:rsid w:val="0094201C"/>
    <w:rsid w:val="009426B5"/>
    <w:rsid w:val="00943AD4"/>
    <w:rsid w:val="00944620"/>
    <w:rsid w:val="00944659"/>
    <w:rsid w:val="00945641"/>
    <w:rsid w:val="0094588A"/>
    <w:rsid w:val="00945A08"/>
    <w:rsid w:val="00945CC2"/>
    <w:rsid w:val="00947A2C"/>
    <w:rsid w:val="0095009A"/>
    <w:rsid w:val="00950992"/>
    <w:rsid w:val="00951121"/>
    <w:rsid w:val="00951166"/>
    <w:rsid w:val="00951B4F"/>
    <w:rsid w:val="0095229E"/>
    <w:rsid w:val="009522ED"/>
    <w:rsid w:val="00952FE6"/>
    <w:rsid w:val="009538DA"/>
    <w:rsid w:val="00956843"/>
    <w:rsid w:val="00960486"/>
    <w:rsid w:val="0096081E"/>
    <w:rsid w:val="00962138"/>
    <w:rsid w:val="0096237D"/>
    <w:rsid w:val="00965104"/>
    <w:rsid w:val="00965D60"/>
    <w:rsid w:val="00966167"/>
    <w:rsid w:val="00967524"/>
    <w:rsid w:val="0096782C"/>
    <w:rsid w:val="00967A62"/>
    <w:rsid w:val="0097129F"/>
    <w:rsid w:val="009712C8"/>
    <w:rsid w:val="00971313"/>
    <w:rsid w:val="00971D75"/>
    <w:rsid w:val="009726D8"/>
    <w:rsid w:val="009727E5"/>
    <w:rsid w:val="00972FCD"/>
    <w:rsid w:val="00973DA3"/>
    <w:rsid w:val="009740A1"/>
    <w:rsid w:val="0097567C"/>
    <w:rsid w:val="00975D7A"/>
    <w:rsid w:val="00975DD3"/>
    <w:rsid w:val="0097679C"/>
    <w:rsid w:val="00976A0C"/>
    <w:rsid w:val="00976C28"/>
    <w:rsid w:val="00977789"/>
    <w:rsid w:val="00977F7E"/>
    <w:rsid w:val="00980551"/>
    <w:rsid w:val="00980E85"/>
    <w:rsid w:val="0098181C"/>
    <w:rsid w:val="00982007"/>
    <w:rsid w:val="0098265E"/>
    <w:rsid w:val="00982EA9"/>
    <w:rsid w:val="009836B9"/>
    <w:rsid w:val="00983ADF"/>
    <w:rsid w:val="00984936"/>
    <w:rsid w:val="00985E12"/>
    <w:rsid w:val="009860B1"/>
    <w:rsid w:val="00986560"/>
    <w:rsid w:val="00987573"/>
    <w:rsid w:val="00987D1B"/>
    <w:rsid w:val="00990649"/>
    <w:rsid w:val="009907C5"/>
    <w:rsid w:val="00991FC7"/>
    <w:rsid w:val="00994889"/>
    <w:rsid w:val="00995BAE"/>
    <w:rsid w:val="00996709"/>
    <w:rsid w:val="00996AA3"/>
    <w:rsid w:val="00996BFB"/>
    <w:rsid w:val="009979BE"/>
    <w:rsid w:val="009A0136"/>
    <w:rsid w:val="009A03AC"/>
    <w:rsid w:val="009A0EF7"/>
    <w:rsid w:val="009A0EFC"/>
    <w:rsid w:val="009A15FC"/>
    <w:rsid w:val="009A20EF"/>
    <w:rsid w:val="009A26CF"/>
    <w:rsid w:val="009A270D"/>
    <w:rsid w:val="009A420A"/>
    <w:rsid w:val="009A4F53"/>
    <w:rsid w:val="009A5930"/>
    <w:rsid w:val="009A60B5"/>
    <w:rsid w:val="009A65BA"/>
    <w:rsid w:val="009A6684"/>
    <w:rsid w:val="009A6B38"/>
    <w:rsid w:val="009A7126"/>
    <w:rsid w:val="009A774C"/>
    <w:rsid w:val="009B05E7"/>
    <w:rsid w:val="009B0A87"/>
    <w:rsid w:val="009B1229"/>
    <w:rsid w:val="009B25F5"/>
    <w:rsid w:val="009B33FC"/>
    <w:rsid w:val="009B4E57"/>
    <w:rsid w:val="009B5C4F"/>
    <w:rsid w:val="009B60E1"/>
    <w:rsid w:val="009B6390"/>
    <w:rsid w:val="009B64BE"/>
    <w:rsid w:val="009B6DBE"/>
    <w:rsid w:val="009C107F"/>
    <w:rsid w:val="009C1104"/>
    <w:rsid w:val="009C2200"/>
    <w:rsid w:val="009C22A0"/>
    <w:rsid w:val="009C2361"/>
    <w:rsid w:val="009C2A32"/>
    <w:rsid w:val="009C2C50"/>
    <w:rsid w:val="009C35C0"/>
    <w:rsid w:val="009C3F04"/>
    <w:rsid w:val="009C42DC"/>
    <w:rsid w:val="009C4897"/>
    <w:rsid w:val="009C4BE0"/>
    <w:rsid w:val="009C4CF6"/>
    <w:rsid w:val="009C56DE"/>
    <w:rsid w:val="009C6126"/>
    <w:rsid w:val="009C6A25"/>
    <w:rsid w:val="009C7293"/>
    <w:rsid w:val="009D005E"/>
    <w:rsid w:val="009D07D6"/>
    <w:rsid w:val="009D1592"/>
    <w:rsid w:val="009D37B5"/>
    <w:rsid w:val="009D3F97"/>
    <w:rsid w:val="009D4AF8"/>
    <w:rsid w:val="009D531D"/>
    <w:rsid w:val="009D56D9"/>
    <w:rsid w:val="009D622E"/>
    <w:rsid w:val="009D65F4"/>
    <w:rsid w:val="009D69A8"/>
    <w:rsid w:val="009D79CD"/>
    <w:rsid w:val="009D7FB0"/>
    <w:rsid w:val="009E0939"/>
    <w:rsid w:val="009E0D98"/>
    <w:rsid w:val="009E1692"/>
    <w:rsid w:val="009E1ED9"/>
    <w:rsid w:val="009E2620"/>
    <w:rsid w:val="009E3527"/>
    <w:rsid w:val="009E399B"/>
    <w:rsid w:val="009E3EB7"/>
    <w:rsid w:val="009E512C"/>
    <w:rsid w:val="009E52B6"/>
    <w:rsid w:val="009E5660"/>
    <w:rsid w:val="009E7A99"/>
    <w:rsid w:val="009F00BA"/>
    <w:rsid w:val="009F060C"/>
    <w:rsid w:val="009F0637"/>
    <w:rsid w:val="009F0931"/>
    <w:rsid w:val="009F33AD"/>
    <w:rsid w:val="009F4817"/>
    <w:rsid w:val="009F4D58"/>
    <w:rsid w:val="009F5B95"/>
    <w:rsid w:val="009F5F12"/>
    <w:rsid w:val="009F64CA"/>
    <w:rsid w:val="009F65DE"/>
    <w:rsid w:val="009F67B3"/>
    <w:rsid w:val="009F692A"/>
    <w:rsid w:val="009F69C4"/>
    <w:rsid w:val="009F713A"/>
    <w:rsid w:val="009F719C"/>
    <w:rsid w:val="00A001B1"/>
    <w:rsid w:val="00A00662"/>
    <w:rsid w:val="00A012E7"/>
    <w:rsid w:val="00A018CC"/>
    <w:rsid w:val="00A02753"/>
    <w:rsid w:val="00A03AF2"/>
    <w:rsid w:val="00A03BE1"/>
    <w:rsid w:val="00A03D88"/>
    <w:rsid w:val="00A04CE9"/>
    <w:rsid w:val="00A04EF2"/>
    <w:rsid w:val="00A0512B"/>
    <w:rsid w:val="00A052F6"/>
    <w:rsid w:val="00A066A6"/>
    <w:rsid w:val="00A13123"/>
    <w:rsid w:val="00A13133"/>
    <w:rsid w:val="00A13A94"/>
    <w:rsid w:val="00A14435"/>
    <w:rsid w:val="00A1452C"/>
    <w:rsid w:val="00A15F00"/>
    <w:rsid w:val="00A1679C"/>
    <w:rsid w:val="00A16C67"/>
    <w:rsid w:val="00A16D95"/>
    <w:rsid w:val="00A176BD"/>
    <w:rsid w:val="00A203DB"/>
    <w:rsid w:val="00A225AF"/>
    <w:rsid w:val="00A22853"/>
    <w:rsid w:val="00A2381C"/>
    <w:rsid w:val="00A23F96"/>
    <w:rsid w:val="00A24A84"/>
    <w:rsid w:val="00A25CFA"/>
    <w:rsid w:val="00A25E82"/>
    <w:rsid w:val="00A25EB9"/>
    <w:rsid w:val="00A263FB"/>
    <w:rsid w:val="00A26816"/>
    <w:rsid w:val="00A278C8"/>
    <w:rsid w:val="00A27C54"/>
    <w:rsid w:val="00A30EF9"/>
    <w:rsid w:val="00A3127D"/>
    <w:rsid w:val="00A313E6"/>
    <w:rsid w:val="00A31CB2"/>
    <w:rsid w:val="00A31CBE"/>
    <w:rsid w:val="00A322BB"/>
    <w:rsid w:val="00A32B11"/>
    <w:rsid w:val="00A338E2"/>
    <w:rsid w:val="00A34913"/>
    <w:rsid w:val="00A35CD4"/>
    <w:rsid w:val="00A378B5"/>
    <w:rsid w:val="00A37A06"/>
    <w:rsid w:val="00A41608"/>
    <w:rsid w:val="00A41ADC"/>
    <w:rsid w:val="00A4219E"/>
    <w:rsid w:val="00A42B1B"/>
    <w:rsid w:val="00A42B96"/>
    <w:rsid w:val="00A44379"/>
    <w:rsid w:val="00A44F57"/>
    <w:rsid w:val="00A45035"/>
    <w:rsid w:val="00A463BC"/>
    <w:rsid w:val="00A501E1"/>
    <w:rsid w:val="00A50BC6"/>
    <w:rsid w:val="00A53102"/>
    <w:rsid w:val="00A53296"/>
    <w:rsid w:val="00A533FF"/>
    <w:rsid w:val="00A543FA"/>
    <w:rsid w:val="00A544EF"/>
    <w:rsid w:val="00A54C80"/>
    <w:rsid w:val="00A54CFC"/>
    <w:rsid w:val="00A55AD4"/>
    <w:rsid w:val="00A564C6"/>
    <w:rsid w:val="00A56998"/>
    <w:rsid w:val="00A57261"/>
    <w:rsid w:val="00A572A0"/>
    <w:rsid w:val="00A57653"/>
    <w:rsid w:val="00A57F58"/>
    <w:rsid w:val="00A6040B"/>
    <w:rsid w:val="00A60760"/>
    <w:rsid w:val="00A61D5F"/>
    <w:rsid w:val="00A627C3"/>
    <w:rsid w:val="00A63680"/>
    <w:rsid w:val="00A644A5"/>
    <w:rsid w:val="00A64FAA"/>
    <w:rsid w:val="00A65890"/>
    <w:rsid w:val="00A66C36"/>
    <w:rsid w:val="00A6705B"/>
    <w:rsid w:val="00A67C26"/>
    <w:rsid w:val="00A70B1C"/>
    <w:rsid w:val="00A72066"/>
    <w:rsid w:val="00A724DC"/>
    <w:rsid w:val="00A7257A"/>
    <w:rsid w:val="00A7272B"/>
    <w:rsid w:val="00A72859"/>
    <w:rsid w:val="00A7328E"/>
    <w:rsid w:val="00A7347D"/>
    <w:rsid w:val="00A73F5F"/>
    <w:rsid w:val="00A74C77"/>
    <w:rsid w:val="00A7516F"/>
    <w:rsid w:val="00A756A4"/>
    <w:rsid w:val="00A75C6B"/>
    <w:rsid w:val="00A76560"/>
    <w:rsid w:val="00A7677D"/>
    <w:rsid w:val="00A7698C"/>
    <w:rsid w:val="00A80094"/>
    <w:rsid w:val="00A81AE4"/>
    <w:rsid w:val="00A81E5E"/>
    <w:rsid w:val="00A82DB7"/>
    <w:rsid w:val="00A82DFC"/>
    <w:rsid w:val="00A83C71"/>
    <w:rsid w:val="00A84062"/>
    <w:rsid w:val="00A8479F"/>
    <w:rsid w:val="00A8545E"/>
    <w:rsid w:val="00A86373"/>
    <w:rsid w:val="00A8697A"/>
    <w:rsid w:val="00A87507"/>
    <w:rsid w:val="00A87AEA"/>
    <w:rsid w:val="00A913A6"/>
    <w:rsid w:val="00A917EE"/>
    <w:rsid w:val="00A9188E"/>
    <w:rsid w:val="00A9198C"/>
    <w:rsid w:val="00A91ADE"/>
    <w:rsid w:val="00A91E08"/>
    <w:rsid w:val="00A92C02"/>
    <w:rsid w:val="00A93AD6"/>
    <w:rsid w:val="00A941E3"/>
    <w:rsid w:val="00A94A67"/>
    <w:rsid w:val="00A959BB"/>
    <w:rsid w:val="00A95C29"/>
    <w:rsid w:val="00A96233"/>
    <w:rsid w:val="00A97B76"/>
    <w:rsid w:val="00A97BD0"/>
    <w:rsid w:val="00A97D27"/>
    <w:rsid w:val="00AA11CE"/>
    <w:rsid w:val="00AA1216"/>
    <w:rsid w:val="00AA1866"/>
    <w:rsid w:val="00AA2978"/>
    <w:rsid w:val="00AA3A02"/>
    <w:rsid w:val="00AA436C"/>
    <w:rsid w:val="00AA4ADD"/>
    <w:rsid w:val="00AA51A6"/>
    <w:rsid w:val="00AA52FB"/>
    <w:rsid w:val="00AA62DB"/>
    <w:rsid w:val="00AA6562"/>
    <w:rsid w:val="00AA6602"/>
    <w:rsid w:val="00AA66E3"/>
    <w:rsid w:val="00AA6B89"/>
    <w:rsid w:val="00AA7B43"/>
    <w:rsid w:val="00AB492D"/>
    <w:rsid w:val="00AB4C4F"/>
    <w:rsid w:val="00AB566B"/>
    <w:rsid w:val="00AB650F"/>
    <w:rsid w:val="00AC00F7"/>
    <w:rsid w:val="00AC032D"/>
    <w:rsid w:val="00AC0387"/>
    <w:rsid w:val="00AC0782"/>
    <w:rsid w:val="00AC09ED"/>
    <w:rsid w:val="00AC1308"/>
    <w:rsid w:val="00AC1F59"/>
    <w:rsid w:val="00AC229F"/>
    <w:rsid w:val="00AC3D8C"/>
    <w:rsid w:val="00AC439B"/>
    <w:rsid w:val="00AC4B9C"/>
    <w:rsid w:val="00AC564E"/>
    <w:rsid w:val="00AC5724"/>
    <w:rsid w:val="00AC5AF3"/>
    <w:rsid w:val="00AC61C6"/>
    <w:rsid w:val="00AC637F"/>
    <w:rsid w:val="00AC6C06"/>
    <w:rsid w:val="00AD023D"/>
    <w:rsid w:val="00AD07F1"/>
    <w:rsid w:val="00AD0B0E"/>
    <w:rsid w:val="00AD25AE"/>
    <w:rsid w:val="00AD2656"/>
    <w:rsid w:val="00AD4E99"/>
    <w:rsid w:val="00AD52B8"/>
    <w:rsid w:val="00AD6EC0"/>
    <w:rsid w:val="00AD76F7"/>
    <w:rsid w:val="00AE06AD"/>
    <w:rsid w:val="00AE0C9D"/>
    <w:rsid w:val="00AE0D58"/>
    <w:rsid w:val="00AE117F"/>
    <w:rsid w:val="00AE149C"/>
    <w:rsid w:val="00AE330D"/>
    <w:rsid w:val="00AE37E8"/>
    <w:rsid w:val="00AE3A1D"/>
    <w:rsid w:val="00AE3B48"/>
    <w:rsid w:val="00AE4127"/>
    <w:rsid w:val="00AE6274"/>
    <w:rsid w:val="00AE6B1B"/>
    <w:rsid w:val="00AE6CD1"/>
    <w:rsid w:val="00AE7F4C"/>
    <w:rsid w:val="00AF05F3"/>
    <w:rsid w:val="00AF1351"/>
    <w:rsid w:val="00AF2256"/>
    <w:rsid w:val="00AF29E6"/>
    <w:rsid w:val="00AF4B39"/>
    <w:rsid w:val="00AF5095"/>
    <w:rsid w:val="00AF57B3"/>
    <w:rsid w:val="00AF6F01"/>
    <w:rsid w:val="00AF7A8C"/>
    <w:rsid w:val="00B00499"/>
    <w:rsid w:val="00B031A1"/>
    <w:rsid w:val="00B07186"/>
    <w:rsid w:val="00B0744F"/>
    <w:rsid w:val="00B10CC1"/>
    <w:rsid w:val="00B10E60"/>
    <w:rsid w:val="00B116DC"/>
    <w:rsid w:val="00B11CA4"/>
    <w:rsid w:val="00B11E11"/>
    <w:rsid w:val="00B12BD3"/>
    <w:rsid w:val="00B135D0"/>
    <w:rsid w:val="00B1450F"/>
    <w:rsid w:val="00B14D68"/>
    <w:rsid w:val="00B153A9"/>
    <w:rsid w:val="00B15604"/>
    <w:rsid w:val="00B15BE9"/>
    <w:rsid w:val="00B16952"/>
    <w:rsid w:val="00B17D7C"/>
    <w:rsid w:val="00B20E20"/>
    <w:rsid w:val="00B21DEA"/>
    <w:rsid w:val="00B23A81"/>
    <w:rsid w:val="00B23E77"/>
    <w:rsid w:val="00B23EF3"/>
    <w:rsid w:val="00B24913"/>
    <w:rsid w:val="00B26412"/>
    <w:rsid w:val="00B26C04"/>
    <w:rsid w:val="00B33B6D"/>
    <w:rsid w:val="00B34043"/>
    <w:rsid w:val="00B347E2"/>
    <w:rsid w:val="00B34F96"/>
    <w:rsid w:val="00B35373"/>
    <w:rsid w:val="00B357FD"/>
    <w:rsid w:val="00B35909"/>
    <w:rsid w:val="00B36433"/>
    <w:rsid w:val="00B419E1"/>
    <w:rsid w:val="00B42FDE"/>
    <w:rsid w:val="00B43090"/>
    <w:rsid w:val="00B43F08"/>
    <w:rsid w:val="00B43FAB"/>
    <w:rsid w:val="00B452CB"/>
    <w:rsid w:val="00B47172"/>
    <w:rsid w:val="00B4731B"/>
    <w:rsid w:val="00B47657"/>
    <w:rsid w:val="00B51A14"/>
    <w:rsid w:val="00B51E31"/>
    <w:rsid w:val="00B521CB"/>
    <w:rsid w:val="00B52B6B"/>
    <w:rsid w:val="00B5361E"/>
    <w:rsid w:val="00B53AC6"/>
    <w:rsid w:val="00B53D02"/>
    <w:rsid w:val="00B541AF"/>
    <w:rsid w:val="00B5447D"/>
    <w:rsid w:val="00B546C3"/>
    <w:rsid w:val="00B552C1"/>
    <w:rsid w:val="00B57804"/>
    <w:rsid w:val="00B57A1C"/>
    <w:rsid w:val="00B57F3B"/>
    <w:rsid w:val="00B617C4"/>
    <w:rsid w:val="00B61D7B"/>
    <w:rsid w:val="00B61DF2"/>
    <w:rsid w:val="00B63102"/>
    <w:rsid w:val="00B63A0C"/>
    <w:rsid w:val="00B6512C"/>
    <w:rsid w:val="00B65131"/>
    <w:rsid w:val="00B65D65"/>
    <w:rsid w:val="00B65EF8"/>
    <w:rsid w:val="00B660B9"/>
    <w:rsid w:val="00B663E0"/>
    <w:rsid w:val="00B673CF"/>
    <w:rsid w:val="00B673EE"/>
    <w:rsid w:val="00B678B0"/>
    <w:rsid w:val="00B67D08"/>
    <w:rsid w:val="00B706B2"/>
    <w:rsid w:val="00B715F3"/>
    <w:rsid w:val="00B71EB7"/>
    <w:rsid w:val="00B7212F"/>
    <w:rsid w:val="00B74276"/>
    <w:rsid w:val="00B74AF1"/>
    <w:rsid w:val="00B7606A"/>
    <w:rsid w:val="00B76B7F"/>
    <w:rsid w:val="00B77D32"/>
    <w:rsid w:val="00B847A9"/>
    <w:rsid w:val="00B849CC"/>
    <w:rsid w:val="00B8561A"/>
    <w:rsid w:val="00B85909"/>
    <w:rsid w:val="00B86370"/>
    <w:rsid w:val="00B86B40"/>
    <w:rsid w:val="00B879F1"/>
    <w:rsid w:val="00B87F25"/>
    <w:rsid w:val="00B90422"/>
    <w:rsid w:val="00B90CC2"/>
    <w:rsid w:val="00B90E92"/>
    <w:rsid w:val="00B91631"/>
    <w:rsid w:val="00B920A4"/>
    <w:rsid w:val="00B93573"/>
    <w:rsid w:val="00B93715"/>
    <w:rsid w:val="00B93AFB"/>
    <w:rsid w:val="00B93C34"/>
    <w:rsid w:val="00B948CE"/>
    <w:rsid w:val="00B94E9E"/>
    <w:rsid w:val="00B9694F"/>
    <w:rsid w:val="00B96A41"/>
    <w:rsid w:val="00B97479"/>
    <w:rsid w:val="00B97AD4"/>
    <w:rsid w:val="00B97D91"/>
    <w:rsid w:val="00BA0BC2"/>
    <w:rsid w:val="00BA1CBE"/>
    <w:rsid w:val="00BA1ECC"/>
    <w:rsid w:val="00BA24AE"/>
    <w:rsid w:val="00BA282B"/>
    <w:rsid w:val="00BA37BF"/>
    <w:rsid w:val="00BA3F77"/>
    <w:rsid w:val="00BA43FC"/>
    <w:rsid w:val="00BA461C"/>
    <w:rsid w:val="00BA5331"/>
    <w:rsid w:val="00BA5C3C"/>
    <w:rsid w:val="00BA6FD9"/>
    <w:rsid w:val="00BA7FA4"/>
    <w:rsid w:val="00BB145B"/>
    <w:rsid w:val="00BB156A"/>
    <w:rsid w:val="00BB18D0"/>
    <w:rsid w:val="00BB1973"/>
    <w:rsid w:val="00BB1BAE"/>
    <w:rsid w:val="00BB39A6"/>
    <w:rsid w:val="00BB4615"/>
    <w:rsid w:val="00BB4F83"/>
    <w:rsid w:val="00BB51D5"/>
    <w:rsid w:val="00BB6090"/>
    <w:rsid w:val="00BB6760"/>
    <w:rsid w:val="00BB7084"/>
    <w:rsid w:val="00BB7FC7"/>
    <w:rsid w:val="00BC1E1A"/>
    <w:rsid w:val="00BC1F1C"/>
    <w:rsid w:val="00BC241F"/>
    <w:rsid w:val="00BC27FB"/>
    <w:rsid w:val="00BC5B42"/>
    <w:rsid w:val="00BC650D"/>
    <w:rsid w:val="00BC66AF"/>
    <w:rsid w:val="00BC788C"/>
    <w:rsid w:val="00BD1AA4"/>
    <w:rsid w:val="00BD2960"/>
    <w:rsid w:val="00BD305F"/>
    <w:rsid w:val="00BD3899"/>
    <w:rsid w:val="00BD5D2F"/>
    <w:rsid w:val="00BD762A"/>
    <w:rsid w:val="00BD7C89"/>
    <w:rsid w:val="00BD7F74"/>
    <w:rsid w:val="00BE162D"/>
    <w:rsid w:val="00BE1840"/>
    <w:rsid w:val="00BE1DDF"/>
    <w:rsid w:val="00BE2A2D"/>
    <w:rsid w:val="00BE3307"/>
    <w:rsid w:val="00BE421C"/>
    <w:rsid w:val="00BE5170"/>
    <w:rsid w:val="00BE52A6"/>
    <w:rsid w:val="00BE621A"/>
    <w:rsid w:val="00BE6D29"/>
    <w:rsid w:val="00BE6E25"/>
    <w:rsid w:val="00BF0172"/>
    <w:rsid w:val="00BF08F7"/>
    <w:rsid w:val="00BF0ECF"/>
    <w:rsid w:val="00BF1968"/>
    <w:rsid w:val="00BF651B"/>
    <w:rsid w:val="00BF74B0"/>
    <w:rsid w:val="00BF7EF8"/>
    <w:rsid w:val="00C0007A"/>
    <w:rsid w:val="00C018EA"/>
    <w:rsid w:val="00C0227C"/>
    <w:rsid w:val="00C026E5"/>
    <w:rsid w:val="00C038D3"/>
    <w:rsid w:val="00C05113"/>
    <w:rsid w:val="00C06474"/>
    <w:rsid w:val="00C0656D"/>
    <w:rsid w:val="00C06FE4"/>
    <w:rsid w:val="00C07653"/>
    <w:rsid w:val="00C07928"/>
    <w:rsid w:val="00C109D3"/>
    <w:rsid w:val="00C11053"/>
    <w:rsid w:val="00C11159"/>
    <w:rsid w:val="00C115C5"/>
    <w:rsid w:val="00C11E23"/>
    <w:rsid w:val="00C12293"/>
    <w:rsid w:val="00C14270"/>
    <w:rsid w:val="00C1435C"/>
    <w:rsid w:val="00C14BBC"/>
    <w:rsid w:val="00C15147"/>
    <w:rsid w:val="00C157F4"/>
    <w:rsid w:val="00C160D7"/>
    <w:rsid w:val="00C1691A"/>
    <w:rsid w:val="00C16E1F"/>
    <w:rsid w:val="00C16E4B"/>
    <w:rsid w:val="00C170E8"/>
    <w:rsid w:val="00C1717A"/>
    <w:rsid w:val="00C1781F"/>
    <w:rsid w:val="00C224DF"/>
    <w:rsid w:val="00C22D9E"/>
    <w:rsid w:val="00C23346"/>
    <w:rsid w:val="00C23428"/>
    <w:rsid w:val="00C24634"/>
    <w:rsid w:val="00C27859"/>
    <w:rsid w:val="00C27994"/>
    <w:rsid w:val="00C31730"/>
    <w:rsid w:val="00C333AF"/>
    <w:rsid w:val="00C36086"/>
    <w:rsid w:val="00C377B4"/>
    <w:rsid w:val="00C40167"/>
    <w:rsid w:val="00C419D4"/>
    <w:rsid w:val="00C424AE"/>
    <w:rsid w:val="00C43472"/>
    <w:rsid w:val="00C461D5"/>
    <w:rsid w:val="00C472F4"/>
    <w:rsid w:val="00C508E2"/>
    <w:rsid w:val="00C50FBD"/>
    <w:rsid w:val="00C51380"/>
    <w:rsid w:val="00C51579"/>
    <w:rsid w:val="00C51615"/>
    <w:rsid w:val="00C51622"/>
    <w:rsid w:val="00C525DE"/>
    <w:rsid w:val="00C53CDB"/>
    <w:rsid w:val="00C53F0E"/>
    <w:rsid w:val="00C542DA"/>
    <w:rsid w:val="00C54EC7"/>
    <w:rsid w:val="00C56CDE"/>
    <w:rsid w:val="00C603CE"/>
    <w:rsid w:val="00C61DB7"/>
    <w:rsid w:val="00C625DA"/>
    <w:rsid w:val="00C64330"/>
    <w:rsid w:val="00C64C74"/>
    <w:rsid w:val="00C64DAC"/>
    <w:rsid w:val="00C653DE"/>
    <w:rsid w:val="00C65DD6"/>
    <w:rsid w:val="00C6752C"/>
    <w:rsid w:val="00C67725"/>
    <w:rsid w:val="00C677F9"/>
    <w:rsid w:val="00C678D4"/>
    <w:rsid w:val="00C67CF3"/>
    <w:rsid w:val="00C72291"/>
    <w:rsid w:val="00C72F0A"/>
    <w:rsid w:val="00C73020"/>
    <w:rsid w:val="00C7353B"/>
    <w:rsid w:val="00C737BD"/>
    <w:rsid w:val="00C745FA"/>
    <w:rsid w:val="00C761F8"/>
    <w:rsid w:val="00C76476"/>
    <w:rsid w:val="00C764B2"/>
    <w:rsid w:val="00C77120"/>
    <w:rsid w:val="00C81A1E"/>
    <w:rsid w:val="00C81DD6"/>
    <w:rsid w:val="00C820AE"/>
    <w:rsid w:val="00C83077"/>
    <w:rsid w:val="00C8315E"/>
    <w:rsid w:val="00C83B5C"/>
    <w:rsid w:val="00C85849"/>
    <w:rsid w:val="00C865CE"/>
    <w:rsid w:val="00C86CA1"/>
    <w:rsid w:val="00C87F5B"/>
    <w:rsid w:val="00C9068E"/>
    <w:rsid w:val="00C9095C"/>
    <w:rsid w:val="00C90E35"/>
    <w:rsid w:val="00C9139B"/>
    <w:rsid w:val="00C913F0"/>
    <w:rsid w:val="00C92A18"/>
    <w:rsid w:val="00C92A61"/>
    <w:rsid w:val="00C92BEA"/>
    <w:rsid w:val="00C93AE4"/>
    <w:rsid w:val="00C95103"/>
    <w:rsid w:val="00C953CA"/>
    <w:rsid w:val="00C954AC"/>
    <w:rsid w:val="00C958D7"/>
    <w:rsid w:val="00C979A3"/>
    <w:rsid w:val="00CA1531"/>
    <w:rsid w:val="00CA224E"/>
    <w:rsid w:val="00CA2B8F"/>
    <w:rsid w:val="00CA34D7"/>
    <w:rsid w:val="00CA4AD9"/>
    <w:rsid w:val="00CA4E34"/>
    <w:rsid w:val="00CA5166"/>
    <w:rsid w:val="00CA7F3D"/>
    <w:rsid w:val="00CA7F5F"/>
    <w:rsid w:val="00CB02E0"/>
    <w:rsid w:val="00CB187D"/>
    <w:rsid w:val="00CB194C"/>
    <w:rsid w:val="00CB1BC8"/>
    <w:rsid w:val="00CB2163"/>
    <w:rsid w:val="00CB2199"/>
    <w:rsid w:val="00CB2CFC"/>
    <w:rsid w:val="00CB30A6"/>
    <w:rsid w:val="00CB4A9C"/>
    <w:rsid w:val="00CB5171"/>
    <w:rsid w:val="00CB60A7"/>
    <w:rsid w:val="00CB691D"/>
    <w:rsid w:val="00CB7C46"/>
    <w:rsid w:val="00CB7C9E"/>
    <w:rsid w:val="00CC0BEE"/>
    <w:rsid w:val="00CC2292"/>
    <w:rsid w:val="00CC2370"/>
    <w:rsid w:val="00CC30F0"/>
    <w:rsid w:val="00CC32F3"/>
    <w:rsid w:val="00CC3485"/>
    <w:rsid w:val="00CC39D7"/>
    <w:rsid w:val="00CC4186"/>
    <w:rsid w:val="00CC487E"/>
    <w:rsid w:val="00CC5927"/>
    <w:rsid w:val="00CC5DF0"/>
    <w:rsid w:val="00CD136B"/>
    <w:rsid w:val="00CD1784"/>
    <w:rsid w:val="00CD1A9B"/>
    <w:rsid w:val="00CD1AAF"/>
    <w:rsid w:val="00CD20BF"/>
    <w:rsid w:val="00CD28F6"/>
    <w:rsid w:val="00CD308D"/>
    <w:rsid w:val="00CD380F"/>
    <w:rsid w:val="00CD3DED"/>
    <w:rsid w:val="00CD3FF7"/>
    <w:rsid w:val="00CD52E9"/>
    <w:rsid w:val="00CD611C"/>
    <w:rsid w:val="00CD6333"/>
    <w:rsid w:val="00CD639F"/>
    <w:rsid w:val="00CD67A5"/>
    <w:rsid w:val="00CE050A"/>
    <w:rsid w:val="00CE0FC3"/>
    <w:rsid w:val="00CE1333"/>
    <w:rsid w:val="00CE13F7"/>
    <w:rsid w:val="00CE1C1F"/>
    <w:rsid w:val="00CE1CD3"/>
    <w:rsid w:val="00CE24F8"/>
    <w:rsid w:val="00CE37D4"/>
    <w:rsid w:val="00CE468C"/>
    <w:rsid w:val="00CE60D9"/>
    <w:rsid w:val="00CE6500"/>
    <w:rsid w:val="00CF1FE5"/>
    <w:rsid w:val="00CF220E"/>
    <w:rsid w:val="00CF35C9"/>
    <w:rsid w:val="00CF428D"/>
    <w:rsid w:val="00CF42F0"/>
    <w:rsid w:val="00CF4376"/>
    <w:rsid w:val="00CF62E2"/>
    <w:rsid w:val="00CF75CD"/>
    <w:rsid w:val="00D00D6B"/>
    <w:rsid w:val="00D02018"/>
    <w:rsid w:val="00D02293"/>
    <w:rsid w:val="00D02530"/>
    <w:rsid w:val="00D02CC6"/>
    <w:rsid w:val="00D04470"/>
    <w:rsid w:val="00D04516"/>
    <w:rsid w:val="00D04A3D"/>
    <w:rsid w:val="00D04ADC"/>
    <w:rsid w:val="00D04E15"/>
    <w:rsid w:val="00D06C5A"/>
    <w:rsid w:val="00D07E35"/>
    <w:rsid w:val="00D105CA"/>
    <w:rsid w:val="00D10D67"/>
    <w:rsid w:val="00D116BA"/>
    <w:rsid w:val="00D125DB"/>
    <w:rsid w:val="00D12AE0"/>
    <w:rsid w:val="00D12DE4"/>
    <w:rsid w:val="00D12FC1"/>
    <w:rsid w:val="00D131BD"/>
    <w:rsid w:val="00D132F2"/>
    <w:rsid w:val="00D13714"/>
    <w:rsid w:val="00D139A7"/>
    <w:rsid w:val="00D146E0"/>
    <w:rsid w:val="00D14BF6"/>
    <w:rsid w:val="00D15112"/>
    <w:rsid w:val="00D1547B"/>
    <w:rsid w:val="00D156C8"/>
    <w:rsid w:val="00D16095"/>
    <w:rsid w:val="00D16388"/>
    <w:rsid w:val="00D17DBB"/>
    <w:rsid w:val="00D20568"/>
    <w:rsid w:val="00D229A8"/>
    <w:rsid w:val="00D22BF1"/>
    <w:rsid w:val="00D230FD"/>
    <w:rsid w:val="00D23541"/>
    <w:rsid w:val="00D235C1"/>
    <w:rsid w:val="00D23DEF"/>
    <w:rsid w:val="00D241F5"/>
    <w:rsid w:val="00D243A7"/>
    <w:rsid w:val="00D24AE9"/>
    <w:rsid w:val="00D24F43"/>
    <w:rsid w:val="00D25A1E"/>
    <w:rsid w:val="00D25A5D"/>
    <w:rsid w:val="00D25B2A"/>
    <w:rsid w:val="00D271E6"/>
    <w:rsid w:val="00D273E0"/>
    <w:rsid w:val="00D31381"/>
    <w:rsid w:val="00D32AA5"/>
    <w:rsid w:val="00D32ECD"/>
    <w:rsid w:val="00D35776"/>
    <w:rsid w:val="00D3709E"/>
    <w:rsid w:val="00D37168"/>
    <w:rsid w:val="00D376A1"/>
    <w:rsid w:val="00D37DE3"/>
    <w:rsid w:val="00D41B94"/>
    <w:rsid w:val="00D42844"/>
    <w:rsid w:val="00D444EE"/>
    <w:rsid w:val="00D44EB1"/>
    <w:rsid w:val="00D45612"/>
    <w:rsid w:val="00D45896"/>
    <w:rsid w:val="00D459C2"/>
    <w:rsid w:val="00D464E8"/>
    <w:rsid w:val="00D47484"/>
    <w:rsid w:val="00D50662"/>
    <w:rsid w:val="00D51845"/>
    <w:rsid w:val="00D518E7"/>
    <w:rsid w:val="00D51A99"/>
    <w:rsid w:val="00D51EA0"/>
    <w:rsid w:val="00D53E0B"/>
    <w:rsid w:val="00D54C01"/>
    <w:rsid w:val="00D54CD2"/>
    <w:rsid w:val="00D570A7"/>
    <w:rsid w:val="00D57A6C"/>
    <w:rsid w:val="00D60C92"/>
    <w:rsid w:val="00D6172C"/>
    <w:rsid w:val="00D61ED4"/>
    <w:rsid w:val="00D627A8"/>
    <w:rsid w:val="00D63454"/>
    <w:rsid w:val="00D63EF3"/>
    <w:rsid w:val="00D6408A"/>
    <w:rsid w:val="00D642C7"/>
    <w:rsid w:val="00D648F4"/>
    <w:rsid w:val="00D64D6E"/>
    <w:rsid w:val="00D65221"/>
    <w:rsid w:val="00D6540B"/>
    <w:rsid w:val="00D67BB9"/>
    <w:rsid w:val="00D708C4"/>
    <w:rsid w:val="00D741C7"/>
    <w:rsid w:val="00D742CC"/>
    <w:rsid w:val="00D746C4"/>
    <w:rsid w:val="00D74DFB"/>
    <w:rsid w:val="00D75390"/>
    <w:rsid w:val="00D76A75"/>
    <w:rsid w:val="00D76C8D"/>
    <w:rsid w:val="00D76D56"/>
    <w:rsid w:val="00D775FC"/>
    <w:rsid w:val="00D777A0"/>
    <w:rsid w:val="00D77E4C"/>
    <w:rsid w:val="00D80852"/>
    <w:rsid w:val="00D80CE5"/>
    <w:rsid w:val="00D81314"/>
    <w:rsid w:val="00D81D1A"/>
    <w:rsid w:val="00D8248F"/>
    <w:rsid w:val="00D82520"/>
    <w:rsid w:val="00D82CF9"/>
    <w:rsid w:val="00D83071"/>
    <w:rsid w:val="00D8366A"/>
    <w:rsid w:val="00D83ACB"/>
    <w:rsid w:val="00D83DCB"/>
    <w:rsid w:val="00D83F43"/>
    <w:rsid w:val="00D842AF"/>
    <w:rsid w:val="00D8525F"/>
    <w:rsid w:val="00D86581"/>
    <w:rsid w:val="00D869FB"/>
    <w:rsid w:val="00D86B58"/>
    <w:rsid w:val="00D927B8"/>
    <w:rsid w:val="00D9309D"/>
    <w:rsid w:val="00D933BC"/>
    <w:rsid w:val="00D935B0"/>
    <w:rsid w:val="00D9394D"/>
    <w:rsid w:val="00D93D6D"/>
    <w:rsid w:val="00D94078"/>
    <w:rsid w:val="00D944B2"/>
    <w:rsid w:val="00D94B15"/>
    <w:rsid w:val="00D94D4A"/>
    <w:rsid w:val="00D95675"/>
    <w:rsid w:val="00D95CE6"/>
    <w:rsid w:val="00D95DEB"/>
    <w:rsid w:val="00D96EFB"/>
    <w:rsid w:val="00D96FDD"/>
    <w:rsid w:val="00D97959"/>
    <w:rsid w:val="00DA0BDD"/>
    <w:rsid w:val="00DA1BFD"/>
    <w:rsid w:val="00DA46ED"/>
    <w:rsid w:val="00DA5ACF"/>
    <w:rsid w:val="00DA60DF"/>
    <w:rsid w:val="00DA7F15"/>
    <w:rsid w:val="00DB10A5"/>
    <w:rsid w:val="00DB1D42"/>
    <w:rsid w:val="00DB2E5F"/>
    <w:rsid w:val="00DB3901"/>
    <w:rsid w:val="00DB43D2"/>
    <w:rsid w:val="00DB4BB7"/>
    <w:rsid w:val="00DB5109"/>
    <w:rsid w:val="00DB5375"/>
    <w:rsid w:val="00DB5E32"/>
    <w:rsid w:val="00DB688F"/>
    <w:rsid w:val="00DB7060"/>
    <w:rsid w:val="00DB70FA"/>
    <w:rsid w:val="00DB7F7B"/>
    <w:rsid w:val="00DC036D"/>
    <w:rsid w:val="00DC03EA"/>
    <w:rsid w:val="00DC1D67"/>
    <w:rsid w:val="00DC2B56"/>
    <w:rsid w:val="00DC367E"/>
    <w:rsid w:val="00DC39E8"/>
    <w:rsid w:val="00DC47C0"/>
    <w:rsid w:val="00DC4A8F"/>
    <w:rsid w:val="00DC5A2B"/>
    <w:rsid w:val="00DC5A34"/>
    <w:rsid w:val="00DC614B"/>
    <w:rsid w:val="00DC64E4"/>
    <w:rsid w:val="00DC7197"/>
    <w:rsid w:val="00DD1213"/>
    <w:rsid w:val="00DD3430"/>
    <w:rsid w:val="00DD3879"/>
    <w:rsid w:val="00DD3C02"/>
    <w:rsid w:val="00DD3D3C"/>
    <w:rsid w:val="00DD3F10"/>
    <w:rsid w:val="00DD433A"/>
    <w:rsid w:val="00DD5E56"/>
    <w:rsid w:val="00DD708A"/>
    <w:rsid w:val="00DD73C3"/>
    <w:rsid w:val="00DE0781"/>
    <w:rsid w:val="00DE0E3A"/>
    <w:rsid w:val="00DE102A"/>
    <w:rsid w:val="00DE16A1"/>
    <w:rsid w:val="00DE26FF"/>
    <w:rsid w:val="00DE39CA"/>
    <w:rsid w:val="00DE3C40"/>
    <w:rsid w:val="00DE406D"/>
    <w:rsid w:val="00DE4AF2"/>
    <w:rsid w:val="00DE5285"/>
    <w:rsid w:val="00DE622C"/>
    <w:rsid w:val="00DE6C23"/>
    <w:rsid w:val="00DE6D85"/>
    <w:rsid w:val="00DE6E5A"/>
    <w:rsid w:val="00DE763A"/>
    <w:rsid w:val="00DF2D86"/>
    <w:rsid w:val="00DF34AE"/>
    <w:rsid w:val="00DF3F2C"/>
    <w:rsid w:val="00DF47C8"/>
    <w:rsid w:val="00DF539A"/>
    <w:rsid w:val="00DF6F15"/>
    <w:rsid w:val="00DF7671"/>
    <w:rsid w:val="00DF7B5B"/>
    <w:rsid w:val="00DF7E3A"/>
    <w:rsid w:val="00E0199C"/>
    <w:rsid w:val="00E01A7E"/>
    <w:rsid w:val="00E0234F"/>
    <w:rsid w:val="00E03981"/>
    <w:rsid w:val="00E04D7E"/>
    <w:rsid w:val="00E05424"/>
    <w:rsid w:val="00E06A8C"/>
    <w:rsid w:val="00E06BA1"/>
    <w:rsid w:val="00E06F20"/>
    <w:rsid w:val="00E07049"/>
    <w:rsid w:val="00E072D7"/>
    <w:rsid w:val="00E07E1E"/>
    <w:rsid w:val="00E10F66"/>
    <w:rsid w:val="00E11746"/>
    <w:rsid w:val="00E11A1F"/>
    <w:rsid w:val="00E1323D"/>
    <w:rsid w:val="00E133EC"/>
    <w:rsid w:val="00E13883"/>
    <w:rsid w:val="00E141C1"/>
    <w:rsid w:val="00E155D3"/>
    <w:rsid w:val="00E16359"/>
    <w:rsid w:val="00E166FE"/>
    <w:rsid w:val="00E17D29"/>
    <w:rsid w:val="00E17E72"/>
    <w:rsid w:val="00E248FD"/>
    <w:rsid w:val="00E25300"/>
    <w:rsid w:val="00E26427"/>
    <w:rsid w:val="00E2780E"/>
    <w:rsid w:val="00E31564"/>
    <w:rsid w:val="00E33D67"/>
    <w:rsid w:val="00E346CA"/>
    <w:rsid w:val="00E34A0A"/>
    <w:rsid w:val="00E34D4A"/>
    <w:rsid w:val="00E355BB"/>
    <w:rsid w:val="00E3636C"/>
    <w:rsid w:val="00E36E61"/>
    <w:rsid w:val="00E36EC7"/>
    <w:rsid w:val="00E36F4E"/>
    <w:rsid w:val="00E36FF7"/>
    <w:rsid w:val="00E4186C"/>
    <w:rsid w:val="00E422CE"/>
    <w:rsid w:val="00E423A3"/>
    <w:rsid w:val="00E426BD"/>
    <w:rsid w:val="00E4339E"/>
    <w:rsid w:val="00E441A4"/>
    <w:rsid w:val="00E45469"/>
    <w:rsid w:val="00E462D4"/>
    <w:rsid w:val="00E469C4"/>
    <w:rsid w:val="00E47131"/>
    <w:rsid w:val="00E473C4"/>
    <w:rsid w:val="00E50763"/>
    <w:rsid w:val="00E51588"/>
    <w:rsid w:val="00E51C96"/>
    <w:rsid w:val="00E51EEA"/>
    <w:rsid w:val="00E52513"/>
    <w:rsid w:val="00E526ED"/>
    <w:rsid w:val="00E530AD"/>
    <w:rsid w:val="00E532E8"/>
    <w:rsid w:val="00E5420C"/>
    <w:rsid w:val="00E5622A"/>
    <w:rsid w:val="00E56485"/>
    <w:rsid w:val="00E5762F"/>
    <w:rsid w:val="00E60914"/>
    <w:rsid w:val="00E61DE3"/>
    <w:rsid w:val="00E61FA3"/>
    <w:rsid w:val="00E62B91"/>
    <w:rsid w:val="00E63835"/>
    <w:rsid w:val="00E641B1"/>
    <w:rsid w:val="00E64681"/>
    <w:rsid w:val="00E6506A"/>
    <w:rsid w:val="00E6525C"/>
    <w:rsid w:val="00E65439"/>
    <w:rsid w:val="00E6626F"/>
    <w:rsid w:val="00E66736"/>
    <w:rsid w:val="00E667FE"/>
    <w:rsid w:val="00E66CA5"/>
    <w:rsid w:val="00E70341"/>
    <w:rsid w:val="00E72271"/>
    <w:rsid w:val="00E727E2"/>
    <w:rsid w:val="00E72D54"/>
    <w:rsid w:val="00E73111"/>
    <w:rsid w:val="00E736C1"/>
    <w:rsid w:val="00E73FE1"/>
    <w:rsid w:val="00E74ED8"/>
    <w:rsid w:val="00E7656F"/>
    <w:rsid w:val="00E807E1"/>
    <w:rsid w:val="00E81591"/>
    <w:rsid w:val="00E822F8"/>
    <w:rsid w:val="00E82753"/>
    <w:rsid w:val="00E83591"/>
    <w:rsid w:val="00E84E21"/>
    <w:rsid w:val="00E85178"/>
    <w:rsid w:val="00E86163"/>
    <w:rsid w:val="00E861A7"/>
    <w:rsid w:val="00E861DD"/>
    <w:rsid w:val="00E86711"/>
    <w:rsid w:val="00E867F7"/>
    <w:rsid w:val="00E87420"/>
    <w:rsid w:val="00E87D44"/>
    <w:rsid w:val="00E905D6"/>
    <w:rsid w:val="00E90B60"/>
    <w:rsid w:val="00E92118"/>
    <w:rsid w:val="00E92294"/>
    <w:rsid w:val="00E93039"/>
    <w:rsid w:val="00E93FB9"/>
    <w:rsid w:val="00E954D0"/>
    <w:rsid w:val="00E95A46"/>
    <w:rsid w:val="00E95F85"/>
    <w:rsid w:val="00E96064"/>
    <w:rsid w:val="00E977CE"/>
    <w:rsid w:val="00E97FB8"/>
    <w:rsid w:val="00EA0592"/>
    <w:rsid w:val="00EA14FA"/>
    <w:rsid w:val="00EA184C"/>
    <w:rsid w:val="00EA1FEE"/>
    <w:rsid w:val="00EA3D4F"/>
    <w:rsid w:val="00EA5355"/>
    <w:rsid w:val="00EA5887"/>
    <w:rsid w:val="00EA5F51"/>
    <w:rsid w:val="00EA6348"/>
    <w:rsid w:val="00EA6C1C"/>
    <w:rsid w:val="00EA6F68"/>
    <w:rsid w:val="00EA72C2"/>
    <w:rsid w:val="00EA7438"/>
    <w:rsid w:val="00EA7C42"/>
    <w:rsid w:val="00EA7D86"/>
    <w:rsid w:val="00EB026B"/>
    <w:rsid w:val="00EB21BE"/>
    <w:rsid w:val="00EB21E0"/>
    <w:rsid w:val="00EB25CD"/>
    <w:rsid w:val="00EB2B83"/>
    <w:rsid w:val="00EB3D5B"/>
    <w:rsid w:val="00EB3E94"/>
    <w:rsid w:val="00EB40EC"/>
    <w:rsid w:val="00EB412D"/>
    <w:rsid w:val="00EB5095"/>
    <w:rsid w:val="00EB59B5"/>
    <w:rsid w:val="00EB5FDA"/>
    <w:rsid w:val="00EB6194"/>
    <w:rsid w:val="00EB6D9B"/>
    <w:rsid w:val="00EB73F2"/>
    <w:rsid w:val="00EC12F2"/>
    <w:rsid w:val="00EC2147"/>
    <w:rsid w:val="00EC2901"/>
    <w:rsid w:val="00EC32FF"/>
    <w:rsid w:val="00EC4023"/>
    <w:rsid w:val="00EC4242"/>
    <w:rsid w:val="00EC5C65"/>
    <w:rsid w:val="00EC63AE"/>
    <w:rsid w:val="00EC6DCD"/>
    <w:rsid w:val="00EC76F8"/>
    <w:rsid w:val="00ED0E16"/>
    <w:rsid w:val="00ED2C6D"/>
    <w:rsid w:val="00ED38B7"/>
    <w:rsid w:val="00ED39DB"/>
    <w:rsid w:val="00ED3E68"/>
    <w:rsid w:val="00ED72F9"/>
    <w:rsid w:val="00ED7A82"/>
    <w:rsid w:val="00EE2660"/>
    <w:rsid w:val="00EE29C1"/>
    <w:rsid w:val="00EE3522"/>
    <w:rsid w:val="00EE3C0A"/>
    <w:rsid w:val="00EE57CA"/>
    <w:rsid w:val="00EE5870"/>
    <w:rsid w:val="00EE5BC3"/>
    <w:rsid w:val="00EE5DD0"/>
    <w:rsid w:val="00EE69F8"/>
    <w:rsid w:val="00EE6A4C"/>
    <w:rsid w:val="00EE7E90"/>
    <w:rsid w:val="00EF2B11"/>
    <w:rsid w:val="00EF2E65"/>
    <w:rsid w:val="00EF3CB2"/>
    <w:rsid w:val="00EF499C"/>
    <w:rsid w:val="00EF4D1E"/>
    <w:rsid w:val="00EF520E"/>
    <w:rsid w:val="00EF581A"/>
    <w:rsid w:val="00EF6B01"/>
    <w:rsid w:val="00EF6E77"/>
    <w:rsid w:val="00EF7332"/>
    <w:rsid w:val="00F0009E"/>
    <w:rsid w:val="00F00801"/>
    <w:rsid w:val="00F00CB3"/>
    <w:rsid w:val="00F0456A"/>
    <w:rsid w:val="00F0571C"/>
    <w:rsid w:val="00F077BA"/>
    <w:rsid w:val="00F078EB"/>
    <w:rsid w:val="00F1043B"/>
    <w:rsid w:val="00F11E4E"/>
    <w:rsid w:val="00F13190"/>
    <w:rsid w:val="00F1443D"/>
    <w:rsid w:val="00F155ED"/>
    <w:rsid w:val="00F17388"/>
    <w:rsid w:val="00F17470"/>
    <w:rsid w:val="00F20089"/>
    <w:rsid w:val="00F20B5F"/>
    <w:rsid w:val="00F21171"/>
    <w:rsid w:val="00F23E5D"/>
    <w:rsid w:val="00F248BD"/>
    <w:rsid w:val="00F260AE"/>
    <w:rsid w:val="00F26984"/>
    <w:rsid w:val="00F272D2"/>
    <w:rsid w:val="00F30131"/>
    <w:rsid w:val="00F30A84"/>
    <w:rsid w:val="00F320C2"/>
    <w:rsid w:val="00F32666"/>
    <w:rsid w:val="00F32CA1"/>
    <w:rsid w:val="00F33898"/>
    <w:rsid w:val="00F34739"/>
    <w:rsid w:val="00F362FA"/>
    <w:rsid w:val="00F365E0"/>
    <w:rsid w:val="00F37875"/>
    <w:rsid w:val="00F408BF"/>
    <w:rsid w:val="00F43049"/>
    <w:rsid w:val="00F43148"/>
    <w:rsid w:val="00F4325E"/>
    <w:rsid w:val="00F43315"/>
    <w:rsid w:val="00F4367E"/>
    <w:rsid w:val="00F44778"/>
    <w:rsid w:val="00F44F25"/>
    <w:rsid w:val="00F44F75"/>
    <w:rsid w:val="00F45230"/>
    <w:rsid w:val="00F45D90"/>
    <w:rsid w:val="00F47A01"/>
    <w:rsid w:val="00F50921"/>
    <w:rsid w:val="00F5152A"/>
    <w:rsid w:val="00F51CBE"/>
    <w:rsid w:val="00F537D5"/>
    <w:rsid w:val="00F5405B"/>
    <w:rsid w:val="00F5417A"/>
    <w:rsid w:val="00F55CD8"/>
    <w:rsid w:val="00F56011"/>
    <w:rsid w:val="00F56845"/>
    <w:rsid w:val="00F56E9F"/>
    <w:rsid w:val="00F57059"/>
    <w:rsid w:val="00F57571"/>
    <w:rsid w:val="00F60D85"/>
    <w:rsid w:val="00F61D1E"/>
    <w:rsid w:val="00F62170"/>
    <w:rsid w:val="00F629D1"/>
    <w:rsid w:val="00F63852"/>
    <w:rsid w:val="00F63A38"/>
    <w:rsid w:val="00F63C5E"/>
    <w:rsid w:val="00F63EC1"/>
    <w:rsid w:val="00F64542"/>
    <w:rsid w:val="00F64C64"/>
    <w:rsid w:val="00F650E5"/>
    <w:rsid w:val="00F65321"/>
    <w:rsid w:val="00F65643"/>
    <w:rsid w:val="00F663B8"/>
    <w:rsid w:val="00F6717D"/>
    <w:rsid w:val="00F67B0D"/>
    <w:rsid w:val="00F70ABE"/>
    <w:rsid w:val="00F71A74"/>
    <w:rsid w:val="00F72239"/>
    <w:rsid w:val="00F7226A"/>
    <w:rsid w:val="00F72460"/>
    <w:rsid w:val="00F7247A"/>
    <w:rsid w:val="00F7315C"/>
    <w:rsid w:val="00F73289"/>
    <w:rsid w:val="00F748D4"/>
    <w:rsid w:val="00F75B82"/>
    <w:rsid w:val="00F76FAC"/>
    <w:rsid w:val="00F77A3D"/>
    <w:rsid w:val="00F80AFA"/>
    <w:rsid w:val="00F81352"/>
    <w:rsid w:val="00F82742"/>
    <w:rsid w:val="00F83028"/>
    <w:rsid w:val="00F831D5"/>
    <w:rsid w:val="00F83439"/>
    <w:rsid w:val="00F83DB3"/>
    <w:rsid w:val="00F8542A"/>
    <w:rsid w:val="00F85ABD"/>
    <w:rsid w:val="00F85C21"/>
    <w:rsid w:val="00F87366"/>
    <w:rsid w:val="00F877C8"/>
    <w:rsid w:val="00F87AE4"/>
    <w:rsid w:val="00F90667"/>
    <w:rsid w:val="00F9087F"/>
    <w:rsid w:val="00F90B31"/>
    <w:rsid w:val="00F90C91"/>
    <w:rsid w:val="00F9164C"/>
    <w:rsid w:val="00F91932"/>
    <w:rsid w:val="00F91A1B"/>
    <w:rsid w:val="00F91D38"/>
    <w:rsid w:val="00F92EC1"/>
    <w:rsid w:val="00F935C6"/>
    <w:rsid w:val="00F94279"/>
    <w:rsid w:val="00F94DE8"/>
    <w:rsid w:val="00F95339"/>
    <w:rsid w:val="00F961B7"/>
    <w:rsid w:val="00F96D6C"/>
    <w:rsid w:val="00F97891"/>
    <w:rsid w:val="00FA01E3"/>
    <w:rsid w:val="00FA0BF4"/>
    <w:rsid w:val="00FA159A"/>
    <w:rsid w:val="00FA28C8"/>
    <w:rsid w:val="00FA2AF3"/>
    <w:rsid w:val="00FA37F8"/>
    <w:rsid w:val="00FA50C7"/>
    <w:rsid w:val="00FA5A33"/>
    <w:rsid w:val="00FA5B3F"/>
    <w:rsid w:val="00FA6A56"/>
    <w:rsid w:val="00FA71C4"/>
    <w:rsid w:val="00FA7451"/>
    <w:rsid w:val="00FA7630"/>
    <w:rsid w:val="00FB02C1"/>
    <w:rsid w:val="00FB060E"/>
    <w:rsid w:val="00FB13BB"/>
    <w:rsid w:val="00FB20FC"/>
    <w:rsid w:val="00FB291A"/>
    <w:rsid w:val="00FB5B33"/>
    <w:rsid w:val="00FB724C"/>
    <w:rsid w:val="00FC4498"/>
    <w:rsid w:val="00FC5149"/>
    <w:rsid w:val="00FC668F"/>
    <w:rsid w:val="00FC7153"/>
    <w:rsid w:val="00FD02E6"/>
    <w:rsid w:val="00FD127C"/>
    <w:rsid w:val="00FD2C96"/>
    <w:rsid w:val="00FD3AB4"/>
    <w:rsid w:val="00FD3ECB"/>
    <w:rsid w:val="00FD4119"/>
    <w:rsid w:val="00FD5104"/>
    <w:rsid w:val="00FD5821"/>
    <w:rsid w:val="00FD5DB7"/>
    <w:rsid w:val="00FD5E12"/>
    <w:rsid w:val="00FD6F24"/>
    <w:rsid w:val="00FE0228"/>
    <w:rsid w:val="00FE0F57"/>
    <w:rsid w:val="00FE23A0"/>
    <w:rsid w:val="00FE24DE"/>
    <w:rsid w:val="00FE46D3"/>
    <w:rsid w:val="00FE6162"/>
    <w:rsid w:val="00FE6D66"/>
    <w:rsid w:val="00FE7EFB"/>
    <w:rsid w:val="00FF109D"/>
    <w:rsid w:val="00FF1B96"/>
    <w:rsid w:val="00FF2CDB"/>
    <w:rsid w:val="00FF3A6C"/>
    <w:rsid w:val="00FF4FAA"/>
    <w:rsid w:val="00FF6C0D"/>
    <w:rsid w:val="00FF6EBF"/>
    <w:rsid w:val="00FF6ED7"/>
    <w:rsid w:val="01570AB1"/>
    <w:rsid w:val="01F5DE2E"/>
    <w:rsid w:val="0238F5E2"/>
    <w:rsid w:val="02613C95"/>
    <w:rsid w:val="0277B743"/>
    <w:rsid w:val="02E8FD1E"/>
    <w:rsid w:val="032C99C5"/>
    <w:rsid w:val="036E2E78"/>
    <w:rsid w:val="043865FC"/>
    <w:rsid w:val="04659034"/>
    <w:rsid w:val="04C7CCF1"/>
    <w:rsid w:val="04CFE99F"/>
    <w:rsid w:val="04EC6E0C"/>
    <w:rsid w:val="05AA510B"/>
    <w:rsid w:val="05F24375"/>
    <w:rsid w:val="07A6F04C"/>
    <w:rsid w:val="082FD26D"/>
    <w:rsid w:val="088985A5"/>
    <w:rsid w:val="0893C6F5"/>
    <w:rsid w:val="08958A68"/>
    <w:rsid w:val="08CC69A7"/>
    <w:rsid w:val="09124160"/>
    <w:rsid w:val="09352F3F"/>
    <w:rsid w:val="0A8B47A4"/>
    <w:rsid w:val="0ADF4FFF"/>
    <w:rsid w:val="0AFF1171"/>
    <w:rsid w:val="0B4E4382"/>
    <w:rsid w:val="0D332239"/>
    <w:rsid w:val="0E0969B0"/>
    <w:rsid w:val="0E205DE7"/>
    <w:rsid w:val="0E481BE6"/>
    <w:rsid w:val="0F7A9C3B"/>
    <w:rsid w:val="10C74A0A"/>
    <w:rsid w:val="10FFBFDB"/>
    <w:rsid w:val="112502CF"/>
    <w:rsid w:val="12446762"/>
    <w:rsid w:val="130381D6"/>
    <w:rsid w:val="1354CA6E"/>
    <w:rsid w:val="13D7C82E"/>
    <w:rsid w:val="154C454B"/>
    <w:rsid w:val="156C4723"/>
    <w:rsid w:val="158F0DA8"/>
    <w:rsid w:val="168CFEF6"/>
    <w:rsid w:val="16C8C9CC"/>
    <w:rsid w:val="177C442E"/>
    <w:rsid w:val="17812459"/>
    <w:rsid w:val="17EFCC69"/>
    <w:rsid w:val="1805F94D"/>
    <w:rsid w:val="1852A833"/>
    <w:rsid w:val="18F77C18"/>
    <w:rsid w:val="1A7E35AE"/>
    <w:rsid w:val="1B03F6E3"/>
    <w:rsid w:val="1C996340"/>
    <w:rsid w:val="1D5374FF"/>
    <w:rsid w:val="1DC9948F"/>
    <w:rsid w:val="1F135A89"/>
    <w:rsid w:val="1F50D272"/>
    <w:rsid w:val="1FD5791F"/>
    <w:rsid w:val="211BCBDF"/>
    <w:rsid w:val="21C8299C"/>
    <w:rsid w:val="21E5AF24"/>
    <w:rsid w:val="2309F780"/>
    <w:rsid w:val="23508C0A"/>
    <w:rsid w:val="246BBFC6"/>
    <w:rsid w:val="24A02E26"/>
    <w:rsid w:val="25A9A604"/>
    <w:rsid w:val="2878DB0D"/>
    <w:rsid w:val="28928763"/>
    <w:rsid w:val="29399398"/>
    <w:rsid w:val="29415FF2"/>
    <w:rsid w:val="294254BE"/>
    <w:rsid w:val="29EADB37"/>
    <w:rsid w:val="2ACAD78D"/>
    <w:rsid w:val="2B34B27D"/>
    <w:rsid w:val="2B6D69E2"/>
    <w:rsid w:val="2B9D63E9"/>
    <w:rsid w:val="2C14084B"/>
    <w:rsid w:val="2C375F93"/>
    <w:rsid w:val="2C641E33"/>
    <w:rsid w:val="2CCD77F0"/>
    <w:rsid w:val="2D4BC79B"/>
    <w:rsid w:val="2D891E1A"/>
    <w:rsid w:val="2D9B3B58"/>
    <w:rsid w:val="2DB23456"/>
    <w:rsid w:val="2E852EFE"/>
    <w:rsid w:val="2F9B9433"/>
    <w:rsid w:val="2FD27D73"/>
    <w:rsid w:val="302D035E"/>
    <w:rsid w:val="30900181"/>
    <w:rsid w:val="3125EF71"/>
    <w:rsid w:val="31F5A462"/>
    <w:rsid w:val="32E242C5"/>
    <w:rsid w:val="339CBA37"/>
    <w:rsid w:val="33E928DB"/>
    <w:rsid w:val="348E4DD6"/>
    <w:rsid w:val="34E5A58D"/>
    <w:rsid w:val="35B722E4"/>
    <w:rsid w:val="35C612AA"/>
    <w:rsid w:val="36768861"/>
    <w:rsid w:val="37D7DF9D"/>
    <w:rsid w:val="3823748E"/>
    <w:rsid w:val="3848196A"/>
    <w:rsid w:val="395F74F5"/>
    <w:rsid w:val="3A3126B5"/>
    <w:rsid w:val="3BF3743A"/>
    <w:rsid w:val="3C7F0510"/>
    <w:rsid w:val="3C8BC41C"/>
    <w:rsid w:val="3CA507B6"/>
    <w:rsid w:val="3D69DD3D"/>
    <w:rsid w:val="3E0485B4"/>
    <w:rsid w:val="3EEDE593"/>
    <w:rsid w:val="401C4B56"/>
    <w:rsid w:val="408FB084"/>
    <w:rsid w:val="40B22ECE"/>
    <w:rsid w:val="4118B312"/>
    <w:rsid w:val="4138D285"/>
    <w:rsid w:val="418D4659"/>
    <w:rsid w:val="41A65465"/>
    <w:rsid w:val="42436A6C"/>
    <w:rsid w:val="427BBD48"/>
    <w:rsid w:val="42D00AB9"/>
    <w:rsid w:val="42E3F4E0"/>
    <w:rsid w:val="433E1913"/>
    <w:rsid w:val="4361B20B"/>
    <w:rsid w:val="43E75F8C"/>
    <w:rsid w:val="447599F2"/>
    <w:rsid w:val="45568DE8"/>
    <w:rsid w:val="461C8FC3"/>
    <w:rsid w:val="465D6512"/>
    <w:rsid w:val="484585F4"/>
    <w:rsid w:val="48EABB57"/>
    <w:rsid w:val="49096727"/>
    <w:rsid w:val="492C9862"/>
    <w:rsid w:val="49BEC800"/>
    <w:rsid w:val="4AF501B3"/>
    <w:rsid w:val="4AFED1DF"/>
    <w:rsid w:val="4B19D229"/>
    <w:rsid w:val="4B4140CB"/>
    <w:rsid w:val="4B533BBE"/>
    <w:rsid w:val="4B88B812"/>
    <w:rsid w:val="4B994367"/>
    <w:rsid w:val="4C9C64E7"/>
    <w:rsid w:val="4CDE400F"/>
    <w:rsid w:val="4CF3AEA0"/>
    <w:rsid w:val="4D7D8898"/>
    <w:rsid w:val="4E34F23E"/>
    <w:rsid w:val="4E69C51A"/>
    <w:rsid w:val="4E72A089"/>
    <w:rsid w:val="4E9325A0"/>
    <w:rsid w:val="4F269767"/>
    <w:rsid w:val="4FB6F7E3"/>
    <w:rsid w:val="5105DD80"/>
    <w:rsid w:val="51131B9B"/>
    <w:rsid w:val="51AFA79A"/>
    <w:rsid w:val="521AF86E"/>
    <w:rsid w:val="53A18FA4"/>
    <w:rsid w:val="555A270C"/>
    <w:rsid w:val="5681A81E"/>
    <w:rsid w:val="57CA98F4"/>
    <w:rsid w:val="582270E7"/>
    <w:rsid w:val="5901CB59"/>
    <w:rsid w:val="591B4EE9"/>
    <w:rsid w:val="59F7C743"/>
    <w:rsid w:val="5A825879"/>
    <w:rsid w:val="5AAE39FE"/>
    <w:rsid w:val="5B1078E5"/>
    <w:rsid w:val="5B6EE316"/>
    <w:rsid w:val="5B82E6C2"/>
    <w:rsid w:val="5B85B0C2"/>
    <w:rsid w:val="5C89672F"/>
    <w:rsid w:val="5CB31D03"/>
    <w:rsid w:val="5D6AE7DD"/>
    <w:rsid w:val="5E72B591"/>
    <w:rsid w:val="5F123950"/>
    <w:rsid w:val="5F36712A"/>
    <w:rsid w:val="5F6D9980"/>
    <w:rsid w:val="608B8BA1"/>
    <w:rsid w:val="618FAAC9"/>
    <w:rsid w:val="61A2248A"/>
    <w:rsid w:val="622C7F28"/>
    <w:rsid w:val="62BB21EC"/>
    <w:rsid w:val="637476F7"/>
    <w:rsid w:val="6378A04F"/>
    <w:rsid w:val="64832150"/>
    <w:rsid w:val="6583ED77"/>
    <w:rsid w:val="6653209C"/>
    <w:rsid w:val="668B136C"/>
    <w:rsid w:val="66924414"/>
    <w:rsid w:val="6715F5B8"/>
    <w:rsid w:val="679366A8"/>
    <w:rsid w:val="67A365D3"/>
    <w:rsid w:val="68271486"/>
    <w:rsid w:val="68C57389"/>
    <w:rsid w:val="6A37A9E5"/>
    <w:rsid w:val="6BB8E35C"/>
    <w:rsid w:val="6C34F1E8"/>
    <w:rsid w:val="6C4E1AF8"/>
    <w:rsid w:val="6C8D88ED"/>
    <w:rsid w:val="6D89EB04"/>
    <w:rsid w:val="6E1113E1"/>
    <w:rsid w:val="6E3E17B5"/>
    <w:rsid w:val="6E587969"/>
    <w:rsid w:val="6FA33649"/>
    <w:rsid w:val="7012E903"/>
    <w:rsid w:val="707CAEBF"/>
    <w:rsid w:val="70C333CF"/>
    <w:rsid w:val="70C7DC3E"/>
    <w:rsid w:val="7147FF80"/>
    <w:rsid w:val="71606977"/>
    <w:rsid w:val="723290D1"/>
    <w:rsid w:val="727963A4"/>
    <w:rsid w:val="728947ED"/>
    <w:rsid w:val="73C4134A"/>
    <w:rsid w:val="73DA4899"/>
    <w:rsid w:val="740783A2"/>
    <w:rsid w:val="741FC521"/>
    <w:rsid w:val="7528A713"/>
    <w:rsid w:val="75DDB352"/>
    <w:rsid w:val="76A5C19B"/>
    <w:rsid w:val="77B669CC"/>
    <w:rsid w:val="783841DB"/>
    <w:rsid w:val="7A5E1260"/>
    <w:rsid w:val="7C4A96B2"/>
    <w:rsid w:val="7C6F5769"/>
    <w:rsid w:val="7C71AAAE"/>
    <w:rsid w:val="7CDDC7ED"/>
    <w:rsid w:val="7F9AE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4C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1589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846B0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color w:val="121212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A473A"/>
    <w:pPr>
      <w:keepNext/>
      <w:keepLines/>
      <w:spacing w:before="360" w:line="240" w:lineRule="auto"/>
      <w:outlineLvl w:val="1"/>
    </w:pPr>
    <w:rPr>
      <w:rFonts w:eastAsiaTheme="majorEastAsia" w:cstheme="majorBidi"/>
      <w:b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C4242"/>
    <w:pPr>
      <w:keepNext/>
      <w:keepLines/>
      <w:spacing w:before="280" w:after="200" w:line="240" w:lineRule="auto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80E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1B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61A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01B4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473A"/>
    <w:rPr>
      <w:rFonts w:ascii="Arial" w:eastAsiaTheme="majorEastAsia" w:hAnsi="Arial" w:cstheme="majorBidi"/>
      <w:b/>
      <w:i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846B0"/>
    <w:rPr>
      <w:rFonts w:ascii="Arial" w:eastAsiaTheme="majorEastAsia" w:hAnsi="Arial" w:cstheme="majorBidi"/>
      <w:b/>
      <w:color w:val="121212" w:themeColor="text1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BB7FC7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D0822"/>
    <w:pPr>
      <w:tabs>
        <w:tab w:val="left" w:pos="880"/>
        <w:tab w:val="right" w:leader="dot" w:pos="9016"/>
      </w:tabs>
      <w:spacing w:after="60"/>
      <w:ind w:left="425"/>
    </w:pPr>
  </w:style>
  <w:style w:type="character" w:styleId="Hyperlink">
    <w:name w:val="Hyperlink"/>
    <w:basedOn w:val="DefaultParagraphFont"/>
    <w:uiPriority w:val="99"/>
    <w:unhideWhenUsed/>
    <w:rsid w:val="00EF6B01"/>
    <w:rPr>
      <w:color w:val="2C2568"/>
      <w:u w:val="single"/>
    </w:rPr>
  </w:style>
  <w:style w:type="table" w:styleId="TableGrid">
    <w:name w:val="Table Grid"/>
    <w:basedOn w:val="TableNormal"/>
    <w:uiPriority w:val="59"/>
    <w:rsid w:val="00BB7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B7FC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rsid w:val="004D0AD0"/>
    <w:pPr>
      <w:spacing w:line="240" w:lineRule="auto"/>
    </w:pPr>
    <w:rPr>
      <w:i/>
      <w:iCs/>
      <w:color w:val="2C2568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C4242"/>
    <w:rPr>
      <w:rFonts w:ascii="Arial" w:eastAsiaTheme="majorEastAsia" w:hAnsi="Arial" w:cstheme="majorBidi"/>
      <w:b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7351D5"/>
    <w:pPr>
      <w:spacing w:before="240" w:after="60"/>
      <w:ind w:left="709" w:right="709"/>
    </w:pPr>
    <w:rPr>
      <w:iCs/>
      <w:color w:val="646464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351D5"/>
    <w:rPr>
      <w:iCs/>
      <w:color w:val="646464" w:themeColor="text1" w:themeTint="A6"/>
    </w:rPr>
  </w:style>
  <w:style w:type="paragraph" w:styleId="TOC3">
    <w:name w:val="toc 3"/>
    <w:basedOn w:val="Normal"/>
    <w:next w:val="Normal"/>
    <w:autoRedefine/>
    <w:uiPriority w:val="39"/>
    <w:unhideWhenUsed/>
    <w:rsid w:val="004C24CF"/>
    <w:pPr>
      <w:tabs>
        <w:tab w:val="right" w:leader="dot" w:pos="9016"/>
      </w:tabs>
      <w:spacing w:after="40"/>
      <w:ind w:left="851"/>
    </w:pPr>
  </w:style>
  <w:style w:type="paragraph" w:customStyle="1" w:styleId="Body">
    <w:name w:val="Body"/>
    <w:rsid w:val="00CC3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NZ"/>
    </w:rPr>
  </w:style>
  <w:style w:type="numbering" w:customStyle="1" w:styleId="Dash">
    <w:name w:val="Dash"/>
    <w:rsid w:val="00CC32F3"/>
    <w:pPr>
      <w:numPr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980E85"/>
    <w:rPr>
      <w:rFonts w:asciiTheme="majorHAnsi" w:eastAsiaTheme="majorEastAsia" w:hAnsiTheme="majorHAnsi" w:cstheme="majorBidi"/>
      <w:i/>
      <w:iCs/>
      <w:color w:val="201B4D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E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1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DB7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61A9A"/>
    <w:rPr>
      <w:rFonts w:asciiTheme="majorHAnsi" w:eastAsiaTheme="majorEastAsia" w:hAnsiTheme="majorHAnsi" w:cstheme="majorBidi"/>
      <w:color w:val="201B4D" w:themeColor="accent1" w:themeShade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45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45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45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92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E7"/>
  </w:style>
  <w:style w:type="paragraph" w:styleId="Footer">
    <w:name w:val="footer"/>
    <w:basedOn w:val="Normal"/>
    <w:link w:val="FooterChar"/>
    <w:uiPriority w:val="99"/>
    <w:unhideWhenUsed/>
    <w:rsid w:val="00792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E7"/>
  </w:style>
  <w:style w:type="paragraph" w:styleId="Revision">
    <w:name w:val="Revision"/>
    <w:hidden/>
    <w:uiPriority w:val="99"/>
    <w:semiHidden/>
    <w:rsid w:val="00356454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851905"/>
    <w:pPr>
      <w:ind w:left="720"/>
    </w:pPr>
  </w:style>
  <w:style w:type="paragraph" w:styleId="ListContinue">
    <w:name w:val="List Continue"/>
    <w:basedOn w:val="Normal"/>
    <w:uiPriority w:val="99"/>
    <w:unhideWhenUsed/>
    <w:rsid w:val="002665C5"/>
    <w:pPr>
      <w:ind w:left="283"/>
      <w:contextualSpacing/>
    </w:pPr>
  </w:style>
  <w:style w:type="paragraph" w:styleId="List">
    <w:name w:val="List"/>
    <w:basedOn w:val="Normal"/>
    <w:uiPriority w:val="99"/>
    <w:unhideWhenUsed/>
    <w:rsid w:val="00FD5821"/>
    <w:pPr>
      <w:ind w:left="283" w:hanging="283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4C24CF"/>
    <w:pPr>
      <w:tabs>
        <w:tab w:val="left" w:pos="425"/>
      </w:tabs>
      <w:spacing w:after="100"/>
    </w:pPr>
  </w:style>
  <w:style w:type="paragraph" w:styleId="ListBullet">
    <w:name w:val="List Bullet"/>
    <w:basedOn w:val="Normal"/>
    <w:link w:val="ListBulletChar"/>
    <w:uiPriority w:val="99"/>
    <w:unhideWhenUsed/>
    <w:rsid w:val="00205AD6"/>
    <w:pPr>
      <w:numPr>
        <w:numId w:val="16"/>
      </w:numPr>
      <w:contextualSpacing/>
    </w:pPr>
  </w:style>
  <w:style w:type="paragraph" w:styleId="ListNumber">
    <w:name w:val="List Number"/>
    <w:basedOn w:val="Normal"/>
    <w:uiPriority w:val="99"/>
    <w:unhideWhenUsed/>
    <w:rsid w:val="00A54CFC"/>
    <w:pPr>
      <w:numPr>
        <w:numId w:val="17"/>
      </w:numPr>
      <w:contextualSpacing/>
    </w:pPr>
  </w:style>
  <w:style w:type="paragraph" w:styleId="BodyText">
    <w:name w:val="Body Text"/>
    <w:basedOn w:val="Normal"/>
    <w:link w:val="BodyTextChar"/>
    <w:uiPriority w:val="1"/>
    <w:rsid w:val="007E0634"/>
    <w:pPr>
      <w:widowControl w:val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E0634"/>
    <w:rPr>
      <w:rFonts w:ascii="Arial" w:eastAsia="Arial" w:hAnsi="Arial" w:cs="Arial"/>
    </w:rPr>
  </w:style>
  <w:style w:type="paragraph" w:customStyle="1" w:styleId="Figuretableheading">
    <w:name w:val="Figure table heading"/>
    <w:basedOn w:val="Normal"/>
    <w:link w:val="FiguretableheadingChar"/>
    <w:rsid w:val="006A473A"/>
    <w:rPr>
      <w:rFonts w:cs="Arial"/>
      <w:b/>
    </w:rPr>
  </w:style>
  <w:style w:type="character" w:customStyle="1" w:styleId="FiguretableheadingChar">
    <w:name w:val="Figure table heading Char"/>
    <w:basedOn w:val="DefaultParagraphFont"/>
    <w:link w:val="Figuretableheading"/>
    <w:rsid w:val="006A473A"/>
    <w:rPr>
      <w:rFonts w:ascii="Arial" w:hAnsi="Arial" w:cs="Arial"/>
      <w:b/>
    </w:rPr>
  </w:style>
  <w:style w:type="paragraph" w:customStyle="1" w:styleId="Bullets">
    <w:name w:val="Bullets"/>
    <w:basedOn w:val="ListBullet"/>
    <w:link w:val="BulletsChar"/>
    <w:rsid w:val="008D7ACA"/>
    <w:pPr>
      <w:spacing w:after="60"/>
      <w:ind w:left="357" w:hanging="357"/>
      <w:contextualSpacing w:val="0"/>
    </w:pPr>
    <w:rPr>
      <w:rFonts w:cs="Arial"/>
    </w:rPr>
  </w:style>
  <w:style w:type="character" w:customStyle="1" w:styleId="ListBulletChar">
    <w:name w:val="List Bullet Char"/>
    <w:basedOn w:val="DefaultParagraphFont"/>
    <w:link w:val="ListBullet"/>
    <w:uiPriority w:val="99"/>
    <w:rsid w:val="008D7ACA"/>
    <w:rPr>
      <w:rFonts w:ascii="Arial" w:hAnsi="Arial"/>
    </w:rPr>
  </w:style>
  <w:style w:type="character" w:customStyle="1" w:styleId="BulletsChar">
    <w:name w:val="Bullets Char"/>
    <w:basedOn w:val="ListBulletChar"/>
    <w:link w:val="Bullets"/>
    <w:rsid w:val="008D7ACA"/>
    <w:rPr>
      <w:rFonts w:ascii="Arial" w:hAnsi="Arial" w:cs="Arial"/>
    </w:rPr>
  </w:style>
  <w:style w:type="paragraph" w:customStyle="1" w:styleId="HQSChead1">
    <w:name w:val="HQSC head 1"/>
    <w:basedOn w:val="Heading1"/>
    <w:qFormat/>
    <w:rsid w:val="00EF6B01"/>
    <w:rPr>
      <w:rFonts w:cs="Arial"/>
      <w:color w:val="2C2568"/>
    </w:rPr>
  </w:style>
  <w:style w:type="paragraph" w:customStyle="1" w:styleId="HQSCbodytext">
    <w:name w:val="HQSC body text"/>
    <w:basedOn w:val="Normal"/>
    <w:qFormat/>
    <w:rsid w:val="00D8248F"/>
    <w:rPr>
      <w:rFonts w:cs="Arial"/>
    </w:rPr>
  </w:style>
  <w:style w:type="paragraph" w:customStyle="1" w:styleId="HQSCbullets">
    <w:name w:val="HQSC bullets"/>
    <w:basedOn w:val="Bullets"/>
    <w:qFormat/>
    <w:rsid w:val="00792E41"/>
    <w:pPr>
      <w:ind w:left="360" w:hanging="360"/>
    </w:pPr>
  </w:style>
  <w:style w:type="paragraph" w:customStyle="1" w:styleId="HQSCindentedquote">
    <w:name w:val="HQSC indented quote"/>
    <w:basedOn w:val="Quote"/>
    <w:qFormat/>
    <w:rsid w:val="009B60E1"/>
    <w:rPr>
      <w:rFonts w:cs="Arial"/>
      <w:color w:val="auto"/>
    </w:rPr>
  </w:style>
  <w:style w:type="paragraph" w:customStyle="1" w:styleId="HQSCsource">
    <w:name w:val="HQSC source"/>
    <w:basedOn w:val="NormalIndent"/>
    <w:qFormat/>
    <w:rsid w:val="00792E41"/>
    <w:rPr>
      <w:rFonts w:cs="Arial"/>
    </w:rPr>
  </w:style>
  <w:style w:type="paragraph" w:customStyle="1" w:styleId="HQSChead2">
    <w:name w:val="HQSC head 2"/>
    <w:basedOn w:val="Heading2"/>
    <w:qFormat/>
    <w:rsid w:val="00EF6B01"/>
    <w:rPr>
      <w:rFonts w:cs="Arial"/>
      <w:i w:val="0"/>
      <w:color w:val="2C2568"/>
    </w:rPr>
  </w:style>
  <w:style w:type="paragraph" w:customStyle="1" w:styleId="HQSChead3">
    <w:name w:val="HQSC head 3"/>
    <w:basedOn w:val="Heading3"/>
    <w:qFormat/>
    <w:rsid w:val="00792E41"/>
    <w:rPr>
      <w:rFonts w:cs="Arial"/>
    </w:rPr>
  </w:style>
  <w:style w:type="paragraph" w:customStyle="1" w:styleId="HQSCtablefigurecaption">
    <w:name w:val="HQSC table/figure caption"/>
    <w:basedOn w:val="Figuretableheading"/>
    <w:qFormat/>
    <w:rsid w:val="00792E41"/>
  </w:style>
  <w:style w:type="paragraph" w:customStyle="1" w:styleId="HQSCtablecolumnhead">
    <w:name w:val="HQSC table column head"/>
    <w:basedOn w:val="Normal"/>
    <w:qFormat/>
    <w:rsid w:val="00792E41"/>
    <w:pPr>
      <w:framePr w:hSpace="180" w:wrap="around" w:vAnchor="text" w:hAnchor="margin" w:y="2"/>
      <w:spacing w:before="60" w:after="60" w:line="240" w:lineRule="auto"/>
    </w:pPr>
    <w:rPr>
      <w:rFonts w:cs="Arial"/>
      <w:b/>
    </w:rPr>
  </w:style>
  <w:style w:type="paragraph" w:customStyle="1" w:styleId="HQSCtablecontent">
    <w:name w:val="HQSC table content"/>
    <w:basedOn w:val="Normal"/>
    <w:qFormat/>
    <w:rsid w:val="00792E41"/>
    <w:pPr>
      <w:framePr w:hSpace="180" w:wrap="around" w:vAnchor="text" w:hAnchor="margin" w:y="2"/>
      <w:spacing w:before="60" w:after="60" w:line="240" w:lineRule="auto"/>
    </w:pPr>
    <w:rPr>
      <w:rFonts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9B60E1"/>
    <w:rPr>
      <w:color w:val="605E5C"/>
      <w:shd w:val="clear" w:color="auto" w:fill="E1DFDD"/>
    </w:rPr>
  </w:style>
  <w:style w:type="table" w:customStyle="1" w:styleId="TeThHauoratable">
    <w:name w:val="Te Tāhū Hauora table"/>
    <w:basedOn w:val="TableNormal"/>
    <w:uiPriority w:val="99"/>
    <w:rsid w:val="004D6696"/>
    <w:pPr>
      <w:spacing w:after="0" w:line="240" w:lineRule="auto"/>
    </w:pPr>
    <w:rPr>
      <w:rFonts w:ascii="Arial" w:hAnsi="Arial"/>
    </w:rPr>
    <w:tblPr/>
  </w:style>
  <w:style w:type="paragraph" w:styleId="Subtitle">
    <w:name w:val="Subtitle"/>
    <w:basedOn w:val="Normal"/>
    <w:next w:val="Normal"/>
    <w:link w:val="SubtitleChar"/>
    <w:uiPriority w:val="11"/>
    <w:rsid w:val="007653D8"/>
    <w:pPr>
      <w:numPr>
        <w:ilvl w:val="1"/>
      </w:numPr>
      <w:spacing w:after="160"/>
    </w:pPr>
    <w:rPr>
      <w:rFonts w:asciiTheme="minorHAnsi" w:eastAsiaTheme="minorEastAsia" w:hAnsiTheme="minorHAnsi"/>
      <w:color w:val="656565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653D8"/>
    <w:rPr>
      <w:rFonts w:eastAsiaTheme="minorEastAsia"/>
      <w:color w:val="656565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DC6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536057"/>
    <w:rPr>
      <w:color w:val="2C2568" w:themeColor="followedHyperlink"/>
      <w:u w:val="single"/>
    </w:rPr>
  </w:style>
  <w:style w:type="paragraph" w:customStyle="1" w:styleId="TeThHauorabodytext">
    <w:name w:val="Te Tāhū Hauora body text"/>
    <w:basedOn w:val="Normal"/>
    <w:qFormat/>
    <w:rsid w:val="00536057"/>
    <w:rPr>
      <w:rFonts w:cs="Arial"/>
    </w:rPr>
  </w:style>
  <w:style w:type="character" w:styleId="Mention">
    <w:name w:val="Mention"/>
    <w:basedOn w:val="DefaultParagraphFont"/>
    <w:uiPriority w:val="99"/>
    <w:unhideWhenUsed/>
    <w:rsid w:val="00B116D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sv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otago.ac.nz/wellington/departments/publichealth/research-groups-in-the-department-of-public-health/hirp/socioeconomic-deprivation-indexes" TargetMode="External"/><Relationship Id="rId17" Type="http://schemas.openxmlformats.org/officeDocument/2006/relationships/image" Target="media/image9.svg"/><Relationship Id="rId25" Type="http://schemas.openxmlformats.org/officeDocument/2006/relationships/image" Target="media/image17.sv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://www.hqsc.govt.n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tewhatuora.govt.nz/for-health-professionals/data-and-statistics/maternity/report-on-maternity-web-tool" TargetMode="External"/><Relationship Id="rId23" Type="http://schemas.openxmlformats.org/officeDocument/2006/relationships/image" Target="media/image15.svg"/><Relationship Id="rId28" Type="http://schemas.openxmlformats.org/officeDocument/2006/relationships/hyperlink" Target="mailto:info@hqsc.govt.nz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1.sv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7.svg"/><Relationship Id="rId22" Type="http://schemas.openxmlformats.org/officeDocument/2006/relationships/image" Target="media/image14.png"/><Relationship Id="rId27" Type="http://schemas.openxmlformats.org/officeDocument/2006/relationships/image" Target="media/image19.svg"/><Relationship Id="rId30" Type="http://schemas.openxmlformats.org/officeDocument/2006/relationships/hyperlink" Target="mailto:info@hqsc.govt.nz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Te Tāhū Hauora">
      <a:dk1>
        <a:srgbClr val="121212"/>
      </a:dk1>
      <a:lt1>
        <a:srgbClr val="FFFFFF"/>
      </a:lt1>
      <a:dk2>
        <a:srgbClr val="2C2568"/>
      </a:dk2>
      <a:lt2>
        <a:srgbClr val="E8E5E5"/>
      </a:lt2>
      <a:accent1>
        <a:srgbClr val="2C2568"/>
      </a:accent1>
      <a:accent2>
        <a:srgbClr val="107383"/>
      </a:accent2>
      <a:accent3>
        <a:srgbClr val="37B0A8"/>
      </a:accent3>
      <a:accent4>
        <a:srgbClr val="904281"/>
      </a:accent4>
      <a:accent5>
        <a:srgbClr val="BB7CB3"/>
      </a:accent5>
      <a:accent6>
        <a:srgbClr val="FF4F2D"/>
      </a:accent6>
      <a:hlink>
        <a:srgbClr val="2C2568"/>
      </a:hlink>
      <a:folHlink>
        <a:srgbClr val="2C25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1cefdf-35f4-4444-8638-55f0e12ab1c4}" enabled="0" method="" siteId="{701cefdf-35f4-4444-8638-55f0e12ab1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2062</Words>
  <Characters>10664</Characters>
  <Application>Microsoft Office Word</Application>
  <DocSecurity>0</DocSecurity>
  <Lines>273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Links>
    <vt:vector size="60" baseType="variant">
      <vt:variant>
        <vt:i4>7995403</vt:i4>
      </vt:variant>
      <vt:variant>
        <vt:i4>12</vt:i4>
      </vt:variant>
      <vt:variant>
        <vt:i4>0</vt:i4>
      </vt:variant>
      <vt:variant>
        <vt:i4>5</vt:i4>
      </vt:variant>
      <vt:variant>
        <vt:lpwstr>mailto:info@hqsc.govt.nz</vt:lpwstr>
      </vt:variant>
      <vt:variant>
        <vt:lpwstr/>
      </vt:variant>
      <vt:variant>
        <vt:i4>4456455</vt:i4>
      </vt:variant>
      <vt:variant>
        <vt:i4>9</vt:i4>
      </vt:variant>
      <vt:variant>
        <vt:i4>0</vt:i4>
      </vt:variant>
      <vt:variant>
        <vt:i4>5</vt:i4>
      </vt:variant>
      <vt:variant>
        <vt:lpwstr>http://www.hqsc.govt.nz/</vt:lpwstr>
      </vt:variant>
      <vt:variant>
        <vt:lpwstr/>
      </vt:variant>
      <vt:variant>
        <vt:i4>7667722</vt:i4>
      </vt:variant>
      <vt:variant>
        <vt:i4>6</vt:i4>
      </vt:variant>
      <vt:variant>
        <vt:i4>0</vt:i4>
      </vt:variant>
      <vt:variant>
        <vt:i4>5</vt:i4>
      </vt:variant>
      <vt:variant>
        <vt:lpwstr>mailto:XXXX@hqsc.govt.nz</vt:lpwstr>
      </vt:variant>
      <vt:variant>
        <vt:lpwstr/>
      </vt:variant>
      <vt:variant>
        <vt:i4>3014700</vt:i4>
      </vt:variant>
      <vt:variant>
        <vt:i4>3</vt:i4>
      </vt:variant>
      <vt:variant>
        <vt:i4>0</vt:i4>
      </vt:variant>
      <vt:variant>
        <vt:i4>5</vt:i4>
      </vt:variant>
      <vt:variant>
        <vt:lpwstr>https://www.tewhatuora.govt.nz/for-health-professionals/data-and-statistics/maternity/report-on-maternity-web-tool</vt:lpwstr>
      </vt:variant>
      <vt:variant>
        <vt:lpwstr/>
      </vt:variant>
      <vt:variant>
        <vt:i4>1507407</vt:i4>
      </vt:variant>
      <vt:variant>
        <vt:i4>0</vt:i4>
      </vt:variant>
      <vt:variant>
        <vt:i4>0</vt:i4>
      </vt:variant>
      <vt:variant>
        <vt:i4>5</vt:i4>
      </vt:variant>
      <vt:variant>
        <vt:lpwstr>https://www.otago.ac.nz/wellington/departments/publichealth/research-groups-in-the-department-of-public-health/hirp/socioeconomic-deprivation-indexes</vt:lpwstr>
      </vt:variant>
      <vt:variant>
        <vt:lpwstr/>
      </vt:variant>
      <vt:variant>
        <vt:i4>7077983</vt:i4>
      </vt:variant>
      <vt:variant>
        <vt:i4>12</vt:i4>
      </vt:variant>
      <vt:variant>
        <vt:i4>0</vt:i4>
      </vt:variant>
      <vt:variant>
        <vt:i4>5</vt:i4>
      </vt:variant>
      <vt:variant>
        <vt:lpwstr>mailto:Don.Matheson@hqsc.govt.nz</vt:lpwstr>
      </vt:variant>
      <vt:variant>
        <vt:lpwstr/>
      </vt:variant>
      <vt:variant>
        <vt:i4>5898340</vt:i4>
      </vt:variant>
      <vt:variant>
        <vt:i4>9</vt:i4>
      </vt:variant>
      <vt:variant>
        <vt:i4>0</vt:i4>
      </vt:variant>
      <vt:variant>
        <vt:i4>5</vt:i4>
      </vt:variant>
      <vt:variant>
        <vt:lpwstr>mailto:Sarah.Rendall@hqsc.govt.nz</vt:lpwstr>
      </vt:variant>
      <vt:variant>
        <vt:lpwstr/>
      </vt:variant>
      <vt:variant>
        <vt:i4>65571</vt:i4>
      </vt:variant>
      <vt:variant>
        <vt:i4>6</vt:i4>
      </vt:variant>
      <vt:variant>
        <vt:i4>0</vt:i4>
      </vt:variant>
      <vt:variant>
        <vt:i4>5</vt:i4>
      </vt:variant>
      <vt:variant>
        <vt:lpwstr>mailto:Jane.Adam@hqsc.govt.nz</vt:lpwstr>
      </vt:variant>
      <vt:variant>
        <vt:lpwstr/>
      </vt:variant>
      <vt:variant>
        <vt:i4>7077983</vt:i4>
      </vt:variant>
      <vt:variant>
        <vt:i4>3</vt:i4>
      </vt:variant>
      <vt:variant>
        <vt:i4>0</vt:i4>
      </vt:variant>
      <vt:variant>
        <vt:i4>5</vt:i4>
      </vt:variant>
      <vt:variant>
        <vt:lpwstr>mailto:Don.Matheson@hqsc.govt.nz</vt:lpwstr>
      </vt:variant>
      <vt:variant>
        <vt:lpwstr/>
      </vt:variant>
      <vt:variant>
        <vt:i4>65571</vt:i4>
      </vt:variant>
      <vt:variant>
        <vt:i4>0</vt:i4>
      </vt:variant>
      <vt:variant>
        <vt:i4>0</vt:i4>
      </vt:variant>
      <vt:variant>
        <vt:i4>5</vt:i4>
      </vt:variant>
      <vt:variant>
        <vt:lpwstr>mailto:Jane.Adam@hqsc.govt.nz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2026-01-23T00:38:00Z</dcterms:created>
  <dcterms:modified xsi:type="dcterms:W3CDTF">2026-01-23T00:38:00Z</dcterms:modified>
</cp:coreProperties>
</file>