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EE0C" w14:textId="07B5CD1A" w:rsidR="00AF2B00" w:rsidRDefault="001C488E" w:rsidP="00401432">
      <w:r>
        <w:t xml:space="preserve">Improving trauma care for </w:t>
      </w:r>
      <w:r w:rsidR="00AF2B00">
        <w:t>critically bleeding patients.</w:t>
      </w:r>
    </w:p>
    <w:p w14:paraId="4C0D10C6" w14:textId="1501B184" w:rsidR="00AF2B00" w:rsidRPr="00AF2B00" w:rsidRDefault="00AF2B00"/>
    <w:p w14:paraId="3DFEE6D6" w14:textId="58D90538" w:rsidR="00A514C9" w:rsidRDefault="00282696">
      <w:r>
        <w:t xml:space="preserve">The Health Quality and Safety Commission (Commission) and National Trauma Network (Network) partnered to </w:t>
      </w:r>
      <w:r w:rsidR="00C14842">
        <w:t xml:space="preserve">lead the development of a </w:t>
      </w:r>
      <w:r w:rsidR="00DB3B95">
        <w:t>bundle of care</w:t>
      </w:r>
      <w:r w:rsidR="003041B8" w:rsidRPr="003041B8">
        <w:rPr>
          <w:vertAlign w:val="superscript"/>
        </w:rPr>
        <w:t>1</w:t>
      </w:r>
      <w:r w:rsidR="00C14842">
        <w:t xml:space="preserve"> for clinical staff to </w:t>
      </w:r>
      <w:r w:rsidR="00FB0868">
        <w:t>manage the care of</w:t>
      </w:r>
      <w:r w:rsidR="00C14842">
        <w:t xml:space="preserve"> critically haemorrhaging trauma patients. </w:t>
      </w:r>
      <w:r w:rsidR="00EA247C">
        <w:t xml:space="preserve">The bundle aims to </w:t>
      </w:r>
      <w:r w:rsidR="008669F7">
        <w:t>improve the treatment</w:t>
      </w:r>
      <w:r w:rsidR="00EA247C">
        <w:t xml:space="preserve"> of </w:t>
      </w:r>
      <w:r w:rsidR="00EC210B">
        <w:t xml:space="preserve">traumatic </w:t>
      </w:r>
      <w:r w:rsidR="00EA247C">
        <w:t xml:space="preserve">haemorrhage and eliminate avoidable deaths. </w:t>
      </w:r>
    </w:p>
    <w:p w14:paraId="7BED9A60" w14:textId="18AA2032" w:rsidR="00B15B0B" w:rsidRDefault="00B15B0B">
      <w:r>
        <w:t xml:space="preserve">This work was led by an expert advisory group, supported by evidence-based practices and designed to be adaptable for local services with varying resource access. </w:t>
      </w:r>
    </w:p>
    <w:p w14:paraId="3D6ED58D" w14:textId="43D78CB3" w:rsidR="00EA247C" w:rsidRDefault="00EA247C">
      <w:r>
        <w:t>Since the release of the bundle of care (</w:t>
      </w:r>
      <w:r w:rsidR="00EE49DC">
        <w:t xml:space="preserve">national </w:t>
      </w:r>
      <w:r>
        <w:t xml:space="preserve">guidance and massive transfusion protocol), the Commission </w:t>
      </w:r>
      <w:r w:rsidR="00063A6E">
        <w:t xml:space="preserve">assisted </w:t>
      </w:r>
      <w:r>
        <w:t>six hospital</w:t>
      </w:r>
      <w:r w:rsidR="00063A6E">
        <w:t>s in their uptake</w:t>
      </w:r>
      <w:r w:rsidR="00EE49DC">
        <w:t xml:space="preserve"> for improvements in their local services</w:t>
      </w:r>
      <w:r>
        <w:t>. These six hospitals were: Hawkes Bay, Nelson, Palmerston North, Tauranga, Timaru</w:t>
      </w:r>
      <w:r w:rsidR="00681E37">
        <w:t>,</w:t>
      </w:r>
      <w:r>
        <w:t xml:space="preserve"> and Whangarei.  </w:t>
      </w:r>
    </w:p>
    <w:p w14:paraId="2A3E2F39" w14:textId="4A38B399" w:rsidR="004470B9" w:rsidRDefault="004470B9">
      <w:r>
        <w:t>The six site visits have demonstra</w:t>
      </w:r>
      <w:r w:rsidR="00CC40CF">
        <w:t>ted</w:t>
      </w:r>
      <w:r>
        <w:t xml:space="preserve"> common strengths and challenges, </w:t>
      </w:r>
      <w:r w:rsidR="1613A76D">
        <w:t xml:space="preserve">and </w:t>
      </w:r>
      <w:r w:rsidR="5CBB3E8D">
        <w:t>highlighted</w:t>
      </w:r>
      <w:r w:rsidR="1613A76D">
        <w:t xml:space="preserve"> opportunities to improve the care of </w:t>
      </w:r>
      <w:r w:rsidR="7E04EC97">
        <w:t xml:space="preserve">critically bleeding </w:t>
      </w:r>
      <w:r w:rsidR="1613A76D">
        <w:t>patients</w:t>
      </w:r>
      <w:r w:rsidR="272EF5A3">
        <w:t xml:space="preserve"> across a range of service provision levels</w:t>
      </w:r>
      <w:r w:rsidR="1613A76D">
        <w:t xml:space="preserve"> </w:t>
      </w:r>
      <w:r>
        <w:t>that can be shared wider to other services</w:t>
      </w:r>
      <w:r w:rsidR="61A67849">
        <w:t xml:space="preserve"> nationwide.</w:t>
      </w:r>
    </w:p>
    <w:p w14:paraId="5C14DBF1" w14:textId="13631A81" w:rsidR="00126AC0" w:rsidRDefault="00C85347" w:rsidP="00126AC0">
      <w:pPr>
        <w:rPr>
          <w:b/>
          <w:bCs/>
          <w:i/>
          <w:iCs/>
        </w:rPr>
      </w:pPr>
      <w:r>
        <w:rPr>
          <w:b/>
          <w:bCs/>
          <w:i/>
          <w:iCs/>
        </w:rPr>
        <w:t>Pre-hospital activation</w:t>
      </w:r>
    </w:p>
    <w:p w14:paraId="0E030302" w14:textId="79309499" w:rsidR="00ED4263" w:rsidRDefault="00ED4263" w:rsidP="00ED4263">
      <w:r>
        <w:t xml:space="preserve">The guidance </w:t>
      </w:r>
      <w:r w:rsidR="00D97894">
        <w:t>recommends a</w:t>
      </w:r>
      <w:r w:rsidR="541ADDEB">
        <w:t xml:space="preserve">n </w:t>
      </w:r>
      <w:r w:rsidR="008669F7">
        <w:t>integrated</w:t>
      </w:r>
      <w:r w:rsidR="00A56DBC">
        <w:t xml:space="preserve"> </w:t>
      </w:r>
      <w:r>
        <w:t xml:space="preserve">pathway of patient movement from </w:t>
      </w:r>
      <w:r w:rsidR="001C1165">
        <w:t xml:space="preserve">the site of </w:t>
      </w:r>
      <w:r>
        <w:t xml:space="preserve">injury to </w:t>
      </w:r>
      <w:r w:rsidR="001C1165">
        <w:t xml:space="preserve">definitive </w:t>
      </w:r>
      <w:r>
        <w:t>haemorrhage control in an operating room or radiology suite.</w:t>
      </w:r>
      <w:r w:rsidR="00D97894">
        <w:t xml:space="preserve"> </w:t>
      </w:r>
      <w:r w:rsidR="0027422A">
        <w:t xml:space="preserve">All hospitals supported this view and </w:t>
      </w:r>
      <w:r w:rsidR="4B8718F7">
        <w:t>insight from various</w:t>
      </w:r>
      <w:r w:rsidR="0026433F">
        <w:t xml:space="preserve"> members of</w:t>
      </w:r>
      <w:r w:rsidR="0027422A">
        <w:t xml:space="preserve"> </w:t>
      </w:r>
      <w:r w:rsidR="005179E3">
        <w:t>multidisciplinary teams</w:t>
      </w:r>
      <w:r w:rsidR="0009780F">
        <w:t xml:space="preserve"> was included</w:t>
      </w:r>
      <w:r w:rsidR="262FB52C">
        <w:t xml:space="preserve"> when working</w:t>
      </w:r>
      <w:r w:rsidR="005179E3">
        <w:t xml:space="preserve"> with </w:t>
      </w:r>
      <w:r w:rsidR="262FB52C">
        <w:t>the Commission to</w:t>
      </w:r>
      <w:r w:rsidR="1F0D92AE">
        <w:t xml:space="preserve"> optimis</w:t>
      </w:r>
      <w:r w:rsidR="5CB143F9">
        <w:t>e</w:t>
      </w:r>
      <w:r w:rsidR="005179E3">
        <w:t xml:space="preserve"> this</w:t>
      </w:r>
      <w:r w:rsidR="0027422A">
        <w:t xml:space="preserve"> </w:t>
      </w:r>
      <w:r w:rsidR="005179E3">
        <w:t>pathway</w:t>
      </w:r>
      <w:r w:rsidR="0A2BFE29">
        <w:t xml:space="preserve"> within their service.</w:t>
      </w:r>
      <w:r w:rsidR="5F9F0C21">
        <w:t xml:space="preserve"> The term ‘Code Crimson’ is used throughout the guidance to </w:t>
      </w:r>
      <w:r w:rsidR="3552495A">
        <w:t>refer to this</w:t>
      </w:r>
      <w:r w:rsidR="5F9F0C21">
        <w:t xml:space="preserve"> recommended </w:t>
      </w:r>
      <w:r w:rsidR="0009780F">
        <w:t>integrated</w:t>
      </w:r>
      <w:r w:rsidR="5F9F0C21">
        <w:t xml:space="preserve"> care pathway.</w:t>
      </w:r>
    </w:p>
    <w:p w14:paraId="625A27DD" w14:textId="1B09F829" w:rsidR="00A61EAA" w:rsidRDefault="0092114D" w:rsidP="00126AC0">
      <w:r>
        <w:t xml:space="preserve">An </w:t>
      </w:r>
      <w:r w:rsidR="48295F3A">
        <w:t>early</w:t>
      </w:r>
      <w:r>
        <w:t xml:space="preserve"> communication link between pre-hospital staff and </w:t>
      </w:r>
      <w:r w:rsidR="68ABBA13">
        <w:t>the</w:t>
      </w:r>
      <w:r>
        <w:t xml:space="preserve"> emergency department</w:t>
      </w:r>
      <w:r w:rsidR="001E0F53">
        <w:t xml:space="preserve"> (ED)</w:t>
      </w:r>
      <w:r>
        <w:t xml:space="preserve"> </w:t>
      </w:r>
      <w:r w:rsidR="0E3EE804">
        <w:t>i</w:t>
      </w:r>
      <w:r>
        <w:t>s paramount</w:t>
      </w:r>
      <w:r w:rsidR="5321F133">
        <w:t xml:space="preserve"> to minimise system delays</w:t>
      </w:r>
      <w:r>
        <w:t>.</w:t>
      </w:r>
      <w:r w:rsidR="281750AA">
        <w:t xml:space="preserve"> </w:t>
      </w:r>
      <w:r w:rsidR="4F179FD6">
        <w:t>P</w:t>
      </w:r>
      <w:r w:rsidR="00296220">
        <w:t xml:space="preserve">re-hospital </w:t>
      </w:r>
      <w:r w:rsidR="55920AD9">
        <w:t>C</w:t>
      </w:r>
      <w:r w:rsidR="00296220">
        <w:t xml:space="preserve">ode </w:t>
      </w:r>
      <w:r w:rsidR="20711D2D">
        <w:t>C</w:t>
      </w:r>
      <w:r w:rsidR="00296220">
        <w:t>rimson activation</w:t>
      </w:r>
      <w:r w:rsidR="4A442EB3">
        <w:t xml:space="preserve"> is not </w:t>
      </w:r>
      <w:r w:rsidR="79CD51CC">
        <w:t>yet embedded into clinical practice</w:t>
      </w:r>
      <w:r w:rsidR="00296220">
        <w:t xml:space="preserve">, and all </w:t>
      </w:r>
      <w:r w:rsidR="00C6529B">
        <w:t>services</w:t>
      </w:r>
      <w:r w:rsidR="393A47F6">
        <w:t xml:space="preserve"> expressed enthusiasm in working with the ambulance sector to formalise this process in future</w:t>
      </w:r>
      <w:r w:rsidR="00296220">
        <w:t xml:space="preserve">. </w:t>
      </w:r>
      <w:r w:rsidR="0080041D">
        <w:t xml:space="preserve">The </w:t>
      </w:r>
      <w:r w:rsidR="00296220">
        <w:t xml:space="preserve">early identification of </w:t>
      </w:r>
      <w:r w:rsidR="3098637A">
        <w:t>C</w:t>
      </w:r>
      <w:r w:rsidR="00296220">
        <w:t xml:space="preserve">ode </w:t>
      </w:r>
      <w:r w:rsidR="16B74767">
        <w:t>C</w:t>
      </w:r>
      <w:r w:rsidR="00296220">
        <w:t xml:space="preserve">rimson patients, </w:t>
      </w:r>
      <w:r w:rsidR="00AC0DA6">
        <w:t xml:space="preserve">based on </w:t>
      </w:r>
      <w:r w:rsidR="00C6529B">
        <w:t xml:space="preserve">an </w:t>
      </w:r>
      <w:r w:rsidR="00AC0DA6">
        <w:t>agreed criteria</w:t>
      </w:r>
      <w:r w:rsidR="000244A3">
        <w:t xml:space="preserve"> (</w:t>
      </w:r>
      <w:r w:rsidR="766E3F50">
        <w:t>the assessment of blood consumption (</w:t>
      </w:r>
      <w:r w:rsidR="000244A3">
        <w:t>ABC</w:t>
      </w:r>
      <w:r w:rsidR="7A05972C">
        <w:t>)</w:t>
      </w:r>
      <w:r w:rsidR="000244A3">
        <w:t xml:space="preserve"> score)</w:t>
      </w:r>
      <w:r w:rsidR="3FA43E6E">
        <w:t xml:space="preserve">, </w:t>
      </w:r>
      <w:r w:rsidR="0080041D">
        <w:t>w</w:t>
      </w:r>
      <w:r w:rsidR="75E60B6C">
        <w:t xml:space="preserve">ould trigger process steps aimed at reducing delays. This </w:t>
      </w:r>
      <w:r w:rsidR="3C27A868">
        <w:t>includes</w:t>
      </w:r>
      <w:r w:rsidR="0080041D">
        <w:t xml:space="preserve"> early notification to </w:t>
      </w:r>
      <w:r w:rsidR="3C8E9B44">
        <w:t xml:space="preserve">hospital </w:t>
      </w:r>
      <w:r w:rsidR="001E0F53">
        <w:t xml:space="preserve">blood banks </w:t>
      </w:r>
      <w:r w:rsidR="6D22CC3F">
        <w:t>to initiate</w:t>
      </w:r>
      <w:r w:rsidR="0080041D">
        <w:t xml:space="preserve"> the </w:t>
      </w:r>
      <w:r w:rsidR="001E0F53">
        <w:t>thaw</w:t>
      </w:r>
      <w:r w:rsidR="0080041D">
        <w:t>ing of</w:t>
      </w:r>
      <w:r w:rsidR="001E0F53">
        <w:t xml:space="preserve"> plasma and other </w:t>
      </w:r>
      <w:r w:rsidR="3CFDE317">
        <w:t>critical</w:t>
      </w:r>
      <w:r w:rsidR="001E0F53">
        <w:t xml:space="preserve"> products before the patient arrives in the </w:t>
      </w:r>
      <w:r w:rsidR="1AD433F7">
        <w:t>ED and</w:t>
      </w:r>
      <w:r w:rsidR="001E0F53">
        <w:t xml:space="preserve"> </w:t>
      </w:r>
      <w:r w:rsidR="740FA499">
        <w:t>accelerat</w:t>
      </w:r>
      <w:r w:rsidR="60B393CD">
        <w:t>ing</w:t>
      </w:r>
      <w:r w:rsidR="740FA499">
        <w:t xml:space="preserve"> the release of staff and </w:t>
      </w:r>
      <w:r w:rsidR="491331F2">
        <w:t>procedural capacity</w:t>
      </w:r>
      <w:r w:rsidR="740FA499">
        <w:t xml:space="preserve"> to allow for</w:t>
      </w:r>
      <w:r w:rsidR="1D4582F2">
        <w:t xml:space="preserve"> </w:t>
      </w:r>
      <w:r w:rsidR="001E0F53">
        <w:t>the</w:t>
      </w:r>
      <w:r w:rsidR="7CE4E465">
        <w:t xml:space="preserve"> expediated</w:t>
      </w:r>
      <w:r w:rsidR="001E0F53">
        <w:t xml:space="preserve"> movement of patients to</w:t>
      </w:r>
      <w:r w:rsidR="1500C616">
        <w:t xml:space="preserve"> the operating theatre or radiology suite for</w:t>
      </w:r>
      <w:r w:rsidR="001E0F53">
        <w:t xml:space="preserve"> </w:t>
      </w:r>
      <w:r w:rsidR="00126AC0">
        <w:t>definitive haemorrhage control</w:t>
      </w:r>
      <w:r w:rsidR="0623CA54">
        <w:t>.</w:t>
      </w:r>
      <w:r w:rsidR="006352F7">
        <w:t xml:space="preserve"> </w:t>
      </w:r>
    </w:p>
    <w:p w14:paraId="7AF38117" w14:textId="70880F8C" w:rsidR="002C2942" w:rsidRDefault="006352F7" w:rsidP="00126AC0">
      <w:r>
        <w:t xml:space="preserve">This </w:t>
      </w:r>
      <w:r w:rsidR="00A61EAA">
        <w:t xml:space="preserve">may be </w:t>
      </w:r>
      <w:r w:rsidR="00B97555">
        <w:t xml:space="preserve">especially </w:t>
      </w:r>
      <w:r>
        <w:t xml:space="preserve">important for </w:t>
      </w:r>
      <w:r w:rsidR="435872D7">
        <w:t>smaller centres and</w:t>
      </w:r>
      <w:r>
        <w:t xml:space="preserve"> </w:t>
      </w:r>
      <w:r w:rsidR="00C50A23">
        <w:t>after</w:t>
      </w:r>
      <w:r w:rsidR="00033980">
        <w:t>-</w:t>
      </w:r>
      <w:r w:rsidR="0EEE2093">
        <w:t xml:space="preserve">hours, </w:t>
      </w:r>
      <w:r w:rsidR="00C50A23">
        <w:t xml:space="preserve">where </w:t>
      </w:r>
      <w:r w:rsidR="0026433F">
        <w:t xml:space="preserve">specialist </w:t>
      </w:r>
      <w:r w:rsidR="00C50A23">
        <w:t>staf</w:t>
      </w:r>
      <w:r w:rsidR="0026433F">
        <w:t xml:space="preserve">f </w:t>
      </w:r>
      <w:r w:rsidR="00C50A23">
        <w:t xml:space="preserve">and availability of operating theatres </w:t>
      </w:r>
      <w:r w:rsidR="06FD0A6E">
        <w:t>may</w:t>
      </w:r>
      <w:r w:rsidR="00C50A23">
        <w:t xml:space="preserve"> </w:t>
      </w:r>
      <w:r w:rsidR="4DD7024E">
        <w:t>be</w:t>
      </w:r>
      <w:r w:rsidR="00C50A23">
        <w:t xml:space="preserve"> variable</w:t>
      </w:r>
      <w:r w:rsidR="00D00B15">
        <w:t xml:space="preserve">. The </w:t>
      </w:r>
      <w:r w:rsidR="00912CA1">
        <w:t xml:space="preserve">delays experienced with preparing </w:t>
      </w:r>
      <w:r w:rsidR="00D00B15">
        <w:t>operating theatre</w:t>
      </w:r>
      <w:r w:rsidR="00912CA1">
        <w:t>s</w:t>
      </w:r>
      <w:r w:rsidR="00D00B15">
        <w:t>, radiology reporting a</w:t>
      </w:r>
      <w:r w:rsidR="00912CA1">
        <w:t xml:space="preserve">nd coagulopathy </w:t>
      </w:r>
      <w:r w:rsidR="00863B9B">
        <w:t>tests</w:t>
      </w:r>
      <w:r w:rsidR="00104CE4">
        <w:t xml:space="preserve"> could be mitigated </w:t>
      </w:r>
      <w:r w:rsidR="18F8B53C">
        <w:t>through</w:t>
      </w:r>
      <w:r w:rsidR="00104CE4">
        <w:t xml:space="preserve"> early notification and coordinated communications between teams. </w:t>
      </w:r>
    </w:p>
    <w:p w14:paraId="5DCD96D1" w14:textId="391E1E69" w:rsidR="005B59AF" w:rsidRPr="00490E77" w:rsidRDefault="00334C65" w:rsidP="00334C65">
      <w:pPr>
        <w:rPr>
          <w:b/>
          <w:bCs/>
          <w:i/>
          <w:iCs/>
        </w:rPr>
      </w:pPr>
      <w:r w:rsidRPr="009D1037">
        <w:rPr>
          <w:b/>
          <w:bCs/>
          <w:i/>
          <w:iCs/>
        </w:rPr>
        <w:t>Support from senior staff</w:t>
      </w:r>
    </w:p>
    <w:p w14:paraId="49C3950B" w14:textId="213DB275" w:rsidR="002A746E" w:rsidRDefault="006C52D2" w:rsidP="00334C65">
      <w:r>
        <w:t>The</w:t>
      </w:r>
      <w:r w:rsidR="00C11AD0">
        <w:t xml:space="preserve"> importance of</w:t>
      </w:r>
      <w:r>
        <w:t xml:space="preserve"> cross-service cooperation is emphasised in decision making. </w:t>
      </w:r>
      <w:r w:rsidR="009901C4">
        <w:t>The bundle encourages the involvement of senior decision</w:t>
      </w:r>
      <w:r w:rsidR="00085B20">
        <w:t xml:space="preserve"> makers </w:t>
      </w:r>
      <w:r w:rsidR="009901C4">
        <w:t xml:space="preserve">early on. </w:t>
      </w:r>
    </w:p>
    <w:p w14:paraId="506BD3FE" w14:textId="3549B7E6" w:rsidR="009901C4" w:rsidRDefault="009901C4">
      <w:r>
        <w:t>S</w:t>
      </w:r>
      <w:r w:rsidR="00C312FB">
        <w:t xml:space="preserve">maller centres </w:t>
      </w:r>
      <w:r w:rsidR="00085B20">
        <w:t xml:space="preserve">found </w:t>
      </w:r>
      <w:r w:rsidR="00C312FB">
        <w:t>relationships with senior and specialist staff</w:t>
      </w:r>
      <w:r w:rsidR="00085B20">
        <w:t xml:space="preserve"> were well integrated and beneficial in the care for these patients</w:t>
      </w:r>
      <w:r w:rsidR="00C312FB">
        <w:t xml:space="preserve">. </w:t>
      </w:r>
      <w:r w:rsidR="00085B20">
        <w:t>For instance,</w:t>
      </w:r>
      <w:r w:rsidR="00BB77A2">
        <w:t xml:space="preserve"> consultant surgeons, anaesthetist</w:t>
      </w:r>
      <w:r w:rsidR="675C1A08">
        <w:t>s</w:t>
      </w:r>
      <w:r w:rsidR="00BB77A2">
        <w:t xml:space="preserve"> and senior ED staff </w:t>
      </w:r>
      <w:r w:rsidR="00A829DE">
        <w:t xml:space="preserve">are </w:t>
      </w:r>
      <w:r w:rsidR="33AB4497">
        <w:t xml:space="preserve">key </w:t>
      </w:r>
      <w:r w:rsidR="00A829DE">
        <w:t xml:space="preserve">members of </w:t>
      </w:r>
      <w:r w:rsidR="00F02888">
        <w:t xml:space="preserve">the </w:t>
      </w:r>
      <w:r w:rsidR="008279F5">
        <w:t>traum</w:t>
      </w:r>
      <w:r w:rsidR="00F02888">
        <w:t xml:space="preserve">a </w:t>
      </w:r>
      <w:r w:rsidR="00A50EB7">
        <w:t xml:space="preserve">service and participate in the regular review and improvement </w:t>
      </w:r>
      <w:r w:rsidR="005023AC">
        <w:t>of processes in care</w:t>
      </w:r>
      <w:r w:rsidR="0059527F">
        <w:t xml:space="preserve"> for this complex patient group.</w:t>
      </w:r>
      <w:r w:rsidR="007D5E30">
        <w:t xml:space="preserve"> </w:t>
      </w:r>
      <w:r w:rsidR="008E5964">
        <w:t xml:space="preserve">For hospitals that refer a </w:t>
      </w:r>
      <w:r w:rsidR="008E5964">
        <w:lastRenderedPageBreak/>
        <w:t xml:space="preserve">significant amount of their major trauma patients to tertiary centres, this early decision making around transport would have a substantial impact. </w:t>
      </w:r>
    </w:p>
    <w:p w14:paraId="640332BC" w14:textId="77618A4D" w:rsidR="217E3F94" w:rsidRDefault="217E3F94">
      <w:r>
        <w:t>S</w:t>
      </w:r>
      <w:r w:rsidR="04CF3FB1">
        <w:t>enior staff are</w:t>
      </w:r>
      <w:r w:rsidR="58EE9D6C">
        <w:t xml:space="preserve"> also</w:t>
      </w:r>
      <w:r w:rsidR="04CF3FB1">
        <w:t xml:space="preserve"> key</w:t>
      </w:r>
      <w:r w:rsidR="7E134C31">
        <w:t xml:space="preserve"> players in challenging ingrained thinkin</w:t>
      </w:r>
      <w:r w:rsidR="2F626ED1">
        <w:t>g</w:t>
      </w:r>
      <w:r w:rsidR="04CF3FB1">
        <w:t xml:space="preserve"> </w:t>
      </w:r>
      <w:r w:rsidR="23645320">
        <w:t xml:space="preserve">around care of major trauma patients. In many cases, the accepted </w:t>
      </w:r>
      <w:r w:rsidR="24AA6E39">
        <w:t>trauma management priorities are stabilisation in ED and obtaining a rapid whole-body CT scan prior to</w:t>
      </w:r>
      <w:r w:rsidR="0BE536C1">
        <w:t xml:space="preserve"> finalising a treatment plan</w:t>
      </w:r>
      <w:r w:rsidR="0E7B7049">
        <w:t>.</w:t>
      </w:r>
      <w:r w:rsidR="4C61ED67">
        <w:t xml:space="preserve"> This focus must shift towards damage control resuscitation and</w:t>
      </w:r>
      <w:r w:rsidR="2B7D5856">
        <w:t xml:space="preserve"> the rapid transfer of the critically haemorrhaging patient to an </w:t>
      </w:r>
      <w:r w:rsidR="5D45CE8D">
        <w:t>area for definitive haemorrhage control</w:t>
      </w:r>
      <w:r w:rsidR="2B7D5856">
        <w:t xml:space="preserve"> without unnecessary delay pending laboratory</w:t>
      </w:r>
      <w:r w:rsidR="7004A1C9">
        <w:t xml:space="preserve"> results or imaging studies</w:t>
      </w:r>
      <w:r w:rsidR="58335B0C">
        <w:t>.</w:t>
      </w:r>
      <w:r w:rsidR="0C5C25B8">
        <w:t xml:space="preserve"> Additionally,</w:t>
      </w:r>
      <w:r w:rsidR="5C2F37D2">
        <w:t xml:space="preserve"> changing the culture of</w:t>
      </w:r>
      <w:r w:rsidR="0C5C25B8">
        <w:t xml:space="preserve"> reluctance of junior medical staff to contact</w:t>
      </w:r>
      <w:r w:rsidR="00504B2E">
        <w:t xml:space="preserve"> </w:t>
      </w:r>
      <w:r w:rsidR="63AC64F1">
        <w:t>specialist</w:t>
      </w:r>
      <w:r w:rsidR="00504B2E">
        <w:t xml:space="preserve"> consultants </w:t>
      </w:r>
      <w:r w:rsidR="0A8F4598">
        <w:t>after-hours was also highlighted as critical to facilitate</w:t>
      </w:r>
      <w:r w:rsidR="557D256F">
        <w:t xml:space="preserve"> optimal care and limit decision-making delays.</w:t>
      </w:r>
      <w:r w:rsidR="009F2711">
        <w:t xml:space="preserve"> </w:t>
      </w:r>
      <w:r w:rsidR="008669F7">
        <w:t xml:space="preserve">Overseas studies have confirmed bundles involving early </w:t>
      </w:r>
      <w:r w:rsidR="00801F63">
        <w:t>s</w:t>
      </w:r>
      <w:r w:rsidR="008669F7">
        <w:t>enior staff decision making lead to reduced delay to operating room treatment and improved survival. How this is achieved in individual hospitals was a key part of the hospital rollout discussion.</w:t>
      </w:r>
    </w:p>
    <w:p w14:paraId="60A76FFD" w14:textId="3E197C7D" w:rsidR="0036066C" w:rsidRPr="0036066C" w:rsidRDefault="0036066C" w:rsidP="00334C65">
      <w:r>
        <w:t xml:space="preserve">Beyond </w:t>
      </w:r>
      <w:r w:rsidR="41875B58">
        <w:t xml:space="preserve">specialist medical and </w:t>
      </w:r>
      <w:r>
        <w:t xml:space="preserve">surgical staff, services </w:t>
      </w:r>
      <w:r w:rsidR="58A95414">
        <w:t>also</w:t>
      </w:r>
      <w:r>
        <w:t xml:space="preserve"> recognised the value of bringing in duty manager</w:t>
      </w:r>
      <w:r w:rsidR="00F9401F">
        <w:t>s</w:t>
      </w:r>
      <w:r>
        <w:t xml:space="preserve">, nursing staff and others to </w:t>
      </w:r>
      <w:r w:rsidR="16FF5333">
        <w:t xml:space="preserve">identify </w:t>
      </w:r>
      <w:r w:rsidR="395489B1">
        <w:t xml:space="preserve">further </w:t>
      </w:r>
      <w:r w:rsidR="16FF5333">
        <w:t xml:space="preserve">opportunities for </w:t>
      </w:r>
      <w:r>
        <w:t>improvement</w:t>
      </w:r>
      <w:r w:rsidR="3C490BCF">
        <w:t xml:space="preserve"> throughout the system</w:t>
      </w:r>
      <w:r>
        <w:t>.</w:t>
      </w:r>
    </w:p>
    <w:p w14:paraId="4FB8FA81" w14:textId="066C0A06" w:rsidR="004F1C72" w:rsidRPr="009D1037" w:rsidRDefault="57A7A201">
      <w:pPr>
        <w:rPr>
          <w:b/>
          <w:bCs/>
          <w:i/>
          <w:iCs/>
        </w:rPr>
      </w:pPr>
      <w:r w:rsidRPr="43B481CD">
        <w:rPr>
          <w:b/>
          <w:bCs/>
          <w:i/>
          <w:iCs/>
        </w:rPr>
        <w:t>Availability and use of blood and other products</w:t>
      </w:r>
    </w:p>
    <w:p w14:paraId="2F985857" w14:textId="7C796A24" w:rsidR="007834CD" w:rsidRPr="008F5588" w:rsidRDefault="57A7A201" w:rsidP="00757DA7">
      <w:r>
        <w:t xml:space="preserve">Blood product availability varies across New Zealand hospitals, with some staging or first care hospitals holding only emergency supplies of </w:t>
      </w:r>
      <w:r w:rsidR="4B656D9D">
        <w:t>blood products on site compared to designated major trauma centres.</w:t>
      </w:r>
    </w:p>
    <w:p w14:paraId="48C9E3EF" w14:textId="36FBD1AE" w:rsidR="007834CD" w:rsidRPr="008F5588" w:rsidRDefault="6E721869" w:rsidP="43B481CD">
      <w:r>
        <w:t xml:space="preserve">The guidance advocates for a resuscitative strategy that prioritises the early administration of blood products and </w:t>
      </w:r>
      <w:r w:rsidR="1F19013E">
        <w:t>limits unnecessary crystalloid administration</w:t>
      </w:r>
      <w:r w:rsidR="1BECD299">
        <w:t xml:space="preserve"> to </w:t>
      </w:r>
      <w:r w:rsidR="73D4AFDF">
        <w:t>minimise</w:t>
      </w:r>
      <w:r w:rsidR="1BECD299">
        <w:t xml:space="preserve"> exsanguination and coagulopathy. This includes</w:t>
      </w:r>
      <w:r w:rsidR="1A27EC9B">
        <w:t xml:space="preserve"> a specific Code Crimson</w:t>
      </w:r>
      <w:r w:rsidR="6FCECA5B">
        <w:t xml:space="preserve"> Massive Transfusion Protocol (MTP)</w:t>
      </w:r>
      <w:r w:rsidR="5476AABD">
        <w:t xml:space="preserve"> that</w:t>
      </w:r>
      <w:r w:rsidR="3C68E793">
        <w:t xml:space="preserve"> </w:t>
      </w:r>
      <w:r w:rsidR="0907427F">
        <w:t>promotes</w:t>
      </w:r>
      <w:r w:rsidR="69E3A1C2">
        <w:t xml:space="preserve"> earl</w:t>
      </w:r>
      <w:r w:rsidR="1840FECA">
        <w:t>y</w:t>
      </w:r>
      <w:r w:rsidR="69E3A1C2">
        <w:t xml:space="preserve"> </w:t>
      </w:r>
      <w:r w:rsidR="263EFB27">
        <w:t>fibrinogen supplementation.</w:t>
      </w:r>
      <w:r w:rsidR="70F82285">
        <w:t xml:space="preserve"> All six sites identified the impracticality of developing a separate Code Crimson MT</w:t>
      </w:r>
      <w:r w:rsidR="044B34B3">
        <w:t>P</w:t>
      </w:r>
      <w:r w:rsidR="7903F27E">
        <w:t xml:space="preserve"> within their service</w:t>
      </w:r>
      <w:r w:rsidR="044B34B3">
        <w:t xml:space="preserve">, and suggested working with their individual blood banks to modify their existing MTP </w:t>
      </w:r>
      <w:r w:rsidR="652D8672">
        <w:t xml:space="preserve">to facilitate targeted fibrinogen support </w:t>
      </w:r>
      <w:r w:rsidR="5C10BA71">
        <w:t>in the case of a critical haemorrhaging trauma patient. Additionally, there is the potential for fibrinogen supplementation to become more accessible for smaller centres with</w:t>
      </w:r>
      <w:r w:rsidR="7FEA767D">
        <w:t xml:space="preserve"> the increasing use of fibrinogen concentrate across New Zealand.</w:t>
      </w:r>
      <w:r w:rsidR="00396479">
        <w:t xml:space="preserve"> Agreement has been achieved with the combine</w:t>
      </w:r>
      <w:r w:rsidR="003A21AA">
        <w:t>d</w:t>
      </w:r>
      <w:r w:rsidR="00396479">
        <w:t xml:space="preserve"> </w:t>
      </w:r>
      <w:r w:rsidR="003A21AA">
        <w:t>Hospital Transfusion Committee</w:t>
      </w:r>
      <w:r w:rsidR="00396479">
        <w:t xml:space="preserve"> group of a national MTP that fits the requirements of the Code Crimson trauma patient. Standardisation of blood availability is occurring due to th</w:t>
      </w:r>
      <w:r w:rsidR="003A21AA">
        <w:t>is</w:t>
      </w:r>
      <w:r w:rsidR="00396479">
        <w:t xml:space="preserve"> project.</w:t>
      </w:r>
    </w:p>
    <w:p w14:paraId="541AC834" w14:textId="5B4F7CFE" w:rsidR="007834CD" w:rsidRPr="008F5588" w:rsidRDefault="5FA452ED" w:rsidP="00757DA7">
      <w:r>
        <w:t>A</w:t>
      </w:r>
      <w:r w:rsidR="0A5A76C4">
        <w:t>dministration of</w:t>
      </w:r>
      <w:r w:rsidR="6ED769BB">
        <w:t xml:space="preserve"> the antifibrinolytic agent</w:t>
      </w:r>
      <w:r w:rsidR="7EDDAE67">
        <w:t xml:space="preserve"> tranexamic acid</w:t>
      </w:r>
      <w:r w:rsidR="0A5A76C4">
        <w:t xml:space="preserve"> </w:t>
      </w:r>
      <w:r w:rsidR="7838BCBC">
        <w:t>(</w:t>
      </w:r>
      <w:r w:rsidR="0A5A76C4">
        <w:t>TXA</w:t>
      </w:r>
      <w:r w:rsidR="79E27790">
        <w:t xml:space="preserve">) </w:t>
      </w:r>
      <w:r w:rsidR="0A5A76C4">
        <w:t>is a treatment priority for the critically bleeding patient</w:t>
      </w:r>
      <w:r w:rsidR="63D1B578">
        <w:t>, and o</w:t>
      </w:r>
      <w:r w:rsidR="359E6B5D">
        <w:t xml:space="preserve">ptimisation of </w:t>
      </w:r>
      <w:r w:rsidR="2EC749A1">
        <w:t xml:space="preserve">TXA </w:t>
      </w:r>
      <w:r w:rsidR="359E6B5D">
        <w:t>dosage and administration was identified by several sites as an easily achievable change in practice.</w:t>
      </w:r>
      <w:r w:rsidR="0A5A76C4">
        <w:t xml:space="preserve"> Ideally </w:t>
      </w:r>
      <w:r w:rsidR="625A888A">
        <w:t>1g TXA</w:t>
      </w:r>
      <w:r w:rsidR="0A5A76C4">
        <w:t xml:space="preserve"> is given</w:t>
      </w:r>
      <w:r w:rsidR="74D22A83">
        <w:t xml:space="preserve"> intravenously</w:t>
      </w:r>
      <w:r w:rsidR="0A5A76C4">
        <w:t xml:space="preserve"> in the pre-hospital setting, with consideration of a furthe</w:t>
      </w:r>
      <w:r w:rsidR="4221567D">
        <w:t>r 1g</w:t>
      </w:r>
      <w:r w:rsidR="1DEF2A63">
        <w:t xml:space="preserve"> if the patien</w:t>
      </w:r>
      <w:r w:rsidR="2026EDEC">
        <w:t>t</w:t>
      </w:r>
      <w:r w:rsidR="1DEF2A63">
        <w:t xml:space="preserve"> arrive</w:t>
      </w:r>
      <w:r w:rsidR="044758FC">
        <w:t>s</w:t>
      </w:r>
      <w:r w:rsidR="1DEF2A63">
        <w:t xml:space="preserve"> at hospital within three hours of injury</w:t>
      </w:r>
      <w:r w:rsidR="17E3415F">
        <w:t xml:space="preserve"> with ongoing haemorrhage</w:t>
      </w:r>
      <w:r w:rsidR="1DEF2A63">
        <w:t xml:space="preserve">. This second dose of TXA, as well as modifying the </w:t>
      </w:r>
      <w:r w:rsidR="00D85981">
        <w:t xml:space="preserve">route of </w:t>
      </w:r>
      <w:r w:rsidR="1DEF2A63">
        <w:t>administration from infusion to bolus,</w:t>
      </w:r>
      <w:r w:rsidR="20C1682E">
        <w:t xml:space="preserve"> </w:t>
      </w:r>
      <w:r w:rsidR="2458528E">
        <w:t>are based on current available evidence.</w:t>
      </w:r>
      <w:r w:rsidR="3EA679EF">
        <w:t xml:space="preserve"> Minimising </w:t>
      </w:r>
      <w:r w:rsidR="008669F7">
        <w:t xml:space="preserve">hyperfibrinolysis </w:t>
      </w:r>
      <w:r w:rsidR="3EA679EF">
        <w:t>is particularly critical at</w:t>
      </w:r>
      <w:r w:rsidR="51D05EE6">
        <w:t xml:space="preserve"> </w:t>
      </w:r>
      <w:r w:rsidR="486709C3">
        <w:t>s</w:t>
      </w:r>
      <w:r w:rsidR="00392C23">
        <w:t>taging hospitals</w:t>
      </w:r>
      <w:r w:rsidR="075B25EE">
        <w:t>, which are often limited in their ability to support damage control resuscitation in catastrophic haemorrhage by the</w:t>
      </w:r>
      <w:r w:rsidR="6304681D">
        <w:t xml:space="preserve"> supply</w:t>
      </w:r>
      <w:r w:rsidR="075B25EE">
        <w:t xml:space="preserve"> blood products held on site.</w:t>
      </w:r>
      <w:r w:rsidR="00056263">
        <w:t xml:space="preserve"> </w:t>
      </w:r>
    </w:p>
    <w:p w14:paraId="2BB8F8A5" w14:textId="77777777" w:rsidR="00126AC0" w:rsidRPr="009D1037" w:rsidRDefault="00126AC0" w:rsidP="00126AC0">
      <w:pPr>
        <w:rPr>
          <w:b/>
          <w:bCs/>
          <w:i/>
          <w:iCs/>
        </w:rPr>
      </w:pPr>
      <w:r w:rsidRPr="009D1037">
        <w:rPr>
          <w:b/>
          <w:bCs/>
          <w:i/>
          <w:iCs/>
        </w:rPr>
        <w:t xml:space="preserve">Training staff – include simulation training </w:t>
      </w:r>
    </w:p>
    <w:p w14:paraId="077ED953" w14:textId="1F6CC801" w:rsidR="00387AB9" w:rsidRPr="00245E24" w:rsidRDefault="00934638" w:rsidP="00126AC0">
      <w:r w:rsidRPr="00245E24">
        <w:t xml:space="preserve">Major trauma designated hospitals receive </w:t>
      </w:r>
      <w:r w:rsidR="00CE3B41" w:rsidRPr="00245E24">
        <w:t xml:space="preserve">and manage more cases of critical haemorrhage, with more familiarity and opportunity to resource the care pathway. </w:t>
      </w:r>
    </w:p>
    <w:p w14:paraId="6B316E15" w14:textId="5D0F92B7" w:rsidR="00387AB9" w:rsidRDefault="00F44CAA" w:rsidP="00126AC0">
      <w:r>
        <w:lastRenderedPageBreak/>
        <w:t>All six site</w:t>
      </w:r>
      <w:r w:rsidR="00722F39">
        <w:t>s</w:t>
      </w:r>
      <w:r>
        <w:t xml:space="preserve"> </w:t>
      </w:r>
      <w:r w:rsidR="00AE67D5">
        <w:t>recognised targeted</w:t>
      </w:r>
      <w:r>
        <w:t xml:space="preserve"> education </w:t>
      </w:r>
      <w:r w:rsidR="00AE67D5">
        <w:t xml:space="preserve">as </w:t>
      </w:r>
      <w:r w:rsidR="00722F39">
        <w:t xml:space="preserve">complementary </w:t>
      </w:r>
      <w:r w:rsidR="00AE67D5">
        <w:t xml:space="preserve">training </w:t>
      </w:r>
      <w:r w:rsidR="00722F39">
        <w:t xml:space="preserve">to </w:t>
      </w:r>
      <w:r w:rsidR="008C3E71">
        <w:t>these real-life events</w:t>
      </w:r>
      <w:r>
        <w:t xml:space="preserve">. </w:t>
      </w:r>
      <w:r w:rsidR="00722F39">
        <w:t>One example is t</w:t>
      </w:r>
      <w:r w:rsidR="007B6759" w:rsidRPr="003B282F">
        <w:t xml:space="preserve">he Trauma </w:t>
      </w:r>
      <w:proofErr w:type="spellStart"/>
      <w:r w:rsidR="007B6759" w:rsidRPr="003B282F">
        <w:t>Networkz</w:t>
      </w:r>
      <w:proofErr w:type="spellEnd"/>
      <w:r w:rsidR="007B6759" w:rsidRPr="003B282F">
        <w:t xml:space="preserve"> training</w:t>
      </w:r>
      <w:r w:rsidR="00722F39">
        <w:t>,</w:t>
      </w:r>
      <w:r w:rsidR="007B6759" w:rsidRPr="003B282F">
        <w:t xml:space="preserve"> </w:t>
      </w:r>
      <w:r w:rsidR="00722F39">
        <w:t xml:space="preserve">which </w:t>
      </w:r>
      <w:r w:rsidR="003B282F" w:rsidRPr="003B282F">
        <w:t>provides</w:t>
      </w:r>
      <w:r w:rsidR="007B6759" w:rsidRPr="003B282F">
        <w:t xml:space="preserve"> </w:t>
      </w:r>
      <w:r w:rsidR="009D2BBB">
        <w:t xml:space="preserve">in-situ </w:t>
      </w:r>
      <w:r w:rsidR="00F84BC1">
        <w:t>simulation-based</w:t>
      </w:r>
      <w:r w:rsidR="009D2BBB">
        <w:t xml:space="preserve"> </w:t>
      </w:r>
      <w:r w:rsidR="00F84BC1">
        <w:t xml:space="preserve">learning for trauma teams. </w:t>
      </w:r>
      <w:r w:rsidR="0042314D">
        <w:t>As t</w:t>
      </w:r>
      <w:r w:rsidR="007B6759" w:rsidRPr="003B282F">
        <w:t xml:space="preserve">his continues </w:t>
      </w:r>
      <w:r w:rsidR="007B6759" w:rsidRPr="00245E24">
        <w:t>with the inclusion of critical haemorrhage injuries</w:t>
      </w:r>
      <w:r w:rsidR="003B282F" w:rsidRPr="00245E24">
        <w:t xml:space="preserve">; </w:t>
      </w:r>
      <w:r w:rsidR="0042314D" w:rsidRPr="00245E24">
        <w:t>DHBs c</w:t>
      </w:r>
      <w:r w:rsidR="005F728D" w:rsidRPr="00245E24">
        <w:t xml:space="preserve">an test improvements and </w:t>
      </w:r>
      <w:r w:rsidR="00340337" w:rsidRPr="00245E24">
        <w:t>build staffing capability</w:t>
      </w:r>
      <w:r w:rsidR="00E95581" w:rsidRPr="00245E24">
        <w:t xml:space="preserve"> and confidence in low frequency and high stress events</w:t>
      </w:r>
      <w:r w:rsidR="00137083" w:rsidRPr="00245E24">
        <w:t xml:space="preserve">. </w:t>
      </w:r>
      <w:r w:rsidR="00B03579" w:rsidRPr="00245E24">
        <w:t>Th</w:t>
      </w:r>
      <w:r w:rsidR="0063064A">
        <w:t>is</w:t>
      </w:r>
      <w:r w:rsidR="00B03579" w:rsidRPr="00245E24">
        <w:t xml:space="preserve"> </w:t>
      </w:r>
      <w:r w:rsidR="00556BAD">
        <w:t xml:space="preserve">could </w:t>
      </w:r>
      <w:r w:rsidR="00B03579" w:rsidRPr="00245E24">
        <w:t>include</w:t>
      </w:r>
      <w:r w:rsidR="0063064A">
        <w:t xml:space="preserve"> </w:t>
      </w:r>
      <w:r w:rsidR="007151E6">
        <w:t xml:space="preserve">the </w:t>
      </w:r>
      <w:r w:rsidR="23FCFC24">
        <w:t>use</w:t>
      </w:r>
      <w:r w:rsidR="00B03579" w:rsidRPr="00245E24">
        <w:t xml:space="preserve"> of </w:t>
      </w:r>
      <w:r w:rsidR="00556BAD">
        <w:t xml:space="preserve">specialist </w:t>
      </w:r>
      <w:r w:rsidR="00B03579" w:rsidRPr="00245E24">
        <w:t>equipment like fluid warmers</w:t>
      </w:r>
      <w:r w:rsidR="008B2021" w:rsidRPr="00245E24">
        <w:t xml:space="preserve"> and</w:t>
      </w:r>
      <w:r w:rsidR="00B03579" w:rsidRPr="00245E24">
        <w:t xml:space="preserve"> rapid infuser</w:t>
      </w:r>
      <w:r w:rsidR="008B2021" w:rsidRPr="00245E24">
        <w:t>s.</w:t>
      </w:r>
    </w:p>
    <w:p w14:paraId="4BE4593D" w14:textId="7C4ACB44" w:rsidR="00EA3342" w:rsidRPr="00EA3342" w:rsidRDefault="00245E24">
      <w:r>
        <w:t>Beyond training in clinical care</w:t>
      </w:r>
      <w:r w:rsidR="009E2BCC">
        <w:t xml:space="preserve">, </w:t>
      </w:r>
      <w:r w:rsidR="007151E6">
        <w:t>optimising communication with</w:t>
      </w:r>
      <w:r w:rsidR="009E2BCC">
        <w:t xml:space="preserve"> key hospital staff</w:t>
      </w:r>
      <w:r>
        <w:t xml:space="preserve"> </w:t>
      </w:r>
      <w:r w:rsidR="009E2BCC">
        <w:t>was</w:t>
      </w:r>
      <w:r>
        <w:t xml:space="preserve"> also </w:t>
      </w:r>
      <w:r w:rsidR="00877F31">
        <w:t>recognised</w:t>
      </w:r>
      <w:r w:rsidR="10909682">
        <w:t xml:space="preserve"> as crucial</w:t>
      </w:r>
      <w:r w:rsidR="009E2BCC">
        <w:t>.</w:t>
      </w:r>
      <w:r w:rsidR="00877F31">
        <w:t xml:space="preserve"> This could</w:t>
      </w:r>
      <w:r w:rsidR="00B638ED">
        <w:t xml:space="preserve"> be working with blood banks to reduce wastage, working with ambulance staff to determine early activation </w:t>
      </w:r>
      <w:r w:rsidR="008669F7">
        <w:t>strategies,</w:t>
      </w:r>
      <w:r w:rsidR="00EA3342">
        <w:t xml:space="preserve"> and</w:t>
      </w:r>
      <w:r w:rsidR="00685C78">
        <w:t xml:space="preserve"> working with point of care teams </w:t>
      </w:r>
      <w:r w:rsidR="00EA3342">
        <w:t xml:space="preserve">on early testing and </w:t>
      </w:r>
      <w:r w:rsidR="00685C78">
        <w:t xml:space="preserve">administration of </w:t>
      </w:r>
      <w:r w:rsidR="00EA3342">
        <w:t xml:space="preserve">key </w:t>
      </w:r>
      <w:r w:rsidR="00685C78">
        <w:t xml:space="preserve">agents as needed.  </w:t>
      </w:r>
      <w:r w:rsidR="007242F2">
        <w:t>An example of this is all critical laboratory results and important coagulation parameters (haemoglobin, platelet count, INR</w:t>
      </w:r>
      <w:r w:rsidR="002642EC">
        <w:t xml:space="preserve"> test</w:t>
      </w:r>
      <w:r w:rsidR="007242F2">
        <w:t xml:space="preserve"> and fibrinogen)</w:t>
      </w:r>
      <w:r w:rsidR="2340278C">
        <w:t>.</w:t>
      </w:r>
    </w:p>
    <w:p w14:paraId="328C2DC6" w14:textId="4E4B0352" w:rsidR="00B04DD0" w:rsidRPr="00A310B3" w:rsidRDefault="006721B5" w:rsidP="004F57FC">
      <w:pPr>
        <w:rPr>
          <w:b/>
          <w:bCs/>
          <w:i/>
          <w:iCs/>
        </w:rPr>
      </w:pPr>
      <w:r w:rsidRPr="009D1037">
        <w:rPr>
          <w:b/>
          <w:bCs/>
          <w:i/>
          <w:iCs/>
        </w:rPr>
        <w:t>Going forward</w:t>
      </w:r>
    </w:p>
    <w:p w14:paraId="3FD5C501" w14:textId="1B691FC1" w:rsidR="002610AD" w:rsidRDefault="00BC4092" w:rsidP="00BC4092">
      <w:r>
        <w:t xml:space="preserve">As each service has differing resources, rather than a national audit, suggested performance indicators are provided in the appendix of the guidance. </w:t>
      </w:r>
      <w:r w:rsidR="009119DD">
        <w:t>To complement,</w:t>
      </w:r>
      <w:r>
        <w:t xml:space="preserve"> </w:t>
      </w:r>
      <w:r w:rsidR="009119DD">
        <w:t>we have created</w:t>
      </w:r>
      <w:r>
        <w:t xml:space="preserve"> a </w:t>
      </w:r>
      <w:r w:rsidR="002610AD">
        <w:t xml:space="preserve">resource </w:t>
      </w:r>
      <w:r w:rsidR="009530A2">
        <w:t xml:space="preserve">to </w:t>
      </w:r>
      <w:r w:rsidR="002610AD">
        <w:t xml:space="preserve">be used for local site audit of patient care. </w:t>
      </w:r>
      <w:r w:rsidR="002B67D5">
        <w:t>A</w:t>
      </w:r>
      <w:r w:rsidR="00147B60">
        <w:t xml:space="preserve">n infrastructure </w:t>
      </w:r>
      <w:r w:rsidR="00BD24B3">
        <w:t xml:space="preserve">audit has </w:t>
      </w:r>
      <w:r w:rsidR="002B67D5">
        <w:t xml:space="preserve">also </w:t>
      </w:r>
      <w:r w:rsidR="00BD24B3">
        <w:t>been developed for local systems to consider</w:t>
      </w:r>
      <w:r w:rsidR="00434FCF">
        <w:t xml:space="preserve"> practical ways to embed the guidance into practice </w:t>
      </w:r>
      <w:r w:rsidR="00401E63">
        <w:t xml:space="preserve">when managing </w:t>
      </w:r>
      <w:r w:rsidR="00BD6133">
        <w:t>the care of the critically haemorrhaging patient.</w:t>
      </w:r>
    </w:p>
    <w:p w14:paraId="1062099E" w14:textId="74509A54" w:rsidR="002B67D5" w:rsidRDefault="00401E63" w:rsidP="00BC4092">
      <w:r>
        <w:t xml:space="preserve">Additionally, two checklists have been developed </w:t>
      </w:r>
      <w:r w:rsidR="003F30B5">
        <w:t xml:space="preserve">to assist staff running critical haemorrhage simulations in emergency departments. </w:t>
      </w:r>
      <w:r w:rsidR="003465A0">
        <w:t xml:space="preserve">Simulation training is </w:t>
      </w:r>
      <w:r w:rsidR="008B10E3">
        <w:t xml:space="preserve">a useful tool for building confidence and capability in staff expected to manage </w:t>
      </w:r>
      <w:r w:rsidR="007A677C">
        <w:t>infrequent but high-stress events.</w:t>
      </w:r>
    </w:p>
    <w:p w14:paraId="797E93C5" w14:textId="72A4717F" w:rsidR="00BC4092" w:rsidRPr="00CC40CF" w:rsidRDefault="00D51236" w:rsidP="004F57FC">
      <w:r>
        <w:t>Please note t</w:t>
      </w:r>
      <w:r w:rsidR="00746D95">
        <w:t>his guidance and local protocols should be reviewed at a minimum every three years.</w:t>
      </w:r>
    </w:p>
    <w:sectPr w:rsidR="00BC4092" w:rsidRPr="00CC40C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E29D" w14:textId="77777777" w:rsidR="00D1753C" w:rsidRDefault="00D1753C" w:rsidP="00FB1D1C">
      <w:pPr>
        <w:spacing w:after="0" w:line="240" w:lineRule="auto"/>
      </w:pPr>
      <w:r>
        <w:separator/>
      </w:r>
    </w:p>
  </w:endnote>
  <w:endnote w:type="continuationSeparator" w:id="0">
    <w:p w14:paraId="386ABB16" w14:textId="77777777" w:rsidR="00D1753C" w:rsidRDefault="00D1753C" w:rsidP="00FB1D1C">
      <w:pPr>
        <w:spacing w:after="0" w:line="240" w:lineRule="auto"/>
      </w:pPr>
      <w:r>
        <w:continuationSeparator/>
      </w:r>
    </w:p>
  </w:endnote>
  <w:endnote w:type="continuationNotice" w:id="1">
    <w:p w14:paraId="7312CF37" w14:textId="77777777" w:rsidR="00D1753C" w:rsidRDefault="00D175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hitney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4597" w14:textId="77777777" w:rsidR="003041B8" w:rsidRDefault="003041B8" w:rsidP="003041B8">
    <w:pPr>
      <w:pStyle w:val="Default"/>
    </w:pPr>
  </w:p>
  <w:p w14:paraId="2711A88B" w14:textId="77777777" w:rsidR="003041B8" w:rsidRPr="003041B8" w:rsidRDefault="003041B8" w:rsidP="003041B8">
    <w:pPr>
      <w:pStyle w:val="Default"/>
      <w:rPr>
        <w:rFonts w:cstheme="minorBidi"/>
        <w:color w:val="auto"/>
        <w:sz w:val="18"/>
        <w:szCs w:val="18"/>
      </w:rPr>
    </w:pPr>
  </w:p>
  <w:p w14:paraId="4135C4FB" w14:textId="4DC460CC" w:rsidR="003041B8" w:rsidRPr="003041B8" w:rsidRDefault="003041B8" w:rsidP="003041B8">
    <w:pPr>
      <w:pStyle w:val="Footer"/>
      <w:numPr>
        <w:ilvl w:val="0"/>
        <w:numId w:val="2"/>
      </w:numPr>
      <w:rPr>
        <w:sz w:val="16"/>
        <w:szCs w:val="16"/>
      </w:rPr>
    </w:pPr>
    <w:r w:rsidRPr="003041B8">
      <w:rPr>
        <w:color w:val="221E1F"/>
        <w:sz w:val="16"/>
        <w:szCs w:val="16"/>
      </w:rPr>
      <w:t>A bundle is a structured way of improving the processes of care and patient outcomes</w:t>
    </w:r>
    <w:r w:rsidRPr="003041B8">
      <w:rPr>
        <w:rFonts w:cs="Whitney Book"/>
        <w:color w:val="221E1F"/>
        <w:sz w:val="16"/>
        <w:szCs w:val="16"/>
      </w:rPr>
      <w:t>. It involves clear evidence-based practices that, when performed collectively and reliably, have been proven to improve patient outcomes (http://www.ihi.org/Topics/ Bundles/Pages/default.aspx).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7B0C" w14:textId="77777777" w:rsidR="00D1753C" w:rsidRDefault="00D1753C" w:rsidP="00FB1D1C">
      <w:pPr>
        <w:spacing w:after="0" w:line="240" w:lineRule="auto"/>
      </w:pPr>
      <w:r>
        <w:separator/>
      </w:r>
    </w:p>
  </w:footnote>
  <w:footnote w:type="continuationSeparator" w:id="0">
    <w:p w14:paraId="01765E72" w14:textId="77777777" w:rsidR="00D1753C" w:rsidRDefault="00D1753C" w:rsidP="00FB1D1C">
      <w:pPr>
        <w:spacing w:after="0" w:line="240" w:lineRule="auto"/>
      </w:pPr>
      <w:r>
        <w:continuationSeparator/>
      </w:r>
    </w:p>
  </w:footnote>
  <w:footnote w:type="continuationNotice" w:id="1">
    <w:p w14:paraId="0C0C323F" w14:textId="77777777" w:rsidR="00D1753C" w:rsidRDefault="00D175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5D9"/>
    <w:multiLevelType w:val="hybridMultilevel"/>
    <w:tmpl w:val="BD60A94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806EE"/>
    <w:multiLevelType w:val="hybridMultilevel"/>
    <w:tmpl w:val="A6D82446"/>
    <w:lvl w:ilvl="0" w:tplc="BD5890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538D9"/>
    <w:multiLevelType w:val="hybridMultilevel"/>
    <w:tmpl w:val="18D89552"/>
    <w:lvl w:ilvl="0" w:tplc="64D4A8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403DA"/>
    <w:multiLevelType w:val="hybridMultilevel"/>
    <w:tmpl w:val="026899CE"/>
    <w:lvl w:ilvl="0" w:tplc="64D4A8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F1A3E"/>
    <w:multiLevelType w:val="hybridMultilevel"/>
    <w:tmpl w:val="82CA18BE"/>
    <w:lvl w:ilvl="0" w:tplc="F4145D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A7C21"/>
    <w:multiLevelType w:val="hybridMultilevel"/>
    <w:tmpl w:val="6926420E"/>
    <w:lvl w:ilvl="0" w:tplc="64D4A8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E622A"/>
    <w:multiLevelType w:val="hybridMultilevel"/>
    <w:tmpl w:val="8AC06C1A"/>
    <w:lvl w:ilvl="0" w:tplc="A58C5E7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309190">
    <w:abstractNumId w:val="6"/>
  </w:num>
  <w:num w:numId="2" w16cid:durableId="1932277056">
    <w:abstractNumId w:val="0"/>
  </w:num>
  <w:num w:numId="3" w16cid:durableId="939292393">
    <w:abstractNumId w:val="5"/>
  </w:num>
  <w:num w:numId="4" w16cid:durableId="1879539655">
    <w:abstractNumId w:val="2"/>
  </w:num>
  <w:num w:numId="5" w16cid:durableId="1181049766">
    <w:abstractNumId w:val="3"/>
  </w:num>
  <w:num w:numId="6" w16cid:durableId="543253973">
    <w:abstractNumId w:val="1"/>
  </w:num>
  <w:num w:numId="7" w16cid:durableId="1416366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6A"/>
    <w:rsid w:val="0000300F"/>
    <w:rsid w:val="00022CC5"/>
    <w:rsid w:val="000244A3"/>
    <w:rsid w:val="00033980"/>
    <w:rsid w:val="00035141"/>
    <w:rsid w:val="00035A34"/>
    <w:rsid w:val="00044B5A"/>
    <w:rsid w:val="0004522E"/>
    <w:rsid w:val="00056263"/>
    <w:rsid w:val="00063A6E"/>
    <w:rsid w:val="00085B20"/>
    <w:rsid w:val="0009780F"/>
    <w:rsid w:val="000A39A7"/>
    <w:rsid w:val="000A4565"/>
    <w:rsid w:val="000B6362"/>
    <w:rsid w:val="000C046B"/>
    <w:rsid w:val="000C0E6E"/>
    <w:rsid w:val="000D693F"/>
    <w:rsid w:val="000E10E7"/>
    <w:rsid w:val="000E362D"/>
    <w:rsid w:val="000F6A35"/>
    <w:rsid w:val="00102FA0"/>
    <w:rsid w:val="00104CE4"/>
    <w:rsid w:val="00110272"/>
    <w:rsid w:val="00115975"/>
    <w:rsid w:val="00125A8B"/>
    <w:rsid w:val="00126AC0"/>
    <w:rsid w:val="00137083"/>
    <w:rsid w:val="00144C49"/>
    <w:rsid w:val="00147B60"/>
    <w:rsid w:val="001603DA"/>
    <w:rsid w:val="001A0AA4"/>
    <w:rsid w:val="001A0D13"/>
    <w:rsid w:val="001C1165"/>
    <w:rsid w:val="001C1C4C"/>
    <w:rsid w:val="001C488E"/>
    <w:rsid w:val="001C6258"/>
    <w:rsid w:val="001E0F53"/>
    <w:rsid w:val="001E3782"/>
    <w:rsid w:val="002206C8"/>
    <w:rsid w:val="00225C94"/>
    <w:rsid w:val="00231BCF"/>
    <w:rsid w:val="002330AD"/>
    <w:rsid w:val="00236A96"/>
    <w:rsid w:val="00240CE1"/>
    <w:rsid w:val="00245018"/>
    <w:rsid w:val="00245E24"/>
    <w:rsid w:val="002610AD"/>
    <w:rsid w:val="002634E0"/>
    <w:rsid w:val="002642EC"/>
    <w:rsid w:val="0026433F"/>
    <w:rsid w:val="00267ED1"/>
    <w:rsid w:val="0027422A"/>
    <w:rsid w:val="00281247"/>
    <w:rsid w:val="00282696"/>
    <w:rsid w:val="002852A9"/>
    <w:rsid w:val="002923B1"/>
    <w:rsid w:val="00292D23"/>
    <w:rsid w:val="00296220"/>
    <w:rsid w:val="002A600C"/>
    <w:rsid w:val="002A746E"/>
    <w:rsid w:val="002B67D5"/>
    <w:rsid w:val="002C2942"/>
    <w:rsid w:val="002C6615"/>
    <w:rsid w:val="002D8E21"/>
    <w:rsid w:val="003041B8"/>
    <w:rsid w:val="00334271"/>
    <w:rsid w:val="00334C65"/>
    <w:rsid w:val="00340337"/>
    <w:rsid w:val="003465A0"/>
    <w:rsid w:val="0036066C"/>
    <w:rsid w:val="00362369"/>
    <w:rsid w:val="00362CA4"/>
    <w:rsid w:val="003649A2"/>
    <w:rsid w:val="00381191"/>
    <w:rsid w:val="003864DD"/>
    <w:rsid w:val="00387AB0"/>
    <w:rsid w:val="00387AB9"/>
    <w:rsid w:val="00392C23"/>
    <w:rsid w:val="00396479"/>
    <w:rsid w:val="003A21AA"/>
    <w:rsid w:val="003A4B78"/>
    <w:rsid w:val="003A5BDE"/>
    <w:rsid w:val="003B282F"/>
    <w:rsid w:val="003D2755"/>
    <w:rsid w:val="003D2FD4"/>
    <w:rsid w:val="003D489F"/>
    <w:rsid w:val="003D4E7B"/>
    <w:rsid w:val="003E33D0"/>
    <w:rsid w:val="003E4EC7"/>
    <w:rsid w:val="003E5EC7"/>
    <w:rsid w:val="003F2DC9"/>
    <w:rsid w:val="003F30B5"/>
    <w:rsid w:val="003F3A65"/>
    <w:rsid w:val="00401432"/>
    <w:rsid w:val="00401E63"/>
    <w:rsid w:val="00405D45"/>
    <w:rsid w:val="0041069A"/>
    <w:rsid w:val="00411D54"/>
    <w:rsid w:val="00412E66"/>
    <w:rsid w:val="0042314D"/>
    <w:rsid w:val="00431149"/>
    <w:rsid w:val="00434FCF"/>
    <w:rsid w:val="00444D21"/>
    <w:rsid w:val="004470B9"/>
    <w:rsid w:val="004719DD"/>
    <w:rsid w:val="0048232F"/>
    <w:rsid w:val="00484434"/>
    <w:rsid w:val="00490E77"/>
    <w:rsid w:val="00493C32"/>
    <w:rsid w:val="0049459E"/>
    <w:rsid w:val="004A343D"/>
    <w:rsid w:val="004A3772"/>
    <w:rsid w:val="004A4BDA"/>
    <w:rsid w:val="004B0A04"/>
    <w:rsid w:val="004E3EDC"/>
    <w:rsid w:val="004E73B4"/>
    <w:rsid w:val="004F1C72"/>
    <w:rsid w:val="004F57FC"/>
    <w:rsid w:val="004F75E2"/>
    <w:rsid w:val="004F77EA"/>
    <w:rsid w:val="005023AC"/>
    <w:rsid w:val="00503E07"/>
    <w:rsid w:val="00504B2E"/>
    <w:rsid w:val="00512BB6"/>
    <w:rsid w:val="005179E3"/>
    <w:rsid w:val="0051E055"/>
    <w:rsid w:val="005253DB"/>
    <w:rsid w:val="00540703"/>
    <w:rsid w:val="0054342B"/>
    <w:rsid w:val="0054614A"/>
    <w:rsid w:val="00547F6A"/>
    <w:rsid w:val="00547FD6"/>
    <w:rsid w:val="00556BAD"/>
    <w:rsid w:val="00556F73"/>
    <w:rsid w:val="0056486B"/>
    <w:rsid w:val="005669A9"/>
    <w:rsid w:val="005679FA"/>
    <w:rsid w:val="0059527F"/>
    <w:rsid w:val="005B18B1"/>
    <w:rsid w:val="005B59AF"/>
    <w:rsid w:val="005C16D1"/>
    <w:rsid w:val="005D46C1"/>
    <w:rsid w:val="005F728D"/>
    <w:rsid w:val="005F7BDC"/>
    <w:rsid w:val="00603252"/>
    <w:rsid w:val="00603883"/>
    <w:rsid w:val="006145BA"/>
    <w:rsid w:val="0063064A"/>
    <w:rsid w:val="00631BCD"/>
    <w:rsid w:val="00632973"/>
    <w:rsid w:val="006346F7"/>
    <w:rsid w:val="006352F7"/>
    <w:rsid w:val="006420DE"/>
    <w:rsid w:val="00653283"/>
    <w:rsid w:val="006721B5"/>
    <w:rsid w:val="00672CAD"/>
    <w:rsid w:val="00681E37"/>
    <w:rsid w:val="00685C78"/>
    <w:rsid w:val="00692666"/>
    <w:rsid w:val="006A3939"/>
    <w:rsid w:val="006A6137"/>
    <w:rsid w:val="006C52D2"/>
    <w:rsid w:val="006D6242"/>
    <w:rsid w:val="00711D12"/>
    <w:rsid w:val="007151E6"/>
    <w:rsid w:val="007157E1"/>
    <w:rsid w:val="00722F39"/>
    <w:rsid w:val="007242F2"/>
    <w:rsid w:val="00735B83"/>
    <w:rsid w:val="00740D0F"/>
    <w:rsid w:val="00745E62"/>
    <w:rsid w:val="00746D95"/>
    <w:rsid w:val="00757DA7"/>
    <w:rsid w:val="00761083"/>
    <w:rsid w:val="00763486"/>
    <w:rsid w:val="00775BB3"/>
    <w:rsid w:val="00780765"/>
    <w:rsid w:val="007816A4"/>
    <w:rsid w:val="007834CD"/>
    <w:rsid w:val="00785518"/>
    <w:rsid w:val="00790C06"/>
    <w:rsid w:val="007A1F04"/>
    <w:rsid w:val="007A5BAB"/>
    <w:rsid w:val="007A677C"/>
    <w:rsid w:val="007A7BB0"/>
    <w:rsid w:val="007B6759"/>
    <w:rsid w:val="007C365A"/>
    <w:rsid w:val="007C42A5"/>
    <w:rsid w:val="007C4555"/>
    <w:rsid w:val="007D102C"/>
    <w:rsid w:val="007D5E30"/>
    <w:rsid w:val="007E0C72"/>
    <w:rsid w:val="007E73E4"/>
    <w:rsid w:val="007E7FB0"/>
    <w:rsid w:val="007F2647"/>
    <w:rsid w:val="007F576D"/>
    <w:rsid w:val="007F7647"/>
    <w:rsid w:val="0080041D"/>
    <w:rsid w:val="0080072E"/>
    <w:rsid w:val="00801F63"/>
    <w:rsid w:val="00816576"/>
    <w:rsid w:val="008279F5"/>
    <w:rsid w:val="008345D0"/>
    <w:rsid w:val="00836730"/>
    <w:rsid w:val="00844056"/>
    <w:rsid w:val="00844758"/>
    <w:rsid w:val="00851DD4"/>
    <w:rsid w:val="00863B9B"/>
    <w:rsid w:val="008669F7"/>
    <w:rsid w:val="00871EBD"/>
    <w:rsid w:val="00872629"/>
    <w:rsid w:val="00877F31"/>
    <w:rsid w:val="00880494"/>
    <w:rsid w:val="00880A53"/>
    <w:rsid w:val="00891ADE"/>
    <w:rsid w:val="00897563"/>
    <w:rsid w:val="008A1B48"/>
    <w:rsid w:val="008A5831"/>
    <w:rsid w:val="008B10E3"/>
    <w:rsid w:val="008B2021"/>
    <w:rsid w:val="008C3E71"/>
    <w:rsid w:val="008D59E2"/>
    <w:rsid w:val="008D634D"/>
    <w:rsid w:val="008D7D19"/>
    <w:rsid w:val="008E5964"/>
    <w:rsid w:val="008F5588"/>
    <w:rsid w:val="00903961"/>
    <w:rsid w:val="009119DD"/>
    <w:rsid w:val="00912CA1"/>
    <w:rsid w:val="0092114D"/>
    <w:rsid w:val="00922E2C"/>
    <w:rsid w:val="00926BE8"/>
    <w:rsid w:val="00934638"/>
    <w:rsid w:val="009530A2"/>
    <w:rsid w:val="009642E5"/>
    <w:rsid w:val="009663CA"/>
    <w:rsid w:val="00967EB0"/>
    <w:rsid w:val="00974DD6"/>
    <w:rsid w:val="00976EB4"/>
    <w:rsid w:val="00981C8C"/>
    <w:rsid w:val="009901C4"/>
    <w:rsid w:val="009A464E"/>
    <w:rsid w:val="009B2AF3"/>
    <w:rsid w:val="009B2E1B"/>
    <w:rsid w:val="009C3488"/>
    <w:rsid w:val="009D1037"/>
    <w:rsid w:val="009D26E0"/>
    <w:rsid w:val="009D2BBB"/>
    <w:rsid w:val="009D6076"/>
    <w:rsid w:val="009E2BCC"/>
    <w:rsid w:val="009E6418"/>
    <w:rsid w:val="009E79B5"/>
    <w:rsid w:val="009F2711"/>
    <w:rsid w:val="00A06410"/>
    <w:rsid w:val="00A21354"/>
    <w:rsid w:val="00A278F8"/>
    <w:rsid w:val="00A310B3"/>
    <w:rsid w:val="00A50EB7"/>
    <w:rsid w:val="00A514C9"/>
    <w:rsid w:val="00A56DBC"/>
    <w:rsid w:val="00A57ACB"/>
    <w:rsid w:val="00A61EAA"/>
    <w:rsid w:val="00A6490E"/>
    <w:rsid w:val="00A72A17"/>
    <w:rsid w:val="00A829DE"/>
    <w:rsid w:val="00A84D28"/>
    <w:rsid w:val="00AB4940"/>
    <w:rsid w:val="00AC0DA6"/>
    <w:rsid w:val="00AC1F45"/>
    <w:rsid w:val="00AC5719"/>
    <w:rsid w:val="00ACE0A8"/>
    <w:rsid w:val="00AD34A7"/>
    <w:rsid w:val="00AD451D"/>
    <w:rsid w:val="00AE011B"/>
    <w:rsid w:val="00AE5BEF"/>
    <w:rsid w:val="00AE67D5"/>
    <w:rsid w:val="00AF2B00"/>
    <w:rsid w:val="00B03579"/>
    <w:rsid w:val="00B04DD0"/>
    <w:rsid w:val="00B15B0B"/>
    <w:rsid w:val="00B3658F"/>
    <w:rsid w:val="00B41C15"/>
    <w:rsid w:val="00B44B39"/>
    <w:rsid w:val="00B5137F"/>
    <w:rsid w:val="00B6113E"/>
    <w:rsid w:val="00B638ED"/>
    <w:rsid w:val="00B750EB"/>
    <w:rsid w:val="00B7557C"/>
    <w:rsid w:val="00B935FE"/>
    <w:rsid w:val="00B97555"/>
    <w:rsid w:val="00BA4697"/>
    <w:rsid w:val="00BB63D5"/>
    <w:rsid w:val="00BB77A2"/>
    <w:rsid w:val="00BC4092"/>
    <w:rsid w:val="00BC415B"/>
    <w:rsid w:val="00BD24B3"/>
    <w:rsid w:val="00BD5288"/>
    <w:rsid w:val="00BD6133"/>
    <w:rsid w:val="00BE24BC"/>
    <w:rsid w:val="00BF258F"/>
    <w:rsid w:val="00C11AD0"/>
    <w:rsid w:val="00C14842"/>
    <w:rsid w:val="00C232DC"/>
    <w:rsid w:val="00C312FB"/>
    <w:rsid w:val="00C31A75"/>
    <w:rsid w:val="00C32BBA"/>
    <w:rsid w:val="00C50A23"/>
    <w:rsid w:val="00C51ACB"/>
    <w:rsid w:val="00C53E13"/>
    <w:rsid w:val="00C6529B"/>
    <w:rsid w:val="00C6623D"/>
    <w:rsid w:val="00C85347"/>
    <w:rsid w:val="00C92B94"/>
    <w:rsid w:val="00C95238"/>
    <w:rsid w:val="00CC08DA"/>
    <w:rsid w:val="00CC40CF"/>
    <w:rsid w:val="00CC6956"/>
    <w:rsid w:val="00CC6CC1"/>
    <w:rsid w:val="00CD3FC9"/>
    <w:rsid w:val="00CE3B41"/>
    <w:rsid w:val="00CF14A0"/>
    <w:rsid w:val="00D00B15"/>
    <w:rsid w:val="00D1753C"/>
    <w:rsid w:val="00D21CE9"/>
    <w:rsid w:val="00D4330C"/>
    <w:rsid w:val="00D51236"/>
    <w:rsid w:val="00D57E3D"/>
    <w:rsid w:val="00D66A80"/>
    <w:rsid w:val="00D67EA4"/>
    <w:rsid w:val="00D80335"/>
    <w:rsid w:val="00D80419"/>
    <w:rsid w:val="00D83D3B"/>
    <w:rsid w:val="00D85981"/>
    <w:rsid w:val="00D97894"/>
    <w:rsid w:val="00D979AC"/>
    <w:rsid w:val="00DA07A2"/>
    <w:rsid w:val="00DB3B95"/>
    <w:rsid w:val="00DC1A47"/>
    <w:rsid w:val="00DD7CBC"/>
    <w:rsid w:val="00DF4399"/>
    <w:rsid w:val="00E1043E"/>
    <w:rsid w:val="00E107A9"/>
    <w:rsid w:val="00E23413"/>
    <w:rsid w:val="00E2346E"/>
    <w:rsid w:val="00E31D2F"/>
    <w:rsid w:val="00E33321"/>
    <w:rsid w:val="00E35864"/>
    <w:rsid w:val="00E47D6B"/>
    <w:rsid w:val="00E6239B"/>
    <w:rsid w:val="00E6611B"/>
    <w:rsid w:val="00E7337E"/>
    <w:rsid w:val="00E755F8"/>
    <w:rsid w:val="00E76270"/>
    <w:rsid w:val="00E842BF"/>
    <w:rsid w:val="00E849F5"/>
    <w:rsid w:val="00E85AA7"/>
    <w:rsid w:val="00E905EC"/>
    <w:rsid w:val="00E95581"/>
    <w:rsid w:val="00E96DB7"/>
    <w:rsid w:val="00EA247C"/>
    <w:rsid w:val="00EA2FB0"/>
    <w:rsid w:val="00EA3342"/>
    <w:rsid w:val="00EB6F69"/>
    <w:rsid w:val="00EC210B"/>
    <w:rsid w:val="00EC46FC"/>
    <w:rsid w:val="00EC6176"/>
    <w:rsid w:val="00ED3932"/>
    <w:rsid w:val="00ED4263"/>
    <w:rsid w:val="00EE2346"/>
    <w:rsid w:val="00EE3803"/>
    <w:rsid w:val="00EE49DC"/>
    <w:rsid w:val="00F02888"/>
    <w:rsid w:val="00F207C7"/>
    <w:rsid w:val="00F23DBE"/>
    <w:rsid w:val="00F25D77"/>
    <w:rsid w:val="00F30CED"/>
    <w:rsid w:val="00F3571F"/>
    <w:rsid w:val="00F36D5A"/>
    <w:rsid w:val="00F44CAA"/>
    <w:rsid w:val="00F5409D"/>
    <w:rsid w:val="00F542B5"/>
    <w:rsid w:val="00F71D5B"/>
    <w:rsid w:val="00F84BC1"/>
    <w:rsid w:val="00F90ACE"/>
    <w:rsid w:val="00F9401F"/>
    <w:rsid w:val="00FA7A92"/>
    <w:rsid w:val="00FB0868"/>
    <w:rsid w:val="00FB1477"/>
    <w:rsid w:val="00FB1D1C"/>
    <w:rsid w:val="00FB3806"/>
    <w:rsid w:val="00FC7382"/>
    <w:rsid w:val="00FE3E65"/>
    <w:rsid w:val="038718AC"/>
    <w:rsid w:val="04335D1D"/>
    <w:rsid w:val="044758FC"/>
    <w:rsid w:val="044B34B3"/>
    <w:rsid w:val="0472EE19"/>
    <w:rsid w:val="04CF3FB1"/>
    <w:rsid w:val="0601B067"/>
    <w:rsid w:val="0623CA54"/>
    <w:rsid w:val="062CFAB0"/>
    <w:rsid w:val="068F44EA"/>
    <w:rsid w:val="06FD0A6E"/>
    <w:rsid w:val="07089AAE"/>
    <w:rsid w:val="075B25EE"/>
    <w:rsid w:val="0900D456"/>
    <w:rsid w:val="0907427F"/>
    <w:rsid w:val="0A2BFE29"/>
    <w:rsid w:val="0A5A76C4"/>
    <w:rsid w:val="0A7CCD4C"/>
    <w:rsid w:val="0A8F4598"/>
    <w:rsid w:val="0BE536C1"/>
    <w:rsid w:val="0C5C25B8"/>
    <w:rsid w:val="0CC0886C"/>
    <w:rsid w:val="0D736624"/>
    <w:rsid w:val="0E3EE804"/>
    <w:rsid w:val="0E6E0751"/>
    <w:rsid w:val="0E7B7049"/>
    <w:rsid w:val="0EEE2093"/>
    <w:rsid w:val="0F20278C"/>
    <w:rsid w:val="0F77850D"/>
    <w:rsid w:val="0F8E1221"/>
    <w:rsid w:val="100D1289"/>
    <w:rsid w:val="106F928B"/>
    <w:rsid w:val="10909682"/>
    <w:rsid w:val="10D4E325"/>
    <w:rsid w:val="10DD7DF7"/>
    <w:rsid w:val="11A42825"/>
    <w:rsid w:val="133FF886"/>
    <w:rsid w:val="13A0E4F1"/>
    <w:rsid w:val="13AE6BBA"/>
    <w:rsid w:val="13E10475"/>
    <w:rsid w:val="14D173A5"/>
    <w:rsid w:val="1500C616"/>
    <w:rsid w:val="152A88F4"/>
    <w:rsid w:val="154303AE"/>
    <w:rsid w:val="1613A76D"/>
    <w:rsid w:val="164B0C00"/>
    <w:rsid w:val="16779948"/>
    <w:rsid w:val="16B0EF9E"/>
    <w:rsid w:val="16B74767"/>
    <w:rsid w:val="16DEEC8E"/>
    <w:rsid w:val="16E60C7C"/>
    <w:rsid w:val="16ED25A8"/>
    <w:rsid w:val="16FF5333"/>
    <w:rsid w:val="1736E16D"/>
    <w:rsid w:val="173AF3A7"/>
    <w:rsid w:val="177FFBA9"/>
    <w:rsid w:val="17C09E1A"/>
    <w:rsid w:val="17E3415F"/>
    <w:rsid w:val="1840FECA"/>
    <w:rsid w:val="18BC5BA8"/>
    <w:rsid w:val="18F8B53C"/>
    <w:rsid w:val="18FCBAF3"/>
    <w:rsid w:val="19072C9C"/>
    <w:rsid w:val="1A13EFB3"/>
    <w:rsid w:val="1A27EC9B"/>
    <w:rsid w:val="1A3AF8E8"/>
    <w:rsid w:val="1A582C09"/>
    <w:rsid w:val="1AD433F7"/>
    <w:rsid w:val="1BAFC014"/>
    <w:rsid w:val="1BDC8F1E"/>
    <w:rsid w:val="1BECD299"/>
    <w:rsid w:val="1C345BB5"/>
    <w:rsid w:val="1C362CB5"/>
    <w:rsid w:val="1C9E1F5F"/>
    <w:rsid w:val="1D1689C2"/>
    <w:rsid w:val="1D4582F2"/>
    <w:rsid w:val="1DD1FD16"/>
    <w:rsid w:val="1DEF2A63"/>
    <w:rsid w:val="1EDD53D4"/>
    <w:rsid w:val="1EE1189C"/>
    <w:rsid w:val="1EE760D6"/>
    <w:rsid w:val="1F0D92AE"/>
    <w:rsid w:val="1F19013E"/>
    <w:rsid w:val="1F4CADF7"/>
    <w:rsid w:val="1FAEE3B0"/>
    <w:rsid w:val="1FB76900"/>
    <w:rsid w:val="1FD8C5E9"/>
    <w:rsid w:val="2026EDEC"/>
    <w:rsid w:val="20711D2D"/>
    <w:rsid w:val="208C62DD"/>
    <w:rsid w:val="208DFEA9"/>
    <w:rsid w:val="20C1682E"/>
    <w:rsid w:val="20E5B139"/>
    <w:rsid w:val="20F0F7C3"/>
    <w:rsid w:val="2116F946"/>
    <w:rsid w:val="217E3F94"/>
    <w:rsid w:val="21B2CD48"/>
    <w:rsid w:val="21BEF360"/>
    <w:rsid w:val="21DDEA12"/>
    <w:rsid w:val="2340278C"/>
    <w:rsid w:val="2340641D"/>
    <w:rsid w:val="23645320"/>
    <w:rsid w:val="23F48CF6"/>
    <w:rsid w:val="23FCFC24"/>
    <w:rsid w:val="2458528E"/>
    <w:rsid w:val="24A246B0"/>
    <w:rsid w:val="24AA6E39"/>
    <w:rsid w:val="25146DF2"/>
    <w:rsid w:val="262FB52C"/>
    <w:rsid w:val="263EFB27"/>
    <w:rsid w:val="27013407"/>
    <w:rsid w:val="272EF5A3"/>
    <w:rsid w:val="274710EA"/>
    <w:rsid w:val="2754F2BD"/>
    <w:rsid w:val="27EFAB83"/>
    <w:rsid w:val="281750AA"/>
    <w:rsid w:val="28D515A3"/>
    <w:rsid w:val="29B98B65"/>
    <w:rsid w:val="29D4B698"/>
    <w:rsid w:val="29FC4980"/>
    <w:rsid w:val="2B045404"/>
    <w:rsid w:val="2B6A8719"/>
    <w:rsid w:val="2B7D5856"/>
    <w:rsid w:val="2CEBC3BF"/>
    <w:rsid w:val="2D486862"/>
    <w:rsid w:val="2D8CCFAE"/>
    <w:rsid w:val="2E5B06D8"/>
    <w:rsid w:val="2E901499"/>
    <w:rsid w:val="2EC749A1"/>
    <w:rsid w:val="2EDFFB8D"/>
    <w:rsid w:val="2F626ED1"/>
    <w:rsid w:val="2F7C556F"/>
    <w:rsid w:val="2FA8B2C1"/>
    <w:rsid w:val="2FF6D739"/>
    <w:rsid w:val="2FFEBDC2"/>
    <w:rsid w:val="3098637A"/>
    <w:rsid w:val="3173EF97"/>
    <w:rsid w:val="3192A79A"/>
    <w:rsid w:val="3200E7FD"/>
    <w:rsid w:val="32DAB945"/>
    <w:rsid w:val="32F71368"/>
    <w:rsid w:val="3373C03B"/>
    <w:rsid w:val="33AB4497"/>
    <w:rsid w:val="3470FA00"/>
    <w:rsid w:val="34AD4C29"/>
    <w:rsid w:val="354F3D11"/>
    <w:rsid w:val="3552495A"/>
    <w:rsid w:val="35688CAC"/>
    <w:rsid w:val="359E6B5D"/>
    <w:rsid w:val="36ED4EAC"/>
    <w:rsid w:val="37E57429"/>
    <w:rsid w:val="3812553F"/>
    <w:rsid w:val="38891F0D"/>
    <w:rsid w:val="38CF8255"/>
    <w:rsid w:val="393A47F6"/>
    <w:rsid w:val="395489B1"/>
    <w:rsid w:val="3A536A5C"/>
    <w:rsid w:val="3AE334F9"/>
    <w:rsid w:val="3BEDFABA"/>
    <w:rsid w:val="3C27A868"/>
    <w:rsid w:val="3C490BCF"/>
    <w:rsid w:val="3C68E793"/>
    <w:rsid w:val="3C8E9B44"/>
    <w:rsid w:val="3CFDE317"/>
    <w:rsid w:val="3E375D97"/>
    <w:rsid w:val="3EA679EF"/>
    <w:rsid w:val="3FA43E6E"/>
    <w:rsid w:val="41875B58"/>
    <w:rsid w:val="41E0E1AE"/>
    <w:rsid w:val="4221567D"/>
    <w:rsid w:val="433AAB69"/>
    <w:rsid w:val="435872D7"/>
    <w:rsid w:val="43687DCC"/>
    <w:rsid w:val="43B481CD"/>
    <w:rsid w:val="43DF105C"/>
    <w:rsid w:val="4405A180"/>
    <w:rsid w:val="44512C0B"/>
    <w:rsid w:val="4488DE31"/>
    <w:rsid w:val="45E7034D"/>
    <w:rsid w:val="46EC888E"/>
    <w:rsid w:val="470126A4"/>
    <w:rsid w:val="475DED4D"/>
    <w:rsid w:val="48295F3A"/>
    <w:rsid w:val="486709C3"/>
    <w:rsid w:val="48B2817F"/>
    <w:rsid w:val="48BE3EBE"/>
    <w:rsid w:val="48C9B2FC"/>
    <w:rsid w:val="48E8B722"/>
    <w:rsid w:val="491331F2"/>
    <w:rsid w:val="499305CA"/>
    <w:rsid w:val="49E21EEB"/>
    <w:rsid w:val="4A442EB3"/>
    <w:rsid w:val="4B2C94F1"/>
    <w:rsid w:val="4B656D9D"/>
    <w:rsid w:val="4B7F304A"/>
    <w:rsid w:val="4B8718F7"/>
    <w:rsid w:val="4C61ED67"/>
    <w:rsid w:val="4CABED77"/>
    <w:rsid w:val="4CB17E2F"/>
    <w:rsid w:val="4D0C2D51"/>
    <w:rsid w:val="4D7259EB"/>
    <w:rsid w:val="4DD7024E"/>
    <w:rsid w:val="4EB1EE0E"/>
    <w:rsid w:val="4F179FD6"/>
    <w:rsid w:val="4FFE28E1"/>
    <w:rsid w:val="501659DC"/>
    <w:rsid w:val="50364426"/>
    <w:rsid w:val="50C654D0"/>
    <w:rsid w:val="51BCCEB7"/>
    <w:rsid w:val="51D05EE6"/>
    <w:rsid w:val="51E98ED0"/>
    <w:rsid w:val="524334DD"/>
    <w:rsid w:val="5320BFB3"/>
    <w:rsid w:val="5321F133"/>
    <w:rsid w:val="532C604C"/>
    <w:rsid w:val="534DFA9E"/>
    <w:rsid w:val="541ADDEB"/>
    <w:rsid w:val="541DD6EA"/>
    <w:rsid w:val="542C54D5"/>
    <w:rsid w:val="5476AABD"/>
    <w:rsid w:val="54CBE036"/>
    <w:rsid w:val="54DB64BD"/>
    <w:rsid w:val="557D256F"/>
    <w:rsid w:val="55920AD9"/>
    <w:rsid w:val="559B05F6"/>
    <w:rsid w:val="56C7BA98"/>
    <w:rsid w:val="57A7A201"/>
    <w:rsid w:val="57C3CA20"/>
    <w:rsid w:val="58335B0C"/>
    <w:rsid w:val="586C0464"/>
    <w:rsid w:val="589205E7"/>
    <w:rsid w:val="58A95414"/>
    <w:rsid w:val="58EE9D6C"/>
    <w:rsid w:val="5A0BA89B"/>
    <w:rsid w:val="5A6A1663"/>
    <w:rsid w:val="5A7A569C"/>
    <w:rsid w:val="5AF9AA12"/>
    <w:rsid w:val="5C10BA71"/>
    <w:rsid w:val="5C2F37D2"/>
    <w:rsid w:val="5CB143F9"/>
    <w:rsid w:val="5CBB3E8D"/>
    <w:rsid w:val="5CD535CF"/>
    <w:rsid w:val="5CFA8930"/>
    <w:rsid w:val="5D3F7587"/>
    <w:rsid w:val="5D45CE8D"/>
    <w:rsid w:val="5D99E0C5"/>
    <w:rsid w:val="5E906AF0"/>
    <w:rsid w:val="5EDB45E8"/>
    <w:rsid w:val="5EDC1AC9"/>
    <w:rsid w:val="5F64B7AD"/>
    <w:rsid w:val="5F6AFFDA"/>
    <w:rsid w:val="5F7DCF83"/>
    <w:rsid w:val="5F884B84"/>
    <w:rsid w:val="5F9F0C21"/>
    <w:rsid w:val="5FA452ED"/>
    <w:rsid w:val="602DFA50"/>
    <w:rsid w:val="60B393CD"/>
    <w:rsid w:val="61A67849"/>
    <w:rsid w:val="625A888A"/>
    <w:rsid w:val="626D51E8"/>
    <w:rsid w:val="6304681D"/>
    <w:rsid w:val="633ED103"/>
    <w:rsid w:val="63AC64F1"/>
    <w:rsid w:val="63D1B578"/>
    <w:rsid w:val="6434B372"/>
    <w:rsid w:val="652D8672"/>
    <w:rsid w:val="659B7D20"/>
    <w:rsid w:val="66C82CAA"/>
    <w:rsid w:val="66CA6EF5"/>
    <w:rsid w:val="66FEF34A"/>
    <w:rsid w:val="67532BD7"/>
    <w:rsid w:val="675C1A08"/>
    <w:rsid w:val="678F821D"/>
    <w:rsid w:val="679A15F5"/>
    <w:rsid w:val="681000EC"/>
    <w:rsid w:val="68ABBA13"/>
    <w:rsid w:val="68EEFC38"/>
    <w:rsid w:val="6929A8BC"/>
    <w:rsid w:val="69997DB1"/>
    <w:rsid w:val="69E3A1C2"/>
    <w:rsid w:val="6B4B10DD"/>
    <w:rsid w:val="6B888DF5"/>
    <w:rsid w:val="6C21341E"/>
    <w:rsid w:val="6C34A65E"/>
    <w:rsid w:val="6CAB389B"/>
    <w:rsid w:val="6CAD099B"/>
    <w:rsid w:val="6CF9C5D7"/>
    <w:rsid w:val="6D22CC3F"/>
    <w:rsid w:val="6DB9F4EB"/>
    <w:rsid w:val="6DED40C9"/>
    <w:rsid w:val="6E517AA5"/>
    <w:rsid w:val="6E721869"/>
    <w:rsid w:val="6ED769BB"/>
    <w:rsid w:val="6F017599"/>
    <w:rsid w:val="6FCECA5B"/>
    <w:rsid w:val="7004A1C9"/>
    <w:rsid w:val="704A8EF6"/>
    <w:rsid w:val="70AC932B"/>
    <w:rsid w:val="70B66E57"/>
    <w:rsid w:val="70F82285"/>
    <w:rsid w:val="719C3CAD"/>
    <w:rsid w:val="719D1DA5"/>
    <w:rsid w:val="72F04B17"/>
    <w:rsid w:val="7327379A"/>
    <w:rsid w:val="733C267F"/>
    <w:rsid w:val="738C268F"/>
    <w:rsid w:val="73D4AFDF"/>
    <w:rsid w:val="740FA499"/>
    <w:rsid w:val="7415E19C"/>
    <w:rsid w:val="749F756B"/>
    <w:rsid w:val="74D22A83"/>
    <w:rsid w:val="7527EAF7"/>
    <w:rsid w:val="75B26A38"/>
    <w:rsid w:val="75E60B6C"/>
    <w:rsid w:val="766E3F50"/>
    <w:rsid w:val="777E1748"/>
    <w:rsid w:val="77E19E1F"/>
    <w:rsid w:val="7838BCBC"/>
    <w:rsid w:val="7903F27E"/>
    <w:rsid w:val="790F92A6"/>
    <w:rsid w:val="79CD51CC"/>
    <w:rsid w:val="79E27790"/>
    <w:rsid w:val="7A05972C"/>
    <w:rsid w:val="7AB5B80A"/>
    <w:rsid w:val="7AE38A6D"/>
    <w:rsid w:val="7C64BB80"/>
    <w:rsid w:val="7CE4E465"/>
    <w:rsid w:val="7D9E4A43"/>
    <w:rsid w:val="7DBF9101"/>
    <w:rsid w:val="7E008BE1"/>
    <w:rsid w:val="7E04EC97"/>
    <w:rsid w:val="7E134C31"/>
    <w:rsid w:val="7E258ACA"/>
    <w:rsid w:val="7E6F8BF5"/>
    <w:rsid w:val="7ED12963"/>
    <w:rsid w:val="7EDDAE67"/>
    <w:rsid w:val="7F05F6B0"/>
    <w:rsid w:val="7FB60A09"/>
    <w:rsid w:val="7FCC0B38"/>
    <w:rsid w:val="7FEA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CBD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D1C"/>
  </w:style>
  <w:style w:type="paragraph" w:styleId="Footer">
    <w:name w:val="footer"/>
    <w:basedOn w:val="Normal"/>
    <w:link w:val="FooterChar"/>
    <w:uiPriority w:val="99"/>
    <w:unhideWhenUsed/>
    <w:rsid w:val="00FB1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D1C"/>
  </w:style>
  <w:style w:type="paragraph" w:styleId="ListParagraph">
    <w:name w:val="List Paragraph"/>
    <w:basedOn w:val="Normal"/>
    <w:uiPriority w:val="34"/>
    <w:qFormat/>
    <w:rsid w:val="000F6A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CC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1B8"/>
    <w:pPr>
      <w:autoSpaceDE w:val="0"/>
      <w:autoSpaceDN w:val="0"/>
      <w:adjustRightInd w:val="0"/>
      <w:spacing w:after="0" w:line="240" w:lineRule="auto"/>
    </w:pPr>
    <w:rPr>
      <w:rFonts w:ascii="Whitney Book" w:hAnsi="Whitney Book" w:cs="Whitney Boo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51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A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A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1cefdf-35f4-4444-8638-55f0e12ab1c4}" enabled="0" method="" siteId="{701cefdf-35f4-4444-8638-55f0e12ab1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2026-03-05T02:40:00Z</dcterms:created>
  <dcterms:modified xsi:type="dcterms:W3CDTF">2026-03-05T02:41:00Z</dcterms:modified>
</cp:coreProperties>
</file>