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9B45E" w14:textId="022C4CD5" w:rsidR="0065469E" w:rsidRPr="00713B21" w:rsidRDefault="0065469E" w:rsidP="001B6F3C">
      <w:pPr>
        <w:pStyle w:val="Title"/>
        <w:spacing w:before="480"/>
        <w:rPr>
          <w:spacing w:val="-2"/>
          <w:sz w:val="48"/>
          <w:szCs w:val="48"/>
        </w:rPr>
      </w:pPr>
      <w:r w:rsidRPr="00713B21">
        <w:rPr>
          <w:position w:val="-1"/>
          <w:sz w:val="48"/>
          <w:szCs w:val="48"/>
        </w:rPr>
        <w:t>2024/25</w:t>
      </w:r>
      <w:r w:rsidRPr="00713B21">
        <w:rPr>
          <w:spacing w:val="77"/>
          <w:position w:val="-1"/>
          <w:sz w:val="48"/>
          <w:szCs w:val="48"/>
        </w:rPr>
        <w:t xml:space="preserve"> </w:t>
      </w:r>
      <w:r w:rsidRPr="00713B21">
        <w:rPr>
          <w:sz w:val="48"/>
          <w:szCs w:val="48"/>
        </w:rPr>
        <w:t>Health</w:t>
      </w:r>
      <w:r w:rsidRPr="00713B21">
        <w:rPr>
          <w:spacing w:val="10"/>
          <w:sz w:val="48"/>
          <w:szCs w:val="48"/>
        </w:rPr>
        <w:t xml:space="preserve"> </w:t>
      </w:r>
      <w:r w:rsidRPr="00713B21">
        <w:rPr>
          <w:sz w:val="48"/>
          <w:szCs w:val="48"/>
        </w:rPr>
        <w:t>and</w:t>
      </w:r>
      <w:r w:rsidRPr="00713B21">
        <w:rPr>
          <w:spacing w:val="11"/>
          <w:sz w:val="48"/>
          <w:szCs w:val="48"/>
        </w:rPr>
        <w:t xml:space="preserve"> </w:t>
      </w:r>
      <w:r w:rsidRPr="00713B21">
        <w:rPr>
          <w:sz w:val="48"/>
          <w:szCs w:val="48"/>
        </w:rPr>
        <w:t>disability</w:t>
      </w:r>
      <w:r w:rsidRPr="00713B21">
        <w:rPr>
          <w:spacing w:val="10"/>
          <w:sz w:val="48"/>
          <w:szCs w:val="48"/>
        </w:rPr>
        <w:t xml:space="preserve"> </w:t>
      </w:r>
      <w:r w:rsidRPr="00713B21">
        <w:rPr>
          <w:sz w:val="48"/>
          <w:szCs w:val="48"/>
        </w:rPr>
        <w:t>sector</w:t>
      </w:r>
      <w:r w:rsidRPr="00713B21">
        <w:rPr>
          <w:spacing w:val="11"/>
          <w:sz w:val="48"/>
          <w:szCs w:val="48"/>
        </w:rPr>
        <w:t xml:space="preserve"> </w:t>
      </w:r>
      <w:r w:rsidRPr="00713B21">
        <w:rPr>
          <w:sz w:val="48"/>
          <w:szCs w:val="48"/>
        </w:rPr>
        <w:t>harm</w:t>
      </w:r>
      <w:r w:rsidRPr="00713B21">
        <w:rPr>
          <w:spacing w:val="10"/>
          <w:sz w:val="48"/>
          <w:szCs w:val="48"/>
        </w:rPr>
        <w:t xml:space="preserve"> </w:t>
      </w:r>
      <w:r w:rsidRPr="00713B21">
        <w:rPr>
          <w:sz w:val="48"/>
          <w:szCs w:val="48"/>
        </w:rPr>
        <w:t>(adverse)</w:t>
      </w:r>
      <w:r w:rsidRPr="00713B21">
        <w:rPr>
          <w:spacing w:val="11"/>
          <w:sz w:val="48"/>
          <w:szCs w:val="48"/>
        </w:rPr>
        <w:t xml:space="preserve"> </w:t>
      </w:r>
      <w:r w:rsidRPr="00713B21">
        <w:rPr>
          <w:spacing w:val="-2"/>
          <w:sz w:val="48"/>
          <w:szCs w:val="48"/>
        </w:rPr>
        <w:t>events</w:t>
      </w:r>
    </w:p>
    <w:p w14:paraId="30893891" w14:textId="77777777" w:rsidR="0065469E" w:rsidRPr="007E4D5E" w:rsidRDefault="0065469E" w:rsidP="007A5080">
      <w:pPr>
        <w:pStyle w:val="Subtitle"/>
      </w:pPr>
      <w:r w:rsidRPr="007E4D5E">
        <w:t>Harm</w:t>
      </w:r>
      <w:r w:rsidRPr="007E4D5E">
        <w:rPr>
          <w:spacing w:val="-7"/>
        </w:rPr>
        <w:t xml:space="preserve"> </w:t>
      </w:r>
      <w:r w:rsidRPr="007E4D5E">
        <w:t>events</w:t>
      </w:r>
      <w:r w:rsidRPr="007E4D5E">
        <w:rPr>
          <w:spacing w:val="-7"/>
        </w:rPr>
        <w:t xml:space="preserve"> </w:t>
      </w:r>
      <w:r w:rsidRPr="007E4D5E">
        <w:t>reported</w:t>
      </w:r>
      <w:r w:rsidRPr="007E4D5E">
        <w:rPr>
          <w:spacing w:val="-7"/>
        </w:rPr>
        <w:t xml:space="preserve"> </w:t>
      </w:r>
      <w:r w:rsidRPr="007E4D5E">
        <w:t>to</w:t>
      </w:r>
      <w:r w:rsidRPr="007E4D5E">
        <w:rPr>
          <w:spacing w:val="-7"/>
        </w:rPr>
        <w:t xml:space="preserve"> </w:t>
      </w:r>
      <w:r w:rsidRPr="007E4D5E">
        <w:t>Health</w:t>
      </w:r>
      <w:r w:rsidRPr="007E4D5E">
        <w:rPr>
          <w:spacing w:val="-7"/>
        </w:rPr>
        <w:t xml:space="preserve"> </w:t>
      </w:r>
      <w:r w:rsidRPr="007E4D5E">
        <w:t>Quality</w:t>
      </w:r>
      <w:r w:rsidRPr="007E4D5E">
        <w:rPr>
          <w:spacing w:val="-7"/>
        </w:rPr>
        <w:t xml:space="preserve"> </w:t>
      </w:r>
      <w:r w:rsidRPr="007E4D5E">
        <w:t>&amp;</w:t>
      </w:r>
      <w:r w:rsidRPr="007E4D5E">
        <w:rPr>
          <w:spacing w:val="-7"/>
        </w:rPr>
        <w:t xml:space="preserve"> </w:t>
      </w:r>
      <w:r w:rsidRPr="007E4D5E">
        <w:t>Safety</w:t>
      </w:r>
      <w:r w:rsidRPr="007E4D5E">
        <w:rPr>
          <w:spacing w:val="-7"/>
        </w:rPr>
        <w:t xml:space="preserve"> </w:t>
      </w:r>
      <w:r w:rsidRPr="007E4D5E">
        <w:t>Commission</w:t>
      </w:r>
      <w:r w:rsidRPr="007E4D5E">
        <w:rPr>
          <w:spacing w:val="-7"/>
        </w:rPr>
        <w:t xml:space="preserve"> </w:t>
      </w:r>
      <w:r w:rsidRPr="007E4D5E">
        <w:t>Te</w:t>
      </w:r>
      <w:r w:rsidRPr="007E4D5E">
        <w:rPr>
          <w:spacing w:val="-7"/>
        </w:rPr>
        <w:t xml:space="preserve"> </w:t>
      </w:r>
      <w:r w:rsidRPr="007E4D5E">
        <w:t>Tāhū</w:t>
      </w:r>
      <w:r w:rsidRPr="007E4D5E">
        <w:rPr>
          <w:spacing w:val="-7"/>
        </w:rPr>
        <w:t xml:space="preserve"> </w:t>
      </w:r>
      <w:r w:rsidRPr="007E4D5E">
        <w:t>Hauora</w:t>
      </w:r>
      <w:r w:rsidRPr="007E4D5E">
        <w:rPr>
          <w:spacing w:val="-7"/>
        </w:rPr>
        <w:t xml:space="preserve"> </w:t>
      </w:r>
      <w:r w:rsidRPr="007E4D5E">
        <w:t>(the</w:t>
      </w:r>
      <w:r w:rsidRPr="007E4D5E">
        <w:rPr>
          <w:spacing w:val="-6"/>
        </w:rPr>
        <w:t xml:space="preserve"> </w:t>
      </w:r>
      <w:r w:rsidRPr="007E4D5E">
        <w:t>Commission)</w:t>
      </w:r>
      <w:r w:rsidRPr="007E4D5E">
        <w:rPr>
          <w:spacing w:val="-7"/>
        </w:rPr>
        <w:t xml:space="preserve"> </w:t>
      </w:r>
      <w:r w:rsidRPr="007E4D5E">
        <w:t>1</w:t>
      </w:r>
      <w:r w:rsidRPr="007E4D5E">
        <w:rPr>
          <w:spacing w:val="-7"/>
        </w:rPr>
        <w:t xml:space="preserve"> </w:t>
      </w:r>
      <w:r w:rsidRPr="007E4D5E">
        <w:t>July</w:t>
      </w:r>
      <w:r w:rsidRPr="007E4D5E">
        <w:rPr>
          <w:spacing w:val="-7"/>
        </w:rPr>
        <w:t xml:space="preserve"> </w:t>
      </w:r>
      <w:r w:rsidRPr="007E4D5E">
        <w:t>2024</w:t>
      </w:r>
      <w:r w:rsidRPr="007E4D5E">
        <w:rPr>
          <w:spacing w:val="-7"/>
        </w:rPr>
        <w:t xml:space="preserve"> </w:t>
      </w:r>
      <w:r w:rsidRPr="007E4D5E">
        <w:t>to</w:t>
      </w:r>
      <w:r w:rsidRPr="007E4D5E">
        <w:rPr>
          <w:spacing w:val="-7"/>
        </w:rPr>
        <w:t xml:space="preserve"> </w:t>
      </w:r>
      <w:r w:rsidRPr="007E4D5E">
        <w:t>30</w:t>
      </w:r>
      <w:r w:rsidRPr="007E4D5E">
        <w:rPr>
          <w:spacing w:val="-7"/>
        </w:rPr>
        <w:t xml:space="preserve"> </w:t>
      </w:r>
      <w:r w:rsidRPr="007E4D5E">
        <w:t>June</w:t>
      </w:r>
      <w:r w:rsidRPr="007E4D5E">
        <w:rPr>
          <w:spacing w:val="-7"/>
        </w:rPr>
        <w:t xml:space="preserve"> </w:t>
      </w:r>
      <w:r w:rsidRPr="007E4D5E">
        <w:t>2025</w:t>
      </w:r>
    </w:p>
    <w:p w14:paraId="18813257" w14:textId="77777777" w:rsidR="0065469E" w:rsidRPr="00A71669" w:rsidRDefault="0065469E" w:rsidP="00A71669">
      <w:pPr>
        <w:pStyle w:val="BodyText"/>
        <w:rPr>
          <w:b/>
          <w:bCs/>
        </w:rPr>
      </w:pPr>
      <w:r w:rsidRPr="00A71669">
        <w:rPr>
          <w:b/>
          <w:bCs/>
        </w:rPr>
        <w:t>We received a total of 3,232 serious harm event notifications</w:t>
      </w:r>
      <w:r w:rsidRPr="00A71669">
        <w:rPr>
          <w:b/>
          <w:bCs/>
          <w:spacing w:val="-13"/>
        </w:rPr>
        <w:t xml:space="preserve"> </w:t>
      </w:r>
      <w:r w:rsidRPr="00A71669">
        <w:rPr>
          <w:b/>
          <w:bCs/>
        </w:rPr>
        <w:t>in</w:t>
      </w:r>
      <w:r w:rsidRPr="00A71669">
        <w:rPr>
          <w:b/>
          <w:bCs/>
          <w:spacing w:val="-13"/>
        </w:rPr>
        <w:t xml:space="preserve"> </w:t>
      </w:r>
      <w:r w:rsidRPr="00A71669">
        <w:rPr>
          <w:b/>
          <w:bCs/>
        </w:rPr>
        <w:t>2024/25</w:t>
      </w:r>
      <w:r w:rsidRPr="00A71669">
        <w:rPr>
          <w:b/>
          <w:bCs/>
          <w:spacing w:val="-13"/>
        </w:rPr>
        <w:t xml:space="preserve"> </w:t>
      </w:r>
      <w:r w:rsidRPr="00A71669">
        <w:rPr>
          <w:b/>
          <w:bCs/>
        </w:rPr>
        <w:t>(involving</w:t>
      </w:r>
      <w:r w:rsidRPr="00A71669">
        <w:rPr>
          <w:b/>
          <w:bCs/>
          <w:spacing w:val="-13"/>
        </w:rPr>
        <w:t xml:space="preserve"> </w:t>
      </w:r>
      <w:r w:rsidRPr="00A71669">
        <w:rPr>
          <w:b/>
          <w:bCs/>
        </w:rPr>
        <w:t>death</w:t>
      </w:r>
      <w:r w:rsidRPr="00A71669">
        <w:rPr>
          <w:b/>
          <w:bCs/>
          <w:spacing w:val="-13"/>
        </w:rPr>
        <w:t xml:space="preserve"> </w:t>
      </w:r>
      <w:r w:rsidRPr="00A71669">
        <w:rPr>
          <w:b/>
          <w:bCs/>
        </w:rPr>
        <w:t>or</w:t>
      </w:r>
      <w:r w:rsidRPr="00A71669">
        <w:rPr>
          <w:b/>
          <w:bCs/>
          <w:spacing w:val="-13"/>
        </w:rPr>
        <w:t xml:space="preserve"> </w:t>
      </w:r>
      <w:r w:rsidRPr="00A71669">
        <w:rPr>
          <w:b/>
          <w:bCs/>
        </w:rPr>
        <w:t>severe loss of function (SAC 1) or major loss of function (SAC 2)).</w:t>
      </w:r>
    </w:p>
    <w:p w14:paraId="2F750355" w14:textId="77777777" w:rsidR="0065469E" w:rsidRDefault="0065469E" w:rsidP="004A28B2">
      <w:pPr>
        <w:pStyle w:val="BodyText"/>
      </w:pPr>
      <w:r>
        <w:t>This is a significant increase from the 1,392 events reported in 2023/24, with aged residential care reporting</w:t>
      </w:r>
      <w:r>
        <w:rPr>
          <w:spacing w:val="-10"/>
        </w:rPr>
        <w:t xml:space="preserve"> </w:t>
      </w:r>
      <w:r>
        <w:t>direct</w:t>
      </w:r>
      <w:r>
        <w:rPr>
          <w:spacing w:val="-10"/>
        </w:rPr>
        <w:t xml:space="preserve"> </w:t>
      </w:r>
      <w:r>
        <w:t>to</w:t>
      </w:r>
      <w:r>
        <w:rPr>
          <w:spacing w:val="-10"/>
        </w:rPr>
        <w:t xml:space="preserve"> </w:t>
      </w:r>
      <w:r>
        <w:t>the</w:t>
      </w:r>
      <w:r>
        <w:rPr>
          <w:spacing w:val="-10"/>
        </w:rPr>
        <w:t xml:space="preserve"> </w:t>
      </w:r>
      <w:r>
        <w:t>Commission</w:t>
      </w:r>
      <w:r>
        <w:rPr>
          <w:spacing w:val="-10"/>
        </w:rPr>
        <w:t xml:space="preserve"> </w:t>
      </w:r>
      <w:r>
        <w:t>from</w:t>
      </w:r>
      <w:r>
        <w:rPr>
          <w:spacing w:val="-10"/>
        </w:rPr>
        <w:t xml:space="preserve"> </w:t>
      </w:r>
      <w:r>
        <w:t>1</w:t>
      </w:r>
      <w:r>
        <w:rPr>
          <w:spacing w:val="-10"/>
        </w:rPr>
        <w:t xml:space="preserve"> </w:t>
      </w:r>
      <w:r>
        <w:t>July</w:t>
      </w:r>
      <w:r>
        <w:rPr>
          <w:spacing w:val="-10"/>
        </w:rPr>
        <w:t xml:space="preserve"> </w:t>
      </w:r>
      <w:r>
        <w:t>2024.</w:t>
      </w:r>
    </w:p>
    <w:p w14:paraId="370D918C" w14:textId="77777777" w:rsidR="0065469E" w:rsidRDefault="0065469E" w:rsidP="00316832">
      <w:pPr>
        <w:pStyle w:val="BodyText"/>
        <w:spacing w:after="120"/>
      </w:pPr>
      <w:r>
        <w:t>We acknowledge this doesn’t reflect all health care harm,</w:t>
      </w:r>
      <w:r>
        <w:rPr>
          <w:spacing w:val="-8"/>
        </w:rPr>
        <w:t xml:space="preserve"> </w:t>
      </w:r>
      <w:r>
        <w:t>or</w:t>
      </w:r>
      <w:r>
        <w:rPr>
          <w:spacing w:val="-8"/>
        </w:rPr>
        <w:t xml:space="preserve"> </w:t>
      </w:r>
      <w:r>
        <w:t>diminish</w:t>
      </w:r>
      <w:r>
        <w:rPr>
          <w:spacing w:val="-8"/>
        </w:rPr>
        <w:t xml:space="preserve"> </w:t>
      </w:r>
      <w:r>
        <w:t>the</w:t>
      </w:r>
      <w:r>
        <w:rPr>
          <w:spacing w:val="-8"/>
        </w:rPr>
        <w:t xml:space="preserve"> </w:t>
      </w:r>
      <w:r>
        <w:t>experiences</w:t>
      </w:r>
      <w:r>
        <w:rPr>
          <w:spacing w:val="-8"/>
        </w:rPr>
        <w:t xml:space="preserve"> </w:t>
      </w:r>
      <w:r>
        <w:t>of</w:t>
      </w:r>
      <w:r>
        <w:rPr>
          <w:spacing w:val="-8"/>
        </w:rPr>
        <w:t xml:space="preserve"> </w:t>
      </w:r>
      <w:r>
        <w:t>other</w:t>
      </w:r>
      <w:r>
        <w:rPr>
          <w:spacing w:val="-8"/>
        </w:rPr>
        <w:t xml:space="preserve"> </w:t>
      </w:r>
      <w:r>
        <w:t>consumers, whānau and health workers.</w:t>
      </w:r>
    </w:p>
    <w:p w14:paraId="65DD911A" w14:textId="14CEA602" w:rsidR="00131574" w:rsidRPr="008A4835" w:rsidRDefault="00901427" w:rsidP="007A5080">
      <w:pPr>
        <w:pStyle w:val="Heading1"/>
      </w:pPr>
      <w:r w:rsidRPr="008A4835">
        <w:t>Harm</w:t>
      </w:r>
      <w:r w:rsidRPr="008A4835">
        <w:rPr>
          <w:spacing w:val="-15"/>
        </w:rPr>
        <w:t xml:space="preserve"> </w:t>
      </w:r>
      <w:r w:rsidRPr="008A4835">
        <w:t>events</w:t>
      </w:r>
      <w:r w:rsidRPr="008A4835">
        <w:rPr>
          <w:spacing w:val="-14"/>
        </w:rPr>
        <w:t xml:space="preserve"> </w:t>
      </w:r>
      <w:r w:rsidRPr="008A4835">
        <w:t>by</w:t>
      </w:r>
      <w:r w:rsidRPr="008A4835">
        <w:rPr>
          <w:spacing w:val="-14"/>
        </w:rPr>
        <w:t xml:space="preserve"> </w:t>
      </w:r>
      <w:r w:rsidRPr="008A4835">
        <w:t>health</w:t>
      </w:r>
      <w:r w:rsidRPr="008A4835">
        <w:rPr>
          <w:spacing w:val="-15"/>
        </w:rPr>
        <w:t xml:space="preserve"> </w:t>
      </w:r>
      <w:r w:rsidRPr="008A4835">
        <w:t>service</w:t>
      </w:r>
    </w:p>
    <w:p w14:paraId="1548B43A" w14:textId="2EC902CA" w:rsidR="00BC7051" w:rsidRPr="00B13A99" w:rsidRDefault="005F3E05" w:rsidP="00B13A99">
      <w:pPr>
        <w:pStyle w:val="BodyText"/>
        <w:rPr>
          <w:b/>
          <w:bCs/>
          <w:lang w:val="en-NZ"/>
        </w:rPr>
      </w:pPr>
      <w:r w:rsidRPr="00B13A99">
        <w:rPr>
          <w:b/>
          <w:bCs/>
          <w:lang w:val="en-NZ"/>
        </w:rPr>
        <w:t>3,232</w:t>
      </w:r>
      <w:r w:rsidR="00CF1CAA" w:rsidRPr="00B13A99">
        <w:rPr>
          <w:b/>
          <w:bCs/>
          <w:lang w:val="en-NZ"/>
        </w:rPr>
        <w:t xml:space="preserve"> </w:t>
      </w:r>
      <w:r w:rsidR="007E1619" w:rsidRPr="00B13A99">
        <w:rPr>
          <w:b/>
          <w:bCs/>
          <w:lang w:val="en-NZ"/>
        </w:rPr>
        <w:t>t</w:t>
      </w:r>
      <w:r w:rsidR="00CF1CAA" w:rsidRPr="00B13A99">
        <w:rPr>
          <w:b/>
          <w:bCs/>
          <w:lang w:val="en-NZ"/>
        </w:rPr>
        <w:t>otal</w:t>
      </w: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96"/>
        <w:gridCol w:w="3123"/>
      </w:tblGrid>
      <w:tr w:rsidR="000F3E5A" w:rsidRPr="003E221E" w14:paraId="0E830B24" w14:textId="77777777" w:rsidTr="00B17FBF">
        <w:trPr>
          <w:trHeight w:val="300"/>
        </w:trPr>
        <w:tc>
          <w:tcPr>
            <w:tcW w:w="6096" w:type="dxa"/>
            <w:shd w:val="clear" w:color="auto" w:fill="F2F2F2" w:themeFill="background1" w:themeFillShade="F2"/>
            <w:hideMark/>
          </w:tcPr>
          <w:p w14:paraId="71BC581F" w14:textId="173F57C0" w:rsidR="000F3E5A" w:rsidRPr="003E221E" w:rsidRDefault="000F3E5A" w:rsidP="007A5080">
            <w:pPr>
              <w:rPr>
                <w:lang w:val="en-NZ"/>
              </w:rPr>
            </w:pPr>
            <w:r w:rsidRPr="003E221E">
              <w:t xml:space="preserve">Health </w:t>
            </w:r>
            <w:r w:rsidR="00256D5C" w:rsidRPr="007A5080">
              <w:t>s</w:t>
            </w:r>
            <w:r w:rsidRPr="007A5080">
              <w:t>ervice</w:t>
            </w:r>
            <w:r w:rsidRPr="003E221E">
              <w:rPr>
                <w:lang w:val="en-NZ"/>
              </w:rPr>
              <w:t> </w:t>
            </w:r>
          </w:p>
        </w:tc>
        <w:tc>
          <w:tcPr>
            <w:tcW w:w="3123" w:type="dxa"/>
            <w:shd w:val="clear" w:color="auto" w:fill="F2F2F2" w:themeFill="background1" w:themeFillShade="F2"/>
            <w:hideMark/>
          </w:tcPr>
          <w:p w14:paraId="618D8DBA" w14:textId="5BBD69C4" w:rsidR="000F3E5A" w:rsidRPr="003E221E" w:rsidRDefault="000F3E5A" w:rsidP="007A5080">
            <w:pPr>
              <w:rPr>
                <w:lang w:val="en-NZ"/>
              </w:rPr>
            </w:pPr>
            <w:r w:rsidRPr="003E221E">
              <w:t xml:space="preserve">Reported </w:t>
            </w:r>
            <w:r w:rsidR="00256D5C" w:rsidRPr="003E221E">
              <w:t>harm events</w:t>
            </w:r>
            <w:r w:rsidR="00256D5C" w:rsidRPr="003E221E">
              <w:rPr>
                <w:lang w:val="en-NZ"/>
              </w:rPr>
              <w:t> </w:t>
            </w:r>
          </w:p>
        </w:tc>
      </w:tr>
      <w:tr w:rsidR="000F3E5A" w:rsidRPr="004A28B2" w14:paraId="65086290" w14:textId="77777777" w:rsidTr="00B17FBF">
        <w:trPr>
          <w:trHeight w:val="300"/>
        </w:trPr>
        <w:tc>
          <w:tcPr>
            <w:tcW w:w="6096" w:type="dxa"/>
            <w:hideMark/>
          </w:tcPr>
          <w:p w14:paraId="544F0D23" w14:textId="77777777" w:rsidR="000F3E5A" w:rsidRPr="004A28B2" w:rsidRDefault="000F3E5A" w:rsidP="004A28B2">
            <w:pPr>
              <w:pStyle w:val="BodyText"/>
            </w:pPr>
            <w:r w:rsidRPr="004A28B2">
              <w:t>Aged residential care </w:t>
            </w:r>
          </w:p>
        </w:tc>
        <w:tc>
          <w:tcPr>
            <w:tcW w:w="3123" w:type="dxa"/>
            <w:hideMark/>
          </w:tcPr>
          <w:p w14:paraId="77B7E63B" w14:textId="77777777" w:rsidR="000F3E5A" w:rsidRPr="004A28B2" w:rsidRDefault="000F3E5A" w:rsidP="004A28B2">
            <w:pPr>
              <w:pStyle w:val="BodyText"/>
            </w:pPr>
            <w:r w:rsidRPr="004A28B2">
              <w:t>2,004 </w:t>
            </w:r>
          </w:p>
        </w:tc>
      </w:tr>
      <w:tr w:rsidR="000F3E5A" w:rsidRPr="004A28B2" w14:paraId="1D6B8B41" w14:textId="77777777" w:rsidTr="00B17FBF">
        <w:trPr>
          <w:trHeight w:val="300"/>
        </w:trPr>
        <w:tc>
          <w:tcPr>
            <w:tcW w:w="6096" w:type="dxa"/>
            <w:hideMark/>
          </w:tcPr>
          <w:p w14:paraId="0DBA1558" w14:textId="77777777" w:rsidR="000F3E5A" w:rsidRPr="004A28B2" w:rsidRDefault="000F3E5A" w:rsidP="004A28B2">
            <w:pPr>
              <w:pStyle w:val="BodyText"/>
            </w:pPr>
            <w:r w:rsidRPr="004A28B2">
              <w:t>Health New Zealand | Te Whatu Ora </w:t>
            </w:r>
          </w:p>
        </w:tc>
        <w:tc>
          <w:tcPr>
            <w:tcW w:w="3123" w:type="dxa"/>
            <w:hideMark/>
          </w:tcPr>
          <w:p w14:paraId="36D17B14" w14:textId="77777777" w:rsidR="000F3E5A" w:rsidRPr="004A28B2" w:rsidRDefault="000F3E5A" w:rsidP="004A28B2">
            <w:pPr>
              <w:pStyle w:val="BodyText"/>
            </w:pPr>
            <w:r w:rsidRPr="004A28B2">
              <w:t>1,071 </w:t>
            </w:r>
          </w:p>
        </w:tc>
      </w:tr>
      <w:tr w:rsidR="000F3E5A" w:rsidRPr="004A28B2" w14:paraId="686224A4" w14:textId="77777777" w:rsidTr="00B17FBF">
        <w:trPr>
          <w:trHeight w:val="300"/>
        </w:trPr>
        <w:tc>
          <w:tcPr>
            <w:tcW w:w="6096" w:type="dxa"/>
            <w:hideMark/>
          </w:tcPr>
          <w:p w14:paraId="41CA000D" w14:textId="77777777" w:rsidR="000F3E5A" w:rsidRPr="004A28B2" w:rsidRDefault="000F3E5A" w:rsidP="004A28B2">
            <w:pPr>
              <w:pStyle w:val="BodyText"/>
            </w:pPr>
            <w:r w:rsidRPr="004A28B2">
              <w:t>New Zealand Private Surgical Hospital Association </w:t>
            </w:r>
          </w:p>
        </w:tc>
        <w:tc>
          <w:tcPr>
            <w:tcW w:w="3123" w:type="dxa"/>
            <w:hideMark/>
          </w:tcPr>
          <w:p w14:paraId="7D70B87A" w14:textId="77777777" w:rsidR="000F3E5A" w:rsidRPr="004A28B2" w:rsidRDefault="000F3E5A" w:rsidP="004A28B2">
            <w:pPr>
              <w:pStyle w:val="BodyText"/>
            </w:pPr>
            <w:r w:rsidRPr="004A28B2">
              <w:t>66 </w:t>
            </w:r>
          </w:p>
        </w:tc>
      </w:tr>
      <w:tr w:rsidR="000F3E5A" w:rsidRPr="004A28B2" w14:paraId="31E49D27" w14:textId="77777777" w:rsidTr="00B17FBF">
        <w:trPr>
          <w:trHeight w:val="300"/>
        </w:trPr>
        <w:tc>
          <w:tcPr>
            <w:tcW w:w="6096" w:type="dxa"/>
            <w:hideMark/>
          </w:tcPr>
          <w:p w14:paraId="18249F64" w14:textId="77777777" w:rsidR="000F3E5A" w:rsidRPr="004A28B2" w:rsidRDefault="000F3E5A" w:rsidP="004A28B2">
            <w:pPr>
              <w:pStyle w:val="BodyText"/>
            </w:pPr>
            <w:r w:rsidRPr="004A28B2">
              <w:t>Pre-hospital &amp; transfer services </w:t>
            </w:r>
          </w:p>
        </w:tc>
        <w:tc>
          <w:tcPr>
            <w:tcW w:w="3123" w:type="dxa"/>
            <w:hideMark/>
          </w:tcPr>
          <w:p w14:paraId="500383D0" w14:textId="77777777" w:rsidR="000F3E5A" w:rsidRPr="004A28B2" w:rsidRDefault="000F3E5A" w:rsidP="004A28B2">
            <w:pPr>
              <w:pStyle w:val="BodyText"/>
            </w:pPr>
            <w:r w:rsidRPr="004A28B2">
              <w:t>25 </w:t>
            </w:r>
          </w:p>
        </w:tc>
      </w:tr>
      <w:tr w:rsidR="000F3E5A" w:rsidRPr="004A28B2" w14:paraId="47B4E3A4" w14:textId="77777777" w:rsidTr="00B17FBF">
        <w:trPr>
          <w:trHeight w:val="300"/>
        </w:trPr>
        <w:tc>
          <w:tcPr>
            <w:tcW w:w="6096" w:type="dxa"/>
            <w:hideMark/>
          </w:tcPr>
          <w:p w14:paraId="2A6DABCC" w14:textId="77777777" w:rsidR="000F3E5A" w:rsidRPr="004A28B2" w:rsidRDefault="000F3E5A" w:rsidP="004A28B2">
            <w:pPr>
              <w:pStyle w:val="BodyText"/>
            </w:pPr>
            <w:r w:rsidRPr="004A28B2">
              <w:t>Primary care </w:t>
            </w:r>
          </w:p>
        </w:tc>
        <w:tc>
          <w:tcPr>
            <w:tcW w:w="3123" w:type="dxa"/>
            <w:hideMark/>
          </w:tcPr>
          <w:p w14:paraId="4C6487A7" w14:textId="77777777" w:rsidR="000F3E5A" w:rsidRPr="004A28B2" w:rsidRDefault="000F3E5A" w:rsidP="004A28B2">
            <w:pPr>
              <w:pStyle w:val="BodyText"/>
            </w:pPr>
            <w:r w:rsidRPr="004A28B2">
              <w:t>22 </w:t>
            </w:r>
          </w:p>
        </w:tc>
      </w:tr>
      <w:tr w:rsidR="000F3E5A" w:rsidRPr="004A28B2" w14:paraId="6E8C7FD9" w14:textId="77777777" w:rsidTr="00B17FBF">
        <w:trPr>
          <w:trHeight w:val="300"/>
        </w:trPr>
        <w:tc>
          <w:tcPr>
            <w:tcW w:w="6096" w:type="dxa"/>
            <w:hideMark/>
          </w:tcPr>
          <w:p w14:paraId="018DD97B" w14:textId="77777777" w:rsidR="000F3E5A" w:rsidRPr="004A28B2" w:rsidRDefault="000F3E5A" w:rsidP="004A28B2">
            <w:pPr>
              <w:pStyle w:val="BodyText"/>
            </w:pPr>
            <w:r w:rsidRPr="004A28B2">
              <w:t>Hospice services </w:t>
            </w:r>
          </w:p>
        </w:tc>
        <w:tc>
          <w:tcPr>
            <w:tcW w:w="3123" w:type="dxa"/>
            <w:hideMark/>
          </w:tcPr>
          <w:p w14:paraId="39DD016D" w14:textId="77777777" w:rsidR="000F3E5A" w:rsidRPr="004A28B2" w:rsidRDefault="000F3E5A" w:rsidP="004A28B2">
            <w:pPr>
              <w:pStyle w:val="BodyText"/>
            </w:pPr>
            <w:r w:rsidRPr="004A28B2">
              <w:t>18 </w:t>
            </w:r>
          </w:p>
        </w:tc>
      </w:tr>
      <w:tr w:rsidR="000F3E5A" w:rsidRPr="004A28B2" w14:paraId="0AF700DE" w14:textId="77777777" w:rsidTr="00B17FBF">
        <w:trPr>
          <w:trHeight w:val="300"/>
        </w:trPr>
        <w:tc>
          <w:tcPr>
            <w:tcW w:w="6096" w:type="dxa"/>
            <w:hideMark/>
          </w:tcPr>
          <w:p w14:paraId="1F11978D" w14:textId="77777777" w:rsidR="000F3E5A" w:rsidRPr="004A28B2" w:rsidRDefault="000F3E5A" w:rsidP="004A28B2">
            <w:pPr>
              <w:pStyle w:val="BodyText"/>
            </w:pPr>
            <w:r w:rsidRPr="004A28B2">
              <w:t>Home and community support services </w:t>
            </w:r>
          </w:p>
        </w:tc>
        <w:tc>
          <w:tcPr>
            <w:tcW w:w="3123" w:type="dxa"/>
            <w:hideMark/>
          </w:tcPr>
          <w:p w14:paraId="00EFCF79" w14:textId="77777777" w:rsidR="000F3E5A" w:rsidRPr="004A28B2" w:rsidRDefault="000F3E5A" w:rsidP="004A28B2">
            <w:pPr>
              <w:pStyle w:val="BodyText"/>
            </w:pPr>
            <w:r w:rsidRPr="004A28B2">
              <w:t>14 </w:t>
            </w:r>
          </w:p>
        </w:tc>
      </w:tr>
      <w:tr w:rsidR="000F3E5A" w:rsidRPr="004A28B2" w14:paraId="67B1B566" w14:textId="77777777" w:rsidTr="00B17FBF">
        <w:trPr>
          <w:trHeight w:val="300"/>
        </w:trPr>
        <w:tc>
          <w:tcPr>
            <w:tcW w:w="6096" w:type="dxa"/>
            <w:hideMark/>
          </w:tcPr>
          <w:p w14:paraId="40E9090F" w14:textId="77777777" w:rsidR="000F3E5A" w:rsidRPr="004A28B2" w:rsidRDefault="000F3E5A" w:rsidP="004A28B2">
            <w:pPr>
              <w:pStyle w:val="BodyText"/>
            </w:pPr>
            <w:r w:rsidRPr="004A28B2">
              <w:t>Telehealth </w:t>
            </w:r>
          </w:p>
        </w:tc>
        <w:tc>
          <w:tcPr>
            <w:tcW w:w="3123" w:type="dxa"/>
            <w:hideMark/>
          </w:tcPr>
          <w:p w14:paraId="470D6392" w14:textId="77777777" w:rsidR="000F3E5A" w:rsidRPr="004A28B2" w:rsidRDefault="000F3E5A" w:rsidP="004A28B2">
            <w:pPr>
              <w:pStyle w:val="BodyText"/>
            </w:pPr>
            <w:r w:rsidRPr="004A28B2">
              <w:t>9 </w:t>
            </w:r>
          </w:p>
        </w:tc>
      </w:tr>
      <w:tr w:rsidR="000F3E5A" w:rsidRPr="004A28B2" w14:paraId="73133686" w14:textId="77777777" w:rsidTr="00B17FBF">
        <w:trPr>
          <w:trHeight w:val="300"/>
        </w:trPr>
        <w:tc>
          <w:tcPr>
            <w:tcW w:w="6096" w:type="dxa"/>
            <w:hideMark/>
          </w:tcPr>
          <w:p w14:paraId="2788F055" w14:textId="77777777" w:rsidR="000F3E5A" w:rsidRPr="004A28B2" w:rsidRDefault="000F3E5A" w:rsidP="00316832">
            <w:pPr>
              <w:pStyle w:val="BodyText"/>
              <w:spacing w:after="120"/>
            </w:pPr>
            <w:r w:rsidRPr="004A28B2">
              <w:t>Other (≤5 per provider) </w:t>
            </w:r>
          </w:p>
        </w:tc>
        <w:tc>
          <w:tcPr>
            <w:tcW w:w="3123" w:type="dxa"/>
            <w:hideMark/>
          </w:tcPr>
          <w:p w14:paraId="4B78C465" w14:textId="77777777" w:rsidR="000F3E5A" w:rsidRPr="004A28B2" w:rsidRDefault="000F3E5A" w:rsidP="00316832">
            <w:pPr>
              <w:pStyle w:val="BodyText"/>
              <w:spacing w:after="120"/>
            </w:pPr>
            <w:r w:rsidRPr="004A28B2">
              <w:t>3 </w:t>
            </w:r>
          </w:p>
        </w:tc>
      </w:tr>
    </w:tbl>
    <w:p w14:paraId="79A3BE05" w14:textId="77777777" w:rsidR="007E1619" w:rsidRPr="008A4835" w:rsidRDefault="007E1619" w:rsidP="007A5080">
      <w:pPr>
        <w:pStyle w:val="Heading1"/>
      </w:pPr>
      <w:r w:rsidRPr="008A4835">
        <w:t>Aged</w:t>
      </w:r>
      <w:r w:rsidRPr="008A4835">
        <w:rPr>
          <w:spacing w:val="-21"/>
        </w:rPr>
        <w:t xml:space="preserve"> </w:t>
      </w:r>
      <w:r w:rsidRPr="007A5080">
        <w:t>residential</w:t>
      </w:r>
      <w:r w:rsidRPr="008A4835">
        <w:rPr>
          <w:spacing w:val="-20"/>
        </w:rPr>
        <w:t xml:space="preserve"> </w:t>
      </w:r>
      <w:r w:rsidRPr="008A4835">
        <w:t>care</w:t>
      </w:r>
    </w:p>
    <w:p w14:paraId="795ACCBD" w14:textId="7BF1C790" w:rsidR="007E1619" w:rsidRPr="00B13A99" w:rsidRDefault="007E1619" w:rsidP="00B13A99">
      <w:pPr>
        <w:pStyle w:val="BodyText"/>
        <w:rPr>
          <w:b/>
          <w:bCs/>
          <w:lang w:val="en-NZ"/>
        </w:rPr>
      </w:pPr>
      <w:r w:rsidRPr="00B13A99">
        <w:rPr>
          <w:b/>
          <w:bCs/>
          <w:lang w:val="en-NZ"/>
        </w:rPr>
        <w:t>2,004 total</w:t>
      </w: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96"/>
        <w:gridCol w:w="3123"/>
      </w:tblGrid>
      <w:tr w:rsidR="00295E1B" w:rsidRPr="00932AE0" w14:paraId="5E4231D4" w14:textId="77777777" w:rsidTr="003766E4">
        <w:trPr>
          <w:trHeight w:val="300"/>
        </w:trPr>
        <w:tc>
          <w:tcPr>
            <w:tcW w:w="6096" w:type="dxa"/>
            <w:shd w:val="clear" w:color="auto" w:fill="F2F2F2" w:themeFill="background1" w:themeFillShade="F2"/>
            <w:hideMark/>
          </w:tcPr>
          <w:p w14:paraId="41F22E1C" w14:textId="77777777" w:rsidR="00295E1B" w:rsidRPr="00932AE0" w:rsidRDefault="00295E1B" w:rsidP="007A5080">
            <w:pPr>
              <w:rPr>
                <w:lang w:val="en-NZ"/>
              </w:rPr>
            </w:pPr>
            <w:r w:rsidRPr="00932AE0">
              <w:t>Category</w:t>
            </w:r>
            <w:r w:rsidRPr="00932AE0">
              <w:rPr>
                <w:lang w:val="en-NZ"/>
              </w:rPr>
              <w:t> </w:t>
            </w:r>
          </w:p>
        </w:tc>
        <w:tc>
          <w:tcPr>
            <w:tcW w:w="3123" w:type="dxa"/>
            <w:shd w:val="clear" w:color="auto" w:fill="F2F2F2" w:themeFill="background1" w:themeFillShade="F2"/>
            <w:hideMark/>
          </w:tcPr>
          <w:p w14:paraId="02DFC982" w14:textId="0613807E" w:rsidR="00295E1B" w:rsidRPr="00932AE0" w:rsidRDefault="003A13CD" w:rsidP="007A5080">
            <w:pPr>
              <w:rPr>
                <w:lang w:val="en-NZ"/>
              </w:rPr>
            </w:pPr>
            <w:r w:rsidRPr="00932AE0">
              <w:t>Number</w:t>
            </w:r>
          </w:p>
        </w:tc>
      </w:tr>
      <w:tr w:rsidR="00295E1B" w:rsidRPr="00932AE0" w14:paraId="24378158" w14:textId="77777777" w:rsidTr="003766E4">
        <w:trPr>
          <w:trHeight w:val="300"/>
        </w:trPr>
        <w:tc>
          <w:tcPr>
            <w:tcW w:w="6096" w:type="dxa"/>
            <w:hideMark/>
          </w:tcPr>
          <w:p w14:paraId="2C7E754D" w14:textId="77777777" w:rsidR="00295E1B" w:rsidRPr="00932AE0" w:rsidRDefault="00295E1B" w:rsidP="007A5080">
            <w:pPr>
              <w:rPr>
                <w:b w:val="0"/>
                <w:bCs w:val="0"/>
                <w:lang w:val="en-NZ"/>
              </w:rPr>
            </w:pPr>
            <w:r w:rsidRPr="00932AE0">
              <w:rPr>
                <w:b w:val="0"/>
                <w:bCs w:val="0"/>
              </w:rPr>
              <w:t>Falls</w:t>
            </w:r>
            <w:r w:rsidRPr="00932AE0">
              <w:rPr>
                <w:b w:val="0"/>
                <w:bCs w:val="0"/>
                <w:lang w:val="en-NZ"/>
              </w:rPr>
              <w:t> </w:t>
            </w:r>
          </w:p>
        </w:tc>
        <w:tc>
          <w:tcPr>
            <w:tcW w:w="3123" w:type="dxa"/>
            <w:hideMark/>
          </w:tcPr>
          <w:p w14:paraId="0A66C8F1" w14:textId="77777777" w:rsidR="00295E1B" w:rsidRPr="00932AE0" w:rsidRDefault="00295E1B" w:rsidP="007A5080">
            <w:pPr>
              <w:rPr>
                <w:b w:val="0"/>
                <w:bCs w:val="0"/>
                <w:lang w:val="en-NZ"/>
              </w:rPr>
            </w:pPr>
            <w:r w:rsidRPr="00932AE0">
              <w:rPr>
                <w:b w:val="0"/>
                <w:bCs w:val="0"/>
              </w:rPr>
              <w:t>1,154</w:t>
            </w:r>
            <w:r w:rsidRPr="00932AE0">
              <w:rPr>
                <w:b w:val="0"/>
                <w:bCs w:val="0"/>
                <w:lang w:val="en-NZ"/>
              </w:rPr>
              <w:t> </w:t>
            </w:r>
          </w:p>
        </w:tc>
      </w:tr>
      <w:tr w:rsidR="00295E1B" w:rsidRPr="00932AE0" w14:paraId="64ABD73E" w14:textId="77777777" w:rsidTr="003766E4">
        <w:trPr>
          <w:trHeight w:val="300"/>
        </w:trPr>
        <w:tc>
          <w:tcPr>
            <w:tcW w:w="6096" w:type="dxa"/>
            <w:hideMark/>
          </w:tcPr>
          <w:p w14:paraId="0069E4DD" w14:textId="77777777" w:rsidR="00295E1B" w:rsidRPr="00932AE0" w:rsidRDefault="00295E1B" w:rsidP="007A5080">
            <w:pPr>
              <w:rPr>
                <w:b w:val="0"/>
                <w:bCs w:val="0"/>
                <w:lang w:val="en-NZ"/>
              </w:rPr>
            </w:pPr>
            <w:r w:rsidRPr="00932AE0">
              <w:rPr>
                <w:b w:val="0"/>
                <w:bCs w:val="0"/>
              </w:rPr>
              <w:t>Pressure injury</w:t>
            </w:r>
            <w:r w:rsidRPr="00932AE0">
              <w:rPr>
                <w:b w:val="0"/>
                <w:bCs w:val="0"/>
                <w:lang w:val="en-NZ"/>
              </w:rPr>
              <w:t> </w:t>
            </w:r>
          </w:p>
        </w:tc>
        <w:tc>
          <w:tcPr>
            <w:tcW w:w="3123" w:type="dxa"/>
            <w:hideMark/>
          </w:tcPr>
          <w:p w14:paraId="797DA83B" w14:textId="77777777" w:rsidR="00295E1B" w:rsidRPr="00932AE0" w:rsidRDefault="00295E1B" w:rsidP="007A5080">
            <w:pPr>
              <w:rPr>
                <w:b w:val="0"/>
                <w:bCs w:val="0"/>
                <w:lang w:val="en-NZ"/>
              </w:rPr>
            </w:pPr>
            <w:r w:rsidRPr="00932AE0">
              <w:rPr>
                <w:b w:val="0"/>
                <w:bCs w:val="0"/>
              </w:rPr>
              <w:t>748</w:t>
            </w:r>
            <w:r w:rsidRPr="00932AE0">
              <w:rPr>
                <w:b w:val="0"/>
                <w:bCs w:val="0"/>
                <w:lang w:val="en-NZ"/>
              </w:rPr>
              <w:t> </w:t>
            </w:r>
          </w:p>
        </w:tc>
      </w:tr>
      <w:tr w:rsidR="00295E1B" w:rsidRPr="00932AE0" w14:paraId="3D4BAFF9" w14:textId="77777777" w:rsidTr="003766E4">
        <w:trPr>
          <w:trHeight w:val="300"/>
        </w:trPr>
        <w:tc>
          <w:tcPr>
            <w:tcW w:w="6096" w:type="dxa"/>
            <w:hideMark/>
          </w:tcPr>
          <w:p w14:paraId="2F6D5ED5" w14:textId="77777777" w:rsidR="00295E1B" w:rsidRPr="00932AE0" w:rsidRDefault="00295E1B" w:rsidP="007A5080">
            <w:pPr>
              <w:rPr>
                <w:b w:val="0"/>
                <w:bCs w:val="0"/>
                <w:lang w:val="en-NZ"/>
              </w:rPr>
            </w:pPr>
            <w:r w:rsidRPr="00932AE0">
              <w:rPr>
                <w:b w:val="0"/>
                <w:bCs w:val="0"/>
              </w:rPr>
              <w:t>Consumer accidents</w:t>
            </w:r>
            <w:r w:rsidRPr="00932AE0">
              <w:rPr>
                <w:b w:val="0"/>
                <w:bCs w:val="0"/>
                <w:lang w:val="en-NZ"/>
              </w:rPr>
              <w:t> </w:t>
            </w:r>
          </w:p>
        </w:tc>
        <w:tc>
          <w:tcPr>
            <w:tcW w:w="3123" w:type="dxa"/>
            <w:hideMark/>
          </w:tcPr>
          <w:p w14:paraId="11DBEE25" w14:textId="77777777" w:rsidR="00295E1B" w:rsidRPr="00932AE0" w:rsidRDefault="00295E1B" w:rsidP="007A5080">
            <w:pPr>
              <w:rPr>
                <w:b w:val="0"/>
                <w:bCs w:val="0"/>
                <w:lang w:val="en-NZ"/>
              </w:rPr>
            </w:pPr>
            <w:r w:rsidRPr="00932AE0">
              <w:rPr>
                <w:b w:val="0"/>
                <w:bCs w:val="0"/>
              </w:rPr>
              <w:t>45</w:t>
            </w:r>
            <w:r w:rsidRPr="00932AE0">
              <w:rPr>
                <w:b w:val="0"/>
                <w:bCs w:val="0"/>
                <w:lang w:val="en-NZ"/>
              </w:rPr>
              <w:t> </w:t>
            </w:r>
          </w:p>
        </w:tc>
      </w:tr>
      <w:tr w:rsidR="00295E1B" w:rsidRPr="00932AE0" w14:paraId="7603AECE" w14:textId="77777777" w:rsidTr="003766E4">
        <w:trPr>
          <w:trHeight w:val="300"/>
        </w:trPr>
        <w:tc>
          <w:tcPr>
            <w:tcW w:w="6096" w:type="dxa"/>
            <w:hideMark/>
          </w:tcPr>
          <w:p w14:paraId="1BAAB595" w14:textId="77777777" w:rsidR="00295E1B" w:rsidRPr="00932AE0" w:rsidRDefault="00295E1B" w:rsidP="007A5080">
            <w:pPr>
              <w:rPr>
                <w:b w:val="0"/>
                <w:bCs w:val="0"/>
                <w:lang w:val="en-NZ"/>
              </w:rPr>
            </w:pPr>
            <w:proofErr w:type="spellStart"/>
            <w:r w:rsidRPr="00932AE0">
              <w:rPr>
                <w:b w:val="0"/>
                <w:bCs w:val="0"/>
              </w:rPr>
              <w:t>Behaviour</w:t>
            </w:r>
            <w:proofErr w:type="spellEnd"/>
            <w:r w:rsidRPr="00932AE0">
              <w:rPr>
                <w:b w:val="0"/>
                <w:bCs w:val="0"/>
                <w:lang w:val="en-NZ"/>
              </w:rPr>
              <w:t> </w:t>
            </w:r>
          </w:p>
        </w:tc>
        <w:tc>
          <w:tcPr>
            <w:tcW w:w="3123" w:type="dxa"/>
            <w:hideMark/>
          </w:tcPr>
          <w:p w14:paraId="7F04CB99" w14:textId="77777777" w:rsidR="00295E1B" w:rsidRPr="00932AE0" w:rsidRDefault="00295E1B" w:rsidP="007A5080">
            <w:pPr>
              <w:rPr>
                <w:b w:val="0"/>
                <w:bCs w:val="0"/>
                <w:lang w:val="en-NZ"/>
              </w:rPr>
            </w:pPr>
            <w:r w:rsidRPr="00932AE0">
              <w:rPr>
                <w:b w:val="0"/>
                <w:bCs w:val="0"/>
              </w:rPr>
              <w:t>26</w:t>
            </w:r>
            <w:r w:rsidRPr="00932AE0">
              <w:rPr>
                <w:b w:val="0"/>
                <w:bCs w:val="0"/>
                <w:lang w:val="en-NZ"/>
              </w:rPr>
              <w:t> </w:t>
            </w:r>
          </w:p>
        </w:tc>
      </w:tr>
      <w:tr w:rsidR="00295E1B" w:rsidRPr="00932AE0" w14:paraId="0E83CCA8" w14:textId="77777777" w:rsidTr="003766E4">
        <w:trPr>
          <w:trHeight w:val="300"/>
        </w:trPr>
        <w:tc>
          <w:tcPr>
            <w:tcW w:w="6096" w:type="dxa"/>
            <w:hideMark/>
          </w:tcPr>
          <w:p w14:paraId="0656095A" w14:textId="77777777" w:rsidR="00295E1B" w:rsidRPr="00932AE0" w:rsidRDefault="00295E1B" w:rsidP="007A5080">
            <w:pPr>
              <w:rPr>
                <w:b w:val="0"/>
                <w:bCs w:val="0"/>
                <w:lang w:val="en-NZ"/>
              </w:rPr>
            </w:pPr>
            <w:r w:rsidRPr="00932AE0">
              <w:rPr>
                <w:b w:val="0"/>
                <w:bCs w:val="0"/>
              </w:rPr>
              <w:t>Adverse outcome</w:t>
            </w:r>
            <w:r w:rsidRPr="00932AE0">
              <w:rPr>
                <w:b w:val="0"/>
                <w:bCs w:val="0"/>
                <w:lang w:val="en-NZ"/>
              </w:rPr>
              <w:t> </w:t>
            </w:r>
          </w:p>
        </w:tc>
        <w:tc>
          <w:tcPr>
            <w:tcW w:w="3123" w:type="dxa"/>
            <w:hideMark/>
          </w:tcPr>
          <w:p w14:paraId="2DB1868E" w14:textId="77777777" w:rsidR="00295E1B" w:rsidRPr="00932AE0" w:rsidRDefault="00295E1B" w:rsidP="007A5080">
            <w:pPr>
              <w:rPr>
                <w:b w:val="0"/>
                <w:bCs w:val="0"/>
                <w:lang w:val="en-NZ"/>
              </w:rPr>
            </w:pPr>
            <w:r w:rsidRPr="00932AE0">
              <w:rPr>
                <w:b w:val="0"/>
                <w:bCs w:val="0"/>
              </w:rPr>
              <w:t>18</w:t>
            </w:r>
            <w:r w:rsidRPr="00932AE0">
              <w:rPr>
                <w:b w:val="0"/>
                <w:bCs w:val="0"/>
                <w:lang w:val="en-NZ"/>
              </w:rPr>
              <w:t> </w:t>
            </w:r>
          </w:p>
        </w:tc>
      </w:tr>
      <w:tr w:rsidR="00295E1B" w:rsidRPr="00932AE0" w14:paraId="319CD93A" w14:textId="77777777" w:rsidTr="003766E4">
        <w:trPr>
          <w:trHeight w:val="300"/>
        </w:trPr>
        <w:tc>
          <w:tcPr>
            <w:tcW w:w="6096" w:type="dxa"/>
            <w:hideMark/>
          </w:tcPr>
          <w:p w14:paraId="714EFF0D" w14:textId="77777777" w:rsidR="00295E1B" w:rsidRPr="00932AE0" w:rsidRDefault="00295E1B" w:rsidP="00316832">
            <w:pPr>
              <w:spacing w:after="120"/>
              <w:rPr>
                <w:b w:val="0"/>
                <w:bCs w:val="0"/>
                <w:lang w:val="en-NZ"/>
              </w:rPr>
            </w:pPr>
            <w:r w:rsidRPr="00932AE0">
              <w:rPr>
                <w:b w:val="0"/>
                <w:bCs w:val="0"/>
              </w:rPr>
              <w:t>Other (≤5 per category)</w:t>
            </w:r>
            <w:r w:rsidRPr="00932AE0">
              <w:rPr>
                <w:b w:val="0"/>
                <w:bCs w:val="0"/>
                <w:lang w:val="en-NZ"/>
              </w:rPr>
              <w:t> </w:t>
            </w:r>
          </w:p>
        </w:tc>
        <w:tc>
          <w:tcPr>
            <w:tcW w:w="3123" w:type="dxa"/>
            <w:hideMark/>
          </w:tcPr>
          <w:p w14:paraId="7E9B947F" w14:textId="77777777" w:rsidR="00295E1B" w:rsidRPr="00932AE0" w:rsidRDefault="00295E1B" w:rsidP="00316832">
            <w:pPr>
              <w:spacing w:after="120"/>
              <w:rPr>
                <w:b w:val="0"/>
                <w:bCs w:val="0"/>
                <w:lang w:val="en-NZ"/>
              </w:rPr>
            </w:pPr>
            <w:r w:rsidRPr="00932AE0">
              <w:rPr>
                <w:b w:val="0"/>
                <w:bCs w:val="0"/>
              </w:rPr>
              <w:t>7</w:t>
            </w:r>
            <w:r w:rsidRPr="00932AE0">
              <w:rPr>
                <w:b w:val="0"/>
                <w:bCs w:val="0"/>
                <w:lang w:val="en-NZ"/>
              </w:rPr>
              <w:t> </w:t>
            </w:r>
          </w:p>
        </w:tc>
      </w:tr>
    </w:tbl>
    <w:p w14:paraId="145B5AB9" w14:textId="77777777" w:rsidR="003A13CD" w:rsidRPr="00CC5481" w:rsidRDefault="003A13CD" w:rsidP="007A5080">
      <w:pPr>
        <w:pStyle w:val="Heading1"/>
      </w:pPr>
      <w:r w:rsidRPr="00CC5481">
        <w:rPr>
          <w:w w:val="95"/>
        </w:rPr>
        <w:t>Health</w:t>
      </w:r>
      <w:r w:rsidRPr="00CC5481">
        <w:rPr>
          <w:spacing w:val="-15"/>
          <w:w w:val="95"/>
        </w:rPr>
        <w:t xml:space="preserve"> </w:t>
      </w:r>
      <w:r w:rsidRPr="00CC5481">
        <w:rPr>
          <w:w w:val="95"/>
        </w:rPr>
        <w:t>New</w:t>
      </w:r>
      <w:r w:rsidRPr="00CC5481">
        <w:rPr>
          <w:spacing w:val="-14"/>
          <w:w w:val="95"/>
        </w:rPr>
        <w:t xml:space="preserve"> </w:t>
      </w:r>
      <w:r w:rsidRPr="00CC5481">
        <w:rPr>
          <w:w w:val="95"/>
        </w:rPr>
        <w:t>Zealand</w:t>
      </w:r>
      <w:r w:rsidRPr="00CC5481">
        <w:rPr>
          <w:spacing w:val="-15"/>
          <w:w w:val="95"/>
        </w:rPr>
        <w:t xml:space="preserve"> </w:t>
      </w:r>
      <w:r w:rsidRPr="00CC5481">
        <w:rPr>
          <w:w w:val="80"/>
        </w:rPr>
        <w:t>|</w:t>
      </w:r>
      <w:r w:rsidRPr="00CC5481">
        <w:rPr>
          <w:spacing w:val="-14"/>
          <w:w w:val="95"/>
        </w:rPr>
        <w:t xml:space="preserve"> </w:t>
      </w:r>
      <w:r w:rsidRPr="00CC5481">
        <w:rPr>
          <w:w w:val="95"/>
        </w:rPr>
        <w:t>Te</w:t>
      </w:r>
      <w:r w:rsidRPr="00CC5481">
        <w:rPr>
          <w:spacing w:val="-14"/>
          <w:w w:val="95"/>
        </w:rPr>
        <w:t xml:space="preserve"> </w:t>
      </w:r>
      <w:r w:rsidRPr="00CC5481">
        <w:rPr>
          <w:w w:val="95"/>
        </w:rPr>
        <w:t>Whatu</w:t>
      </w:r>
      <w:r w:rsidRPr="00CC5481">
        <w:rPr>
          <w:spacing w:val="-15"/>
          <w:w w:val="95"/>
        </w:rPr>
        <w:t xml:space="preserve"> </w:t>
      </w:r>
      <w:r w:rsidRPr="00CC5481">
        <w:rPr>
          <w:w w:val="95"/>
        </w:rPr>
        <w:t>Ora</w:t>
      </w:r>
    </w:p>
    <w:p w14:paraId="717A3BF3" w14:textId="042C16A3" w:rsidR="007E1619" w:rsidRPr="00B13A99" w:rsidRDefault="003A13CD" w:rsidP="00B13A99">
      <w:pPr>
        <w:pStyle w:val="BodyText"/>
        <w:rPr>
          <w:b/>
          <w:bCs/>
        </w:rPr>
      </w:pPr>
      <w:r w:rsidRPr="00B13A99">
        <w:rPr>
          <w:b/>
          <w:bCs/>
        </w:rPr>
        <w:t>There</w:t>
      </w:r>
      <w:r w:rsidRPr="00B13A99">
        <w:rPr>
          <w:b/>
          <w:bCs/>
          <w:spacing w:val="-4"/>
        </w:rPr>
        <w:t xml:space="preserve"> </w:t>
      </w:r>
      <w:r w:rsidRPr="00B13A99">
        <w:rPr>
          <w:b/>
          <w:bCs/>
        </w:rPr>
        <w:t>has</w:t>
      </w:r>
      <w:r w:rsidRPr="00B13A99">
        <w:rPr>
          <w:b/>
          <w:bCs/>
          <w:spacing w:val="-4"/>
        </w:rPr>
        <w:t xml:space="preserve"> </w:t>
      </w:r>
      <w:r w:rsidRPr="00B13A99">
        <w:rPr>
          <w:b/>
          <w:bCs/>
        </w:rPr>
        <w:t>been</w:t>
      </w:r>
      <w:r w:rsidRPr="00B13A99">
        <w:rPr>
          <w:b/>
          <w:bCs/>
          <w:spacing w:val="-4"/>
        </w:rPr>
        <w:t xml:space="preserve"> </w:t>
      </w:r>
      <w:r w:rsidRPr="00B13A99">
        <w:rPr>
          <w:b/>
          <w:bCs/>
        </w:rPr>
        <w:t>a</w:t>
      </w:r>
      <w:r w:rsidRPr="00B13A99">
        <w:rPr>
          <w:b/>
          <w:bCs/>
          <w:spacing w:val="-3"/>
        </w:rPr>
        <w:t xml:space="preserve"> </w:t>
      </w:r>
      <w:r w:rsidRPr="00B13A99">
        <w:rPr>
          <w:b/>
          <w:bCs/>
        </w:rPr>
        <w:t>sustained</w:t>
      </w:r>
      <w:r w:rsidRPr="00B13A99">
        <w:rPr>
          <w:b/>
          <w:bCs/>
          <w:spacing w:val="-4"/>
        </w:rPr>
        <w:t xml:space="preserve"> </w:t>
      </w:r>
      <w:r w:rsidRPr="00B13A99">
        <w:rPr>
          <w:b/>
          <w:bCs/>
        </w:rPr>
        <w:t>reduction</w:t>
      </w:r>
      <w:r w:rsidRPr="00B13A99">
        <w:rPr>
          <w:b/>
          <w:bCs/>
          <w:spacing w:val="-4"/>
        </w:rPr>
        <w:t xml:space="preserve"> </w:t>
      </w:r>
      <w:r w:rsidRPr="00B13A99">
        <w:rPr>
          <w:b/>
          <w:bCs/>
        </w:rPr>
        <w:t>in</w:t>
      </w:r>
      <w:r w:rsidRPr="00B13A99">
        <w:rPr>
          <w:b/>
          <w:bCs/>
          <w:spacing w:val="-4"/>
        </w:rPr>
        <w:t xml:space="preserve"> </w:t>
      </w:r>
      <w:r w:rsidRPr="00B13A99">
        <w:rPr>
          <w:b/>
          <w:bCs/>
        </w:rPr>
        <w:t>reported</w:t>
      </w:r>
      <w:r w:rsidRPr="00B13A99">
        <w:rPr>
          <w:b/>
          <w:bCs/>
          <w:spacing w:val="-3"/>
        </w:rPr>
        <w:t xml:space="preserve"> </w:t>
      </w:r>
      <w:r w:rsidRPr="00B13A99">
        <w:rPr>
          <w:b/>
          <w:bCs/>
        </w:rPr>
        <w:t>harm</w:t>
      </w:r>
      <w:r w:rsidRPr="00B13A99">
        <w:rPr>
          <w:b/>
          <w:bCs/>
          <w:spacing w:val="-4"/>
        </w:rPr>
        <w:t xml:space="preserve"> </w:t>
      </w:r>
      <w:r w:rsidRPr="00B13A99">
        <w:rPr>
          <w:b/>
          <w:bCs/>
        </w:rPr>
        <w:t>events</w:t>
      </w:r>
      <w:r w:rsidRPr="00B13A99">
        <w:rPr>
          <w:b/>
          <w:bCs/>
          <w:spacing w:val="-4"/>
        </w:rPr>
        <w:t xml:space="preserve"> </w:t>
      </w:r>
      <w:r w:rsidRPr="00B13A99">
        <w:rPr>
          <w:b/>
          <w:bCs/>
        </w:rPr>
        <w:t>for</w:t>
      </w:r>
      <w:r w:rsidRPr="00B13A99">
        <w:rPr>
          <w:b/>
          <w:bCs/>
          <w:spacing w:val="-3"/>
        </w:rPr>
        <w:t xml:space="preserve"> </w:t>
      </w:r>
      <w:r w:rsidRPr="00B13A99">
        <w:rPr>
          <w:b/>
          <w:bCs/>
          <w:spacing w:val="-2"/>
        </w:rPr>
        <w:t>complications</w:t>
      </w:r>
      <w:r w:rsidR="00316832" w:rsidRPr="00B13A99">
        <w:rPr>
          <w:b/>
          <w:bCs/>
          <w:spacing w:val="-2"/>
        </w:rPr>
        <w:t>.</w:t>
      </w: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96"/>
        <w:gridCol w:w="3123"/>
      </w:tblGrid>
      <w:tr w:rsidR="00932AE0" w:rsidRPr="00932AE0" w14:paraId="39285DA2" w14:textId="77777777" w:rsidTr="003766E4">
        <w:trPr>
          <w:trHeight w:val="300"/>
        </w:trPr>
        <w:tc>
          <w:tcPr>
            <w:tcW w:w="6096" w:type="dxa"/>
            <w:shd w:val="clear" w:color="auto" w:fill="F2F2F2" w:themeFill="background1" w:themeFillShade="F2"/>
            <w:hideMark/>
          </w:tcPr>
          <w:p w14:paraId="00EF8BE4" w14:textId="77777777" w:rsidR="00932AE0" w:rsidRPr="00932AE0" w:rsidRDefault="00932AE0" w:rsidP="00932AE0">
            <w:pPr>
              <w:rPr>
                <w:lang w:val="en-NZ"/>
              </w:rPr>
            </w:pPr>
            <w:r w:rsidRPr="00932AE0">
              <w:t>Category</w:t>
            </w:r>
            <w:r w:rsidRPr="00932AE0">
              <w:rPr>
                <w:lang w:val="en-NZ"/>
              </w:rPr>
              <w:t> </w:t>
            </w:r>
          </w:p>
        </w:tc>
        <w:tc>
          <w:tcPr>
            <w:tcW w:w="3123" w:type="dxa"/>
            <w:shd w:val="clear" w:color="auto" w:fill="F2F2F2" w:themeFill="background1" w:themeFillShade="F2"/>
            <w:hideMark/>
          </w:tcPr>
          <w:p w14:paraId="00D65285" w14:textId="77777777" w:rsidR="00932AE0" w:rsidRPr="00932AE0" w:rsidRDefault="00932AE0" w:rsidP="00932AE0">
            <w:pPr>
              <w:rPr>
                <w:lang w:val="en-NZ"/>
              </w:rPr>
            </w:pPr>
            <w:r w:rsidRPr="00932AE0">
              <w:t>Count</w:t>
            </w:r>
            <w:r w:rsidRPr="00932AE0">
              <w:rPr>
                <w:lang w:val="en-NZ"/>
              </w:rPr>
              <w:t> </w:t>
            </w:r>
          </w:p>
        </w:tc>
      </w:tr>
      <w:tr w:rsidR="00932AE0" w:rsidRPr="00A71669" w14:paraId="10EF2E1A" w14:textId="77777777" w:rsidTr="003766E4">
        <w:trPr>
          <w:trHeight w:val="300"/>
        </w:trPr>
        <w:tc>
          <w:tcPr>
            <w:tcW w:w="6096" w:type="dxa"/>
            <w:hideMark/>
          </w:tcPr>
          <w:p w14:paraId="5C9CE05C" w14:textId="77777777" w:rsidR="00932AE0" w:rsidRPr="00A71669" w:rsidRDefault="00932AE0" w:rsidP="00932AE0">
            <w:pPr>
              <w:rPr>
                <w:b w:val="0"/>
                <w:bCs w:val="0"/>
                <w:lang w:val="en-NZ"/>
              </w:rPr>
            </w:pPr>
            <w:r w:rsidRPr="00A71669">
              <w:rPr>
                <w:b w:val="0"/>
                <w:bCs w:val="0"/>
              </w:rPr>
              <w:t>Medication/IV fluids</w:t>
            </w:r>
            <w:r w:rsidRPr="00A71669">
              <w:rPr>
                <w:b w:val="0"/>
                <w:bCs w:val="0"/>
                <w:lang w:val="en-NZ"/>
              </w:rPr>
              <w:t> </w:t>
            </w:r>
          </w:p>
        </w:tc>
        <w:tc>
          <w:tcPr>
            <w:tcW w:w="3123" w:type="dxa"/>
            <w:hideMark/>
          </w:tcPr>
          <w:p w14:paraId="0958061D" w14:textId="77777777" w:rsidR="00932AE0" w:rsidRPr="00A71669" w:rsidRDefault="00932AE0" w:rsidP="00932AE0">
            <w:pPr>
              <w:rPr>
                <w:b w:val="0"/>
                <w:bCs w:val="0"/>
                <w:lang w:val="en-NZ"/>
              </w:rPr>
            </w:pPr>
            <w:r w:rsidRPr="00A71669">
              <w:rPr>
                <w:b w:val="0"/>
                <w:bCs w:val="0"/>
              </w:rPr>
              <w:t>235</w:t>
            </w:r>
            <w:r w:rsidRPr="00A71669">
              <w:rPr>
                <w:b w:val="0"/>
                <w:bCs w:val="0"/>
                <w:lang w:val="en-NZ"/>
              </w:rPr>
              <w:t> </w:t>
            </w:r>
          </w:p>
        </w:tc>
      </w:tr>
      <w:tr w:rsidR="00932AE0" w:rsidRPr="00A71669" w14:paraId="783EE56A" w14:textId="77777777" w:rsidTr="003766E4">
        <w:trPr>
          <w:trHeight w:val="300"/>
        </w:trPr>
        <w:tc>
          <w:tcPr>
            <w:tcW w:w="6096" w:type="dxa"/>
            <w:hideMark/>
          </w:tcPr>
          <w:p w14:paraId="42C84B53" w14:textId="77777777" w:rsidR="00932AE0" w:rsidRPr="00A71669" w:rsidRDefault="00932AE0" w:rsidP="00932AE0">
            <w:pPr>
              <w:rPr>
                <w:b w:val="0"/>
                <w:bCs w:val="0"/>
                <w:lang w:val="en-NZ"/>
              </w:rPr>
            </w:pPr>
            <w:r w:rsidRPr="00A71669">
              <w:rPr>
                <w:b w:val="0"/>
                <w:bCs w:val="0"/>
              </w:rPr>
              <w:t>Falls</w:t>
            </w:r>
            <w:r w:rsidRPr="00A71669">
              <w:rPr>
                <w:b w:val="0"/>
                <w:bCs w:val="0"/>
                <w:lang w:val="en-NZ"/>
              </w:rPr>
              <w:t> </w:t>
            </w:r>
          </w:p>
        </w:tc>
        <w:tc>
          <w:tcPr>
            <w:tcW w:w="3123" w:type="dxa"/>
            <w:hideMark/>
          </w:tcPr>
          <w:p w14:paraId="18FE8B9E" w14:textId="77777777" w:rsidR="00932AE0" w:rsidRPr="00A71669" w:rsidRDefault="00932AE0" w:rsidP="00932AE0">
            <w:pPr>
              <w:rPr>
                <w:b w:val="0"/>
                <w:bCs w:val="0"/>
                <w:lang w:val="en-NZ"/>
              </w:rPr>
            </w:pPr>
            <w:r w:rsidRPr="00A71669">
              <w:rPr>
                <w:b w:val="0"/>
                <w:bCs w:val="0"/>
              </w:rPr>
              <w:t>210</w:t>
            </w:r>
            <w:r w:rsidRPr="00A71669">
              <w:rPr>
                <w:b w:val="0"/>
                <w:bCs w:val="0"/>
                <w:lang w:val="en-NZ"/>
              </w:rPr>
              <w:t> </w:t>
            </w:r>
          </w:p>
        </w:tc>
      </w:tr>
      <w:tr w:rsidR="00932AE0" w:rsidRPr="00A71669" w14:paraId="47FDC9FB" w14:textId="77777777" w:rsidTr="003766E4">
        <w:trPr>
          <w:trHeight w:val="300"/>
        </w:trPr>
        <w:tc>
          <w:tcPr>
            <w:tcW w:w="6096" w:type="dxa"/>
            <w:hideMark/>
          </w:tcPr>
          <w:p w14:paraId="1FF41C7B" w14:textId="77777777" w:rsidR="00932AE0" w:rsidRPr="00A71669" w:rsidRDefault="00932AE0" w:rsidP="00932AE0">
            <w:pPr>
              <w:rPr>
                <w:b w:val="0"/>
                <w:bCs w:val="0"/>
                <w:lang w:val="en-NZ"/>
              </w:rPr>
            </w:pPr>
            <w:r w:rsidRPr="00A71669">
              <w:rPr>
                <w:b w:val="0"/>
                <w:bCs w:val="0"/>
              </w:rPr>
              <w:t>Pressure injury</w:t>
            </w:r>
            <w:r w:rsidRPr="00A71669">
              <w:rPr>
                <w:b w:val="0"/>
                <w:bCs w:val="0"/>
                <w:lang w:val="en-NZ"/>
              </w:rPr>
              <w:t> </w:t>
            </w:r>
          </w:p>
        </w:tc>
        <w:tc>
          <w:tcPr>
            <w:tcW w:w="3123" w:type="dxa"/>
            <w:hideMark/>
          </w:tcPr>
          <w:p w14:paraId="72F54FA8" w14:textId="77777777" w:rsidR="00932AE0" w:rsidRPr="00A71669" w:rsidRDefault="00932AE0" w:rsidP="00932AE0">
            <w:pPr>
              <w:rPr>
                <w:b w:val="0"/>
                <w:bCs w:val="0"/>
                <w:lang w:val="en-NZ"/>
              </w:rPr>
            </w:pPr>
            <w:r w:rsidRPr="00A71669">
              <w:rPr>
                <w:b w:val="0"/>
                <w:bCs w:val="0"/>
              </w:rPr>
              <w:t>176</w:t>
            </w:r>
            <w:r w:rsidRPr="00A71669">
              <w:rPr>
                <w:b w:val="0"/>
                <w:bCs w:val="0"/>
                <w:lang w:val="en-NZ"/>
              </w:rPr>
              <w:t> </w:t>
            </w:r>
          </w:p>
        </w:tc>
      </w:tr>
      <w:tr w:rsidR="00932AE0" w:rsidRPr="00A71669" w14:paraId="3FC9447B" w14:textId="77777777" w:rsidTr="003766E4">
        <w:trPr>
          <w:trHeight w:val="300"/>
        </w:trPr>
        <w:tc>
          <w:tcPr>
            <w:tcW w:w="6096" w:type="dxa"/>
            <w:hideMark/>
          </w:tcPr>
          <w:p w14:paraId="6E3A7607" w14:textId="77777777" w:rsidR="00932AE0" w:rsidRPr="00A71669" w:rsidRDefault="00932AE0" w:rsidP="00932AE0">
            <w:pPr>
              <w:rPr>
                <w:b w:val="0"/>
                <w:bCs w:val="0"/>
                <w:lang w:val="en-NZ"/>
              </w:rPr>
            </w:pPr>
            <w:r w:rsidRPr="00A71669">
              <w:rPr>
                <w:b w:val="0"/>
                <w:bCs w:val="0"/>
              </w:rPr>
              <w:t>Delayed diagnosis or treatment</w:t>
            </w:r>
            <w:r w:rsidRPr="00A71669">
              <w:rPr>
                <w:b w:val="0"/>
                <w:bCs w:val="0"/>
                <w:lang w:val="en-NZ"/>
              </w:rPr>
              <w:t> </w:t>
            </w:r>
          </w:p>
        </w:tc>
        <w:tc>
          <w:tcPr>
            <w:tcW w:w="3123" w:type="dxa"/>
            <w:hideMark/>
          </w:tcPr>
          <w:p w14:paraId="53CECE32" w14:textId="77777777" w:rsidR="00932AE0" w:rsidRPr="00A71669" w:rsidRDefault="00932AE0" w:rsidP="00932AE0">
            <w:pPr>
              <w:rPr>
                <w:b w:val="0"/>
                <w:bCs w:val="0"/>
                <w:lang w:val="en-NZ"/>
              </w:rPr>
            </w:pPr>
            <w:r w:rsidRPr="00A71669">
              <w:rPr>
                <w:b w:val="0"/>
                <w:bCs w:val="0"/>
              </w:rPr>
              <w:t>151</w:t>
            </w:r>
            <w:r w:rsidRPr="00A71669">
              <w:rPr>
                <w:b w:val="0"/>
                <w:bCs w:val="0"/>
                <w:lang w:val="en-NZ"/>
              </w:rPr>
              <w:t> </w:t>
            </w:r>
          </w:p>
        </w:tc>
      </w:tr>
      <w:tr w:rsidR="00932AE0" w:rsidRPr="00A71669" w14:paraId="154CE674" w14:textId="77777777" w:rsidTr="003766E4">
        <w:trPr>
          <w:trHeight w:val="300"/>
        </w:trPr>
        <w:tc>
          <w:tcPr>
            <w:tcW w:w="6096" w:type="dxa"/>
            <w:hideMark/>
          </w:tcPr>
          <w:p w14:paraId="2755073D" w14:textId="77777777" w:rsidR="00932AE0" w:rsidRPr="00A71669" w:rsidRDefault="00932AE0" w:rsidP="00932AE0">
            <w:pPr>
              <w:rPr>
                <w:b w:val="0"/>
                <w:bCs w:val="0"/>
                <w:lang w:val="en-NZ"/>
              </w:rPr>
            </w:pPr>
            <w:r w:rsidRPr="00A71669">
              <w:rPr>
                <w:b w:val="0"/>
                <w:bCs w:val="0"/>
              </w:rPr>
              <w:t>Adverse outcome</w:t>
            </w:r>
            <w:r w:rsidRPr="00A71669">
              <w:rPr>
                <w:b w:val="0"/>
                <w:bCs w:val="0"/>
                <w:lang w:val="en-NZ"/>
              </w:rPr>
              <w:t> </w:t>
            </w:r>
          </w:p>
        </w:tc>
        <w:tc>
          <w:tcPr>
            <w:tcW w:w="3123" w:type="dxa"/>
            <w:hideMark/>
          </w:tcPr>
          <w:p w14:paraId="04037FDD" w14:textId="77777777" w:rsidR="00932AE0" w:rsidRPr="00A71669" w:rsidRDefault="00932AE0" w:rsidP="00932AE0">
            <w:pPr>
              <w:rPr>
                <w:b w:val="0"/>
                <w:bCs w:val="0"/>
                <w:lang w:val="en-NZ"/>
              </w:rPr>
            </w:pPr>
            <w:r w:rsidRPr="00A71669">
              <w:rPr>
                <w:b w:val="0"/>
                <w:bCs w:val="0"/>
              </w:rPr>
              <w:t>122</w:t>
            </w:r>
            <w:r w:rsidRPr="00A71669">
              <w:rPr>
                <w:b w:val="0"/>
                <w:bCs w:val="0"/>
                <w:lang w:val="en-NZ"/>
              </w:rPr>
              <w:t> </w:t>
            </w:r>
          </w:p>
        </w:tc>
      </w:tr>
      <w:tr w:rsidR="00932AE0" w:rsidRPr="00A71669" w14:paraId="4AAF84AE" w14:textId="77777777" w:rsidTr="003766E4">
        <w:trPr>
          <w:trHeight w:val="300"/>
        </w:trPr>
        <w:tc>
          <w:tcPr>
            <w:tcW w:w="6096" w:type="dxa"/>
            <w:hideMark/>
          </w:tcPr>
          <w:p w14:paraId="4231A737" w14:textId="77777777" w:rsidR="00932AE0" w:rsidRPr="00A71669" w:rsidRDefault="00932AE0" w:rsidP="00932AE0">
            <w:pPr>
              <w:rPr>
                <w:b w:val="0"/>
                <w:bCs w:val="0"/>
                <w:lang w:val="en-NZ"/>
              </w:rPr>
            </w:pPr>
            <w:r w:rsidRPr="00A71669">
              <w:rPr>
                <w:b w:val="0"/>
                <w:bCs w:val="0"/>
              </w:rPr>
              <w:t>Deterioration</w:t>
            </w:r>
            <w:r w:rsidRPr="00A71669">
              <w:rPr>
                <w:b w:val="0"/>
                <w:bCs w:val="0"/>
                <w:lang w:val="en-NZ"/>
              </w:rPr>
              <w:t> </w:t>
            </w:r>
          </w:p>
        </w:tc>
        <w:tc>
          <w:tcPr>
            <w:tcW w:w="3123" w:type="dxa"/>
            <w:hideMark/>
          </w:tcPr>
          <w:p w14:paraId="05E8AFDE" w14:textId="77777777" w:rsidR="00932AE0" w:rsidRPr="00A71669" w:rsidRDefault="00932AE0" w:rsidP="00932AE0">
            <w:pPr>
              <w:rPr>
                <w:b w:val="0"/>
                <w:bCs w:val="0"/>
                <w:lang w:val="en-NZ"/>
              </w:rPr>
            </w:pPr>
            <w:r w:rsidRPr="00A71669">
              <w:rPr>
                <w:b w:val="0"/>
                <w:bCs w:val="0"/>
              </w:rPr>
              <w:t>35</w:t>
            </w:r>
            <w:r w:rsidRPr="00A71669">
              <w:rPr>
                <w:b w:val="0"/>
                <w:bCs w:val="0"/>
                <w:lang w:val="en-NZ"/>
              </w:rPr>
              <w:t> </w:t>
            </w:r>
          </w:p>
        </w:tc>
      </w:tr>
      <w:tr w:rsidR="00932AE0" w:rsidRPr="00A71669" w14:paraId="000901CB" w14:textId="77777777" w:rsidTr="003766E4">
        <w:trPr>
          <w:trHeight w:val="300"/>
        </w:trPr>
        <w:tc>
          <w:tcPr>
            <w:tcW w:w="6096" w:type="dxa"/>
            <w:hideMark/>
          </w:tcPr>
          <w:p w14:paraId="4A81E76B" w14:textId="77777777" w:rsidR="00932AE0" w:rsidRPr="00A71669" w:rsidRDefault="00932AE0" w:rsidP="00932AE0">
            <w:pPr>
              <w:rPr>
                <w:b w:val="0"/>
                <w:bCs w:val="0"/>
                <w:lang w:val="en-NZ"/>
              </w:rPr>
            </w:pPr>
            <w:r w:rsidRPr="00A71669">
              <w:rPr>
                <w:b w:val="0"/>
                <w:bCs w:val="0"/>
              </w:rPr>
              <w:t>Health care associated infection</w:t>
            </w:r>
            <w:r w:rsidRPr="00A71669">
              <w:rPr>
                <w:b w:val="0"/>
                <w:bCs w:val="0"/>
                <w:lang w:val="en-NZ"/>
              </w:rPr>
              <w:t> </w:t>
            </w:r>
          </w:p>
        </w:tc>
        <w:tc>
          <w:tcPr>
            <w:tcW w:w="3123" w:type="dxa"/>
            <w:hideMark/>
          </w:tcPr>
          <w:p w14:paraId="7497D666" w14:textId="77777777" w:rsidR="00932AE0" w:rsidRPr="00A71669" w:rsidRDefault="00932AE0" w:rsidP="00932AE0">
            <w:pPr>
              <w:rPr>
                <w:b w:val="0"/>
                <w:bCs w:val="0"/>
                <w:lang w:val="en-NZ"/>
              </w:rPr>
            </w:pPr>
            <w:r w:rsidRPr="00A71669">
              <w:rPr>
                <w:b w:val="0"/>
                <w:bCs w:val="0"/>
              </w:rPr>
              <w:t>32</w:t>
            </w:r>
            <w:r w:rsidRPr="00A71669">
              <w:rPr>
                <w:b w:val="0"/>
                <w:bCs w:val="0"/>
                <w:lang w:val="en-NZ"/>
              </w:rPr>
              <w:t> </w:t>
            </w:r>
          </w:p>
        </w:tc>
      </w:tr>
      <w:tr w:rsidR="00932AE0" w:rsidRPr="00A71669" w14:paraId="6335F2A7" w14:textId="77777777" w:rsidTr="003766E4">
        <w:trPr>
          <w:trHeight w:val="300"/>
        </w:trPr>
        <w:tc>
          <w:tcPr>
            <w:tcW w:w="6096" w:type="dxa"/>
            <w:hideMark/>
          </w:tcPr>
          <w:p w14:paraId="74966A3C" w14:textId="77777777" w:rsidR="00932AE0" w:rsidRPr="00A71669" w:rsidRDefault="00932AE0" w:rsidP="00932AE0">
            <w:pPr>
              <w:rPr>
                <w:b w:val="0"/>
                <w:bCs w:val="0"/>
                <w:lang w:val="en-NZ"/>
              </w:rPr>
            </w:pPr>
            <w:r w:rsidRPr="00A71669">
              <w:rPr>
                <w:b w:val="0"/>
                <w:bCs w:val="0"/>
              </w:rPr>
              <w:t>Medical device/equipment</w:t>
            </w:r>
            <w:r w:rsidRPr="00A71669">
              <w:rPr>
                <w:b w:val="0"/>
                <w:bCs w:val="0"/>
                <w:lang w:val="en-NZ"/>
              </w:rPr>
              <w:t> </w:t>
            </w:r>
          </w:p>
        </w:tc>
        <w:tc>
          <w:tcPr>
            <w:tcW w:w="3123" w:type="dxa"/>
            <w:hideMark/>
          </w:tcPr>
          <w:p w14:paraId="4976876B" w14:textId="77777777" w:rsidR="00932AE0" w:rsidRPr="00A71669" w:rsidRDefault="00932AE0" w:rsidP="00932AE0">
            <w:pPr>
              <w:rPr>
                <w:b w:val="0"/>
                <w:bCs w:val="0"/>
                <w:lang w:val="en-NZ"/>
              </w:rPr>
            </w:pPr>
            <w:r w:rsidRPr="00A71669">
              <w:rPr>
                <w:b w:val="0"/>
                <w:bCs w:val="0"/>
              </w:rPr>
              <w:t>27</w:t>
            </w:r>
            <w:r w:rsidRPr="00A71669">
              <w:rPr>
                <w:b w:val="0"/>
                <w:bCs w:val="0"/>
                <w:lang w:val="en-NZ"/>
              </w:rPr>
              <w:t> </w:t>
            </w:r>
          </w:p>
        </w:tc>
      </w:tr>
      <w:tr w:rsidR="00932AE0" w:rsidRPr="00A71669" w14:paraId="369FBD8A" w14:textId="77777777" w:rsidTr="003766E4">
        <w:trPr>
          <w:trHeight w:val="300"/>
        </w:trPr>
        <w:tc>
          <w:tcPr>
            <w:tcW w:w="6096" w:type="dxa"/>
            <w:hideMark/>
          </w:tcPr>
          <w:p w14:paraId="27AAE841" w14:textId="77777777" w:rsidR="00932AE0" w:rsidRPr="00A71669" w:rsidRDefault="00932AE0" w:rsidP="00932AE0">
            <w:pPr>
              <w:rPr>
                <w:b w:val="0"/>
                <w:bCs w:val="0"/>
                <w:lang w:val="en-NZ"/>
              </w:rPr>
            </w:pPr>
            <w:r w:rsidRPr="00A71669">
              <w:rPr>
                <w:b w:val="0"/>
                <w:bCs w:val="0"/>
              </w:rPr>
              <w:t>Wrong consumer/site/side</w:t>
            </w:r>
            <w:r w:rsidRPr="00A71669">
              <w:rPr>
                <w:b w:val="0"/>
                <w:bCs w:val="0"/>
                <w:lang w:val="en-NZ"/>
              </w:rPr>
              <w:t> </w:t>
            </w:r>
          </w:p>
        </w:tc>
        <w:tc>
          <w:tcPr>
            <w:tcW w:w="3123" w:type="dxa"/>
            <w:hideMark/>
          </w:tcPr>
          <w:p w14:paraId="629CDB8E" w14:textId="77777777" w:rsidR="00932AE0" w:rsidRPr="00A71669" w:rsidRDefault="00932AE0" w:rsidP="00932AE0">
            <w:pPr>
              <w:rPr>
                <w:b w:val="0"/>
                <w:bCs w:val="0"/>
                <w:lang w:val="en-NZ"/>
              </w:rPr>
            </w:pPr>
            <w:r w:rsidRPr="00A71669">
              <w:rPr>
                <w:b w:val="0"/>
                <w:bCs w:val="0"/>
              </w:rPr>
              <w:t>18</w:t>
            </w:r>
            <w:r w:rsidRPr="00A71669">
              <w:rPr>
                <w:b w:val="0"/>
                <w:bCs w:val="0"/>
                <w:lang w:val="en-NZ"/>
              </w:rPr>
              <w:t> </w:t>
            </w:r>
          </w:p>
        </w:tc>
      </w:tr>
      <w:tr w:rsidR="00932AE0" w:rsidRPr="00A71669" w14:paraId="7022A936" w14:textId="77777777" w:rsidTr="003766E4">
        <w:trPr>
          <w:trHeight w:val="300"/>
        </w:trPr>
        <w:tc>
          <w:tcPr>
            <w:tcW w:w="6096" w:type="dxa"/>
            <w:hideMark/>
          </w:tcPr>
          <w:p w14:paraId="293720A4" w14:textId="77777777" w:rsidR="00932AE0" w:rsidRPr="00A71669" w:rsidRDefault="00932AE0" w:rsidP="00932AE0">
            <w:pPr>
              <w:rPr>
                <w:b w:val="0"/>
                <w:bCs w:val="0"/>
                <w:lang w:val="en-NZ"/>
              </w:rPr>
            </w:pPr>
            <w:r w:rsidRPr="00A71669">
              <w:rPr>
                <w:b w:val="0"/>
                <w:bCs w:val="0"/>
              </w:rPr>
              <w:t>Clinical process</w:t>
            </w:r>
            <w:r w:rsidRPr="00A71669">
              <w:rPr>
                <w:b w:val="0"/>
                <w:bCs w:val="0"/>
                <w:lang w:val="en-NZ"/>
              </w:rPr>
              <w:t> </w:t>
            </w:r>
          </w:p>
        </w:tc>
        <w:tc>
          <w:tcPr>
            <w:tcW w:w="3123" w:type="dxa"/>
            <w:hideMark/>
          </w:tcPr>
          <w:p w14:paraId="42EBEE52" w14:textId="77777777" w:rsidR="00932AE0" w:rsidRPr="00A71669" w:rsidRDefault="00932AE0" w:rsidP="00932AE0">
            <w:pPr>
              <w:rPr>
                <w:b w:val="0"/>
                <w:bCs w:val="0"/>
                <w:lang w:val="en-NZ"/>
              </w:rPr>
            </w:pPr>
            <w:r w:rsidRPr="00A71669">
              <w:rPr>
                <w:b w:val="0"/>
                <w:bCs w:val="0"/>
              </w:rPr>
              <w:t>18</w:t>
            </w:r>
            <w:r w:rsidRPr="00A71669">
              <w:rPr>
                <w:b w:val="0"/>
                <w:bCs w:val="0"/>
                <w:lang w:val="en-NZ"/>
              </w:rPr>
              <w:t> </w:t>
            </w:r>
          </w:p>
        </w:tc>
      </w:tr>
      <w:tr w:rsidR="00932AE0" w:rsidRPr="00A71669" w14:paraId="6899EDBC" w14:textId="77777777" w:rsidTr="003766E4">
        <w:trPr>
          <w:trHeight w:val="300"/>
        </w:trPr>
        <w:tc>
          <w:tcPr>
            <w:tcW w:w="6096" w:type="dxa"/>
            <w:hideMark/>
          </w:tcPr>
          <w:p w14:paraId="7CC26C42" w14:textId="77777777" w:rsidR="00932AE0" w:rsidRPr="00A71669" w:rsidRDefault="00932AE0" w:rsidP="00932AE0">
            <w:pPr>
              <w:rPr>
                <w:b w:val="0"/>
                <w:bCs w:val="0"/>
                <w:lang w:val="en-NZ"/>
              </w:rPr>
            </w:pPr>
            <w:r w:rsidRPr="00A71669">
              <w:rPr>
                <w:b w:val="0"/>
                <w:bCs w:val="0"/>
              </w:rPr>
              <w:t>Resources/</w:t>
            </w:r>
            <w:proofErr w:type="spellStart"/>
            <w:r w:rsidRPr="00A71669">
              <w:rPr>
                <w:b w:val="0"/>
                <w:bCs w:val="0"/>
              </w:rPr>
              <w:t>organisation</w:t>
            </w:r>
            <w:proofErr w:type="spellEnd"/>
            <w:r w:rsidRPr="00A71669">
              <w:rPr>
                <w:b w:val="0"/>
                <w:bCs w:val="0"/>
              </w:rPr>
              <w:t>/management</w:t>
            </w:r>
            <w:r w:rsidRPr="00A71669">
              <w:rPr>
                <w:b w:val="0"/>
                <w:bCs w:val="0"/>
                <w:lang w:val="en-NZ"/>
              </w:rPr>
              <w:t> </w:t>
            </w:r>
          </w:p>
        </w:tc>
        <w:tc>
          <w:tcPr>
            <w:tcW w:w="3123" w:type="dxa"/>
            <w:hideMark/>
          </w:tcPr>
          <w:p w14:paraId="49C012B1" w14:textId="77777777" w:rsidR="00932AE0" w:rsidRPr="00A71669" w:rsidRDefault="00932AE0" w:rsidP="00932AE0">
            <w:pPr>
              <w:rPr>
                <w:b w:val="0"/>
                <w:bCs w:val="0"/>
                <w:lang w:val="en-NZ"/>
              </w:rPr>
            </w:pPr>
            <w:r w:rsidRPr="00A71669">
              <w:rPr>
                <w:b w:val="0"/>
                <w:bCs w:val="0"/>
              </w:rPr>
              <w:t>11</w:t>
            </w:r>
            <w:r w:rsidRPr="00A71669">
              <w:rPr>
                <w:b w:val="0"/>
                <w:bCs w:val="0"/>
                <w:lang w:val="en-NZ"/>
              </w:rPr>
              <w:t> </w:t>
            </w:r>
          </w:p>
        </w:tc>
      </w:tr>
      <w:tr w:rsidR="00932AE0" w:rsidRPr="00A71669" w14:paraId="6A15F81C" w14:textId="77777777" w:rsidTr="003766E4">
        <w:trPr>
          <w:trHeight w:val="300"/>
        </w:trPr>
        <w:tc>
          <w:tcPr>
            <w:tcW w:w="6096" w:type="dxa"/>
            <w:hideMark/>
          </w:tcPr>
          <w:p w14:paraId="7442328A" w14:textId="77777777" w:rsidR="00932AE0" w:rsidRPr="00A71669" w:rsidRDefault="00932AE0" w:rsidP="00932AE0">
            <w:pPr>
              <w:rPr>
                <w:b w:val="0"/>
                <w:bCs w:val="0"/>
                <w:lang w:val="en-NZ"/>
              </w:rPr>
            </w:pPr>
            <w:r w:rsidRPr="00A71669">
              <w:rPr>
                <w:b w:val="0"/>
                <w:bCs w:val="0"/>
              </w:rPr>
              <w:t>Retained item</w:t>
            </w:r>
            <w:r w:rsidRPr="00A71669">
              <w:rPr>
                <w:b w:val="0"/>
                <w:bCs w:val="0"/>
                <w:lang w:val="en-NZ"/>
              </w:rPr>
              <w:t> </w:t>
            </w:r>
          </w:p>
        </w:tc>
        <w:tc>
          <w:tcPr>
            <w:tcW w:w="3123" w:type="dxa"/>
            <w:hideMark/>
          </w:tcPr>
          <w:p w14:paraId="2A99D1E5" w14:textId="77777777" w:rsidR="00932AE0" w:rsidRPr="00A71669" w:rsidRDefault="00932AE0" w:rsidP="00932AE0">
            <w:pPr>
              <w:rPr>
                <w:b w:val="0"/>
                <w:bCs w:val="0"/>
                <w:lang w:val="en-NZ"/>
              </w:rPr>
            </w:pPr>
            <w:r w:rsidRPr="00A71669">
              <w:rPr>
                <w:b w:val="0"/>
                <w:bCs w:val="0"/>
              </w:rPr>
              <w:t>7</w:t>
            </w:r>
            <w:r w:rsidRPr="00A71669">
              <w:rPr>
                <w:b w:val="0"/>
                <w:bCs w:val="0"/>
                <w:lang w:val="en-NZ"/>
              </w:rPr>
              <w:t> </w:t>
            </w:r>
          </w:p>
        </w:tc>
      </w:tr>
      <w:tr w:rsidR="00932AE0" w:rsidRPr="00A71669" w14:paraId="5CFC7D60" w14:textId="77777777" w:rsidTr="003766E4">
        <w:trPr>
          <w:trHeight w:val="300"/>
        </w:trPr>
        <w:tc>
          <w:tcPr>
            <w:tcW w:w="6096" w:type="dxa"/>
            <w:hideMark/>
          </w:tcPr>
          <w:p w14:paraId="67DC33AB" w14:textId="77777777" w:rsidR="00932AE0" w:rsidRPr="00A71669" w:rsidRDefault="00932AE0" w:rsidP="00932AE0">
            <w:pPr>
              <w:rPr>
                <w:b w:val="0"/>
                <w:bCs w:val="0"/>
                <w:lang w:val="en-NZ"/>
              </w:rPr>
            </w:pPr>
            <w:r w:rsidRPr="00A71669">
              <w:rPr>
                <w:b w:val="0"/>
                <w:bCs w:val="0"/>
              </w:rPr>
              <w:t>Other (≤5 per category)</w:t>
            </w:r>
            <w:r w:rsidRPr="00A71669">
              <w:rPr>
                <w:b w:val="0"/>
                <w:bCs w:val="0"/>
                <w:lang w:val="en-NZ"/>
              </w:rPr>
              <w:t> </w:t>
            </w:r>
          </w:p>
        </w:tc>
        <w:tc>
          <w:tcPr>
            <w:tcW w:w="3123" w:type="dxa"/>
            <w:hideMark/>
          </w:tcPr>
          <w:p w14:paraId="05B71DBD" w14:textId="77777777" w:rsidR="00932AE0" w:rsidRPr="00A71669" w:rsidRDefault="00932AE0" w:rsidP="00932AE0">
            <w:pPr>
              <w:rPr>
                <w:b w:val="0"/>
                <w:bCs w:val="0"/>
                <w:lang w:val="en-NZ"/>
              </w:rPr>
            </w:pPr>
            <w:r w:rsidRPr="00A71669">
              <w:rPr>
                <w:b w:val="0"/>
                <w:bCs w:val="0"/>
              </w:rPr>
              <w:t>7</w:t>
            </w:r>
            <w:r w:rsidRPr="00A71669">
              <w:rPr>
                <w:b w:val="0"/>
                <w:bCs w:val="0"/>
                <w:lang w:val="en-NZ"/>
              </w:rPr>
              <w:t> </w:t>
            </w:r>
          </w:p>
        </w:tc>
      </w:tr>
      <w:tr w:rsidR="00932AE0" w:rsidRPr="00A71669" w14:paraId="07221F3B" w14:textId="77777777" w:rsidTr="003766E4">
        <w:trPr>
          <w:trHeight w:val="300"/>
        </w:trPr>
        <w:tc>
          <w:tcPr>
            <w:tcW w:w="6096" w:type="dxa"/>
            <w:hideMark/>
          </w:tcPr>
          <w:p w14:paraId="5D62C209" w14:textId="77777777" w:rsidR="00932AE0" w:rsidRPr="00A71669" w:rsidRDefault="00932AE0" w:rsidP="00932AE0">
            <w:pPr>
              <w:rPr>
                <w:b w:val="0"/>
                <w:bCs w:val="0"/>
                <w:lang w:val="en-NZ"/>
              </w:rPr>
            </w:pPr>
            <w:r w:rsidRPr="00A71669">
              <w:rPr>
                <w:b w:val="0"/>
                <w:bCs w:val="0"/>
              </w:rPr>
              <w:t>Complication</w:t>
            </w:r>
            <w:r w:rsidRPr="00A71669">
              <w:rPr>
                <w:b w:val="0"/>
                <w:bCs w:val="0"/>
                <w:lang w:val="en-NZ"/>
              </w:rPr>
              <w:t> </w:t>
            </w:r>
          </w:p>
        </w:tc>
        <w:tc>
          <w:tcPr>
            <w:tcW w:w="3123" w:type="dxa"/>
            <w:hideMark/>
          </w:tcPr>
          <w:p w14:paraId="30BABE45" w14:textId="77777777" w:rsidR="00932AE0" w:rsidRPr="00A71669" w:rsidRDefault="00932AE0" w:rsidP="00932AE0">
            <w:pPr>
              <w:rPr>
                <w:b w:val="0"/>
                <w:bCs w:val="0"/>
                <w:lang w:val="en-NZ"/>
              </w:rPr>
            </w:pPr>
            <w:r w:rsidRPr="00A71669">
              <w:rPr>
                <w:b w:val="0"/>
                <w:bCs w:val="0"/>
              </w:rPr>
              <w:t>16</w:t>
            </w:r>
            <w:r w:rsidRPr="00A71669">
              <w:rPr>
                <w:b w:val="0"/>
                <w:bCs w:val="0"/>
                <w:lang w:val="en-NZ"/>
              </w:rPr>
              <w:t> </w:t>
            </w:r>
          </w:p>
        </w:tc>
      </w:tr>
    </w:tbl>
    <w:p w14:paraId="1EC2A2C2" w14:textId="0093610E" w:rsidR="005B3C09" w:rsidRPr="005B3C09" w:rsidRDefault="005B3C09" w:rsidP="005B3C09">
      <w:pPr>
        <w:pStyle w:val="Heading1"/>
        <w:spacing w:before="240"/>
      </w:pPr>
      <w:r w:rsidRPr="005B3C09">
        <w:t xml:space="preserve">Ethnicity </w:t>
      </w:r>
      <w:r w:rsidR="00BD35F8">
        <w:t>b</w:t>
      </w:r>
      <w:r w:rsidRPr="005B3C09">
        <w:t>reakdown </w:t>
      </w:r>
    </w:p>
    <w:tbl>
      <w:tblPr>
        <w:tblW w:w="11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5"/>
        <w:gridCol w:w="1701"/>
        <w:gridCol w:w="1732"/>
        <w:gridCol w:w="2237"/>
        <w:gridCol w:w="1732"/>
        <w:gridCol w:w="1733"/>
      </w:tblGrid>
      <w:tr w:rsidR="005B3C09" w:rsidRPr="00BD35F8" w14:paraId="32108BDE" w14:textId="77777777" w:rsidTr="00A84673">
        <w:trPr>
          <w:trHeight w:val="300"/>
        </w:trPr>
        <w:tc>
          <w:tcPr>
            <w:tcW w:w="2835" w:type="dxa"/>
            <w:shd w:val="clear" w:color="auto" w:fill="F2F2F2" w:themeFill="background1" w:themeFillShade="F2"/>
            <w:hideMark/>
          </w:tcPr>
          <w:p w14:paraId="2BEA9D7B" w14:textId="77777777" w:rsidR="005B3C09" w:rsidRPr="00BD35F8" w:rsidRDefault="005B3C09" w:rsidP="005B3C09">
            <w:pPr>
              <w:pStyle w:val="BodyText"/>
              <w:rPr>
                <w:b/>
                <w:bCs/>
              </w:rPr>
            </w:pPr>
            <w:r w:rsidRPr="00BD35F8">
              <w:rPr>
                <w:b/>
                <w:bCs/>
              </w:rPr>
              <w:t>Service </w:t>
            </w:r>
          </w:p>
        </w:tc>
        <w:tc>
          <w:tcPr>
            <w:tcW w:w="1701" w:type="dxa"/>
            <w:shd w:val="clear" w:color="auto" w:fill="F2F2F2" w:themeFill="background1" w:themeFillShade="F2"/>
            <w:hideMark/>
          </w:tcPr>
          <w:p w14:paraId="62A84994" w14:textId="77777777" w:rsidR="005B3C09" w:rsidRPr="00BD35F8" w:rsidRDefault="005B3C09" w:rsidP="005B3C09">
            <w:pPr>
              <w:pStyle w:val="BodyText"/>
              <w:rPr>
                <w:b/>
                <w:bCs/>
              </w:rPr>
            </w:pPr>
            <w:r w:rsidRPr="00BD35F8">
              <w:rPr>
                <w:b/>
                <w:bCs/>
              </w:rPr>
              <w:t>European </w:t>
            </w:r>
          </w:p>
        </w:tc>
        <w:tc>
          <w:tcPr>
            <w:tcW w:w="1732" w:type="dxa"/>
            <w:shd w:val="clear" w:color="auto" w:fill="F2F2F2" w:themeFill="background1" w:themeFillShade="F2"/>
            <w:hideMark/>
          </w:tcPr>
          <w:p w14:paraId="6D1BA10F" w14:textId="77777777" w:rsidR="005B3C09" w:rsidRPr="00BD35F8" w:rsidRDefault="005B3C09" w:rsidP="005B3C09">
            <w:pPr>
              <w:pStyle w:val="BodyText"/>
              <w:rPr>
                <w:b/>
                <w:bCs/>
              </w:rPr>
            </w:pPr>
            <w:r w:rsidRPr="00BD35F8">
              <w:rPr>
                <w:b/>
                <w:bCs/>
              </w:rPr>
              <w:t>Māori </w:t>
            </w:r>
          </w:p>
        </w:tc>
        <w:tc>
          <w:tcPr>
            <w:tcW w:w="2237" w:type="dxa"/>
            <w:shd w:val="clear" w:color="auto" w:fill="F2F2F2" w:themeFill="background1" w:themeFillShade="F2"/>
            <w:hideMark/>
          </w:tcPr>
          <w:p w14:paraId="57FEA4AC" w14:textId="77777777" w:rsidR="005B3C09" w:rsidRPr="00BD35F8" w:rsidRDefault="005B3C09" w:rsidP="005B3C09">
            <w:pPr>
              <w:pStyle w:val="BodyText"/>
              <w:rPr>
                <w:b/>
                <w:bCs/>
              </w:rPr>
            </w:pPr>
            <w:r w:rsidRPr="00BD35F8">
              <w:rPr>
                <w:b/>
                <w:bCs/>
              </w:rPr>
              <w:t>Pacific Peoples </w:t>
            </w:r>
          </w:p>
        </w:tc>
        <w:tc>
          <w:tcPr>
            <w:tcW w:w="1732" w:type="dxa"/>
            <w:shd w:val="clear" w:color="auto" w:fill="F2F2F2" w:themeFill="background1" w:themeFillShade="F2"/>
            <w:hideMark/>
          </w:tcPr>
          <w:p w14:paraId="5F004DCC" w14:textId="77777777" w:rsidR="005B3C09" w:rsidRPr="00BD35F8" w:rsidRDefault="005B3C09" w:rsidP="005B3C09">
            <w:pPr>
              <w:pStyle w:val="BodyText"/>
              <w:rPr>
                <w:b/>
                <w:bCs/>
              </w:rPr>
            </w:pPr>
            <w:r w:rsidRPr="00BD35F8">
              <w:rPr>
                <w:b/>
                <w:bCs/>
              </w:rPr>
              <w:t>Asian </w:t>
            </w:r>
          </w:p>
        </w:tc>
        <w:tc>
          <w:tcPr>
            <w:tcW w:w="1733" w:type="dxa"/>
            <w:shd w:val="clear" w:color="auto" w:fill="F2F2F2" w:themeFill="background1" w:themeFillShade="F2"/>
            <w:hideMark/>
          </w:tcPr>
          <w:p w14:paraId="29B579DB" w14:textId="77777777" w:rsidR="005B3C09" w:rsidRPr="00BD35F8" w:rsidRDefault="005B3C09" w:rsidP="005B3C09">
            <w:pPr>
              <w:pStyle w:val="BodyText"/>
              <w:rPr>
                <w:b/>
                <w:bCs/>
              </w:rPr>
            </w:pPr>
            <w:r w:rsidRPr="00BD35F8">
              <w:rPr>
                <w:b/>
                <w:bCs/>
              </w:rPr>
              <w:t>Other* </w:t>
            </w:r>
          </w:p>
        </w:tc>
      </w:tr>
      <w:tr w:rsidR="005B3C09" w:rsidRPr="005B3C09" w14:paraId="4905BAD8" w14:textId="77777777" w:rsidTr="00CC373A">
        <w:trPr>
          <w:trHeight w:val="300"/>
        </w:trPr>
        <w:tc>
          <w:tcPr>
            <w:tcW w:w="2835" w:type="dxa"/>
            <w:hideMark/>
          </w:tcPr>
          <w:p w14:paraId="3FD29E2A" w14:textId="77777777" w:rsidR="005B3C09" w:rsidRPr="005B3C09" w:rsidRDefault="005B3C09" w:rsidP="005B3C09">
            <w:pPr>
              <w:pStyle w:val="BodyText"/>
            </w:pPr>
            <w:r w:rsidRPr="005B3C09">
              <w:t>Aged residential care </w:t>
            </w:r>
          </w:p>
        </w:tc>
        <w:tc>
          <w:tcPr>
            <w:tcW w:w="1701" w:type="dxa"/>
            <w:hideMark/>
          </w:tcPr>
          <w:p w14:paraId="0E0A74EC" w14:textId="77777777" w:rsidR="005B3C09" w:rsidRPr="005B3C09" w:rsidRDefault="005B3C09" w:rsidP="005B3C09">
            <w:pPr>
              <w:pStyle w:val="BodyText"/>
            </w:pPr>
            <w:r w:rsidRPr="005B3C09">
              <w:t>90% </w:t>
            </w:r>
          </w:p>
        </w:tc>
        <w:tc>
          <w:tcPr>
            <w:tcW w:w="1732" w:type="dxa"/>
            <w:hideMark/>
          </w:tcPr>
          <w:p w14:paraId="42343609" w14:textId="77777777" w:rsidR="005B3C09" w:rsidRPr="005B3C09" w:rsidRDefault="005B3C09" w:rsidP="005B3C09">
            <w:pPr>
              <w:pStyle w:val="BodyText"/>
            </w:pPr>
            <w:r w:rsidRPr="005B3C09">
              <w:t>4% </w:t>
            </w:r>
          </w:p>
        </w:tc>
        <w:tc>
          <w:tcPr>
            <w:tcW w:w="2237" w:type="dxa"/>
            <w:hideMark/>
          </w:tcPr>
          <w:p w14:paraId="6809C8DD" w14:textId="77777777" w:rsidR="005B3C09" w:rsidRPr="005B3C09" w:rsidRDefault="005B3C09" w:rsidP="005B3C09">
            <w:pPr>
              <w:pStyle w:val="BodyText"/>
            </w:pPr>
            <w:r w:rsidRPr="005B3C09">
              <w:t>1% </w:t>
            </w:r>
          </w:p>
        </w:tc>
        <w:tc>
          <w:tcPr>
            <w:tcW w:w="1732" w:type="dxa"/>
            <w:hideMark/>
          </w:tcPr>
          <w:p w14:paraId="5A6BBF11" w14:textId="77777777" w:rsidR="005B3C09" w:rsidRPr="005B3C09" w:rsidRDefault="005B3C09" w:rsidP="005B3C09">
            <w:pPr>
              <w:pStyle w:val="BodyText"/>
            </w:pPr>
            <w:r w:rsidRPr="005B3C09">
              <w:t>2% </w:t>
            </w:r>
          </w:p>
        </w:tc>
        <w:tc>
          <w:tcPr>
            <w:tcW w:w="1733" w:type="dxa"/>
            <w:hideMark/>
          </w:tcPr>
          <w:p w14:paraId="728DE7E2" w14:textId="77777777" w:rsidR="005B3C09" w:rsidRPr="005B3C09" w:rsidRDefault="005B3C09" w:rsidP="005B3C09">
            <w:pPr>
              <w:pStyle w:val="BodyText"/>
            </w:pPr>
            <w:r w:rsidRPr="005B3C09">
              <w:t>3% </w:t>
            </w:r>
          </w:p>
        </w:tc>
      </w:tr>
      <w:tr w:rsidR="005B3C09" w:rsidRPr="005B3C09" w14:paraId="322293B2" w14:textId="77777777" w:rsidTr="00CC373A">
        <w:trPr>
          <w:trHeight w:val="300"/>
        </w:trPr>
        <w:tc>
          <w:tcPr>
            <w:tcW w:w="2835" w:type="dxa"/>
            <w:hideMark/>
          </w:tcPr>
          <w:p w14:paraId="7BDDC01D" w14:textId="77777777" w:rsidR="005B3C09" w:rsidRPr="005B3C09" w:rsidRDefault="005B3C09" w:rsidP="005B3C09">
            <w:pPr>
              <w:pStyle w:val="BodyText"/>
            </w:pPr>
            <w:r w:rsidRPr="005B3C09">
              <w:t>Health New Zealand | Te Whatu Ora </w:t>
            </w:r>
          </w:p>
        </w:tc>
        <w:tc>
          <w:tcPr>
            <w:tcW w:w="1701" w:type="dxa"/>
            <w:hideMark/>
          </w:tcPr>
          <w:p w14:paraId="05201BF7" w14:textId="77777777" w:rsidR="005B3C09" w:rsidRPr="005B3C09" w:rsidRDefault="005B3C09" w:rsidP="005B3C09">
            <w:pPr>
              <w:pStyle w:val="BodyText"/>
            </w:pPr>
            <w:r w:rsidRPr="005B3C09">
              <w:t>67% </w:t>
            </w:r>
          </w:p>
        </w:tc>
        <w:tc>
          <w:tcPr>
            <w:tcW w:w="1732" w:type="dxa"/>
            <w:hideMark/>
          </w:tcPr>
          <w:p w14:paraId="3BDD76EC" w14:textId="77777777" w:rsidR="005B3C09" w:rsidRPr="005B3C09" w:rsidRDefault="005B3C09" w:rsidP="005B3C09">
            <w:pPr>
              <w:pStyle w:val="BodyText"/>
            </w:pPr>
            <w:r w:rsidRPr="005B3C09">
              <w:t>17% </w:t>
            </w:r>
          </w:p>
        </w:tc>
        <w:tc>
          <w:tcPr>
            <w:tcW w:w="2237" w:type="dxa"/>
            <w:hideMark/>
          </w:tcPr>
          <w:p w14:paraId="3A280B4F" w14:textId="77777777" w:rsidR="005B3C09" w:rsidRPr="005B3C09" w:rsidRDefault="005B3C09" w:rsidP="005B3C09">
            <w:pPr>
              <w:pStyle w:val="BodyText"/>
            </w:pPr>
            <w:r w:rsidRPr="005B3C09">
              <w:t>6% </w:t>
            </w:r>
          </w:p>
        </w:tc>
        <w:tc>
          <w:tcPr>
            <w:tcW w:w="1732" w:type="dxa"/>
            <w:hideMark/>
          </w:tcPr>
          <w:p w14:paraId="2D46ABCB" w14:textId="77777777" w:rsidR="005B3C09" w:rsidRPr="005B3C09" w:rsidRDefault="005B3C09" w:rsidP="005B3C09">
            <w:pPr>
              <w:pStyle w:val="BodyText"/>
            </w:pPr>
            <w:r w:rsidRPr="005B3C09">
              <w:t>6% </w:t>
            </w:r>
          </w:p>
        </w:tc>
        <w:tc>
          <w:tcPr>
            <w:tcW w:w="1733" w:type="dxa"/>
            <w:hideMark/>
          </w:tcPr>
          <w:p w14:paraId="0B395946" w14:textId="77777777" w:rsidR="005B3C09" w:rsidRPr="005B3C09" w:rsidRDefault="005B3C09" w:rsidP="005B3C09">
            <w:pPr>
              <w:pStyle w:val="BodyText"/>
            </w:pPr>
            <w:r w:rsidRPr="005B3C09">
              <w:t>3% </w:t>
            </w:r>
          </w:p>
        </w:tc>
      </w:tr>
    </w:tbl>
    <w:p w14:paraId="7388CF28" w14:textId="69A328B2" w:rsidR="005B3C09" w:rsidRPr="005B3C09" w:rsidRDefault="005B3C09" w:rsidP="005B3C09">
      <w:pPr>
        <w:pStyle w:val="BodyText"/>
      </w:pPr>
      <w:r w:rsidRPr="005B3C09">
        <w:t>* Other = other ethnicity + MELAA + residual categories. Source converted from uploaded infographic. </w:t>
      </w:r>
    </w:p>
    <w:p w14:paraId="65DD9138" w14:textId="188D7C63" w:rsidR="00131574" w:rsidRPr="00BD35F8" w:rsidRDefault="00901427" w:rsidP="000E35E9">
      <w:pPr>
        <w:pStyle w:val="BodyText"/>
        <w:rPr>
          <w:szCs w:val="24"/>
        </w:rPr>
      </w:pPr>
      <w:r w:rsidRPr="00BD35F8">
        <w:rPr>
          <w:szCs w:val="24"/>
        </w:rPr>
        <w:t>More</w:t>
      </w:r>
      <w:r w:rsidRPr="00BD35F8">
        <w:rPr>
          <w:spacing w:val="29"/>
          <w:szCs w:val="24"/>
        </w:rPr>
        <w:t xml:space="preserve"> </w:t>
      </w:r>
      <w:r w:rsidRPr="00BD35F8">
        <w:rPr>
          <w:szCs w:val="24"/>
        </w:rPr>
        <w:t>information:</w:t>
      </w:r>
      <w:r w:rsidRPr="00BD35F8">
        <w:rPr>
          <w:spacing w:val="30"/>
          <w:szCs w:val="24"/>
        </w:rPr>
        <w:t xml:space="preserve"> </w:t>
      </w:r>
      <w:hyperlink r:id="rId6">
        <w:r w:rsidR="00131574" w:rsidRPr="00BD35F8">
          <w:rPr>
            <w:color w:val="006899"/>
            <w:szCs w:val="24"/>
            <w:u w:val="single" w:color="006899"/>
          </w:rPr>
          <w:t>hqsc.govt.nz/our-work/system-safety/healing-learning-and-improving-from-</w:t>
        </w:r>
        <w:r w:rsidR="00131574" w:rsidRPr="00BD35F8">
          <w:rPr>
            <w:color w:val="006899"/>
            <w:spacing w:val="-2"/>
            <w:szCs w:val="24"/>
            <w:u w:val="single" w:color="006899"/>
          </w:rPr>
          <w:t>harm/</w:t>
        </w:r>
      </w:hyperlink>
    </w:p>
    <w:sectPr w:rsidR="00131574" w:rsidRPr="00BD35F8" w:rsidSect="0058574B">
      <w:headerReference w:type="default" r:id="rId7"/>
      <w:pgSz w:w="16840" w:h="23820"/>
      <w:pgMar w:top="1440" w:right="1440" w:bottom="851" w:left="1440" w:header="720" w:footer="720" w:gutter="0"/>
      <w:cols w:space="720"/>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8F346" w14:textId="77777777" w:rsidR="00BC7D2B" w:rsidRDefault="00BC7D2B" w:rsidP="007A5080">
      <w:r>
        <w:separator/>
      </w:r>
    </w:p>
  </w:endnote>
  <w:endnote w:type="continuationSeparator" w:id="0">
    <w:p w14:paraId="046AB929" w14:textId="77777777" w:rsidR="00BC7D2B" w:rsidRDefault="00BC7D2B" w:rsidP="007A5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hitney Book">
    <w:altName w:val="Calibri"/>
    <w:panose1 w:val="00000000000000000000"/>
    <w:charset w:val="00"/>
    <w:family w:val="modern"/>
    <w:notTrueType/>
    <w:pitch w:val="variable"/>
    <w:sig w:usb0="A00000FF" w:usb1="4000004A" w:usb2="00000000" w:usb3="00000000" w:csb0="0000000B" w:csb1="00000000"/>
  </w:font>
  <w:font w:name="Lucida Sans">
    <w:altName w:val="Calibri"/>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695F6" w14:textId="77777777" w:rsidR="00BC7D2B" w:rsidRDefault="00BC7D2B" w:rsidP="007A5080">
      <w:r>
        <w:separator/>
      </w:r>
    </w:p>
  </w:footnote>
  <w:footnote w:type="continuationSeparator" w:id="0">
    <w:p w14:paraId="2E6FD54F" w14:textId="77777777" w:rsidR="00BC7D2B" w:rsidRDefault="00BC7D2B" w:rsidP="007A5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536AA" w14:textId="4E03618B" w:rsidR="006A5B67" w:rsidRDefault="006A5B67" w:rsidP="001B6F3C">
    <w:pPr>
      <w:pStyle w:val="Header"/>
      <w:tabs>
        <w:tab w:val="clear" w:pos="4513"/>
        <w:tab w:val="clear" w:pos="9026"/>
        <w:tab w:val="left" w:pos="11907"/>
      </w:tabs>
    </w:pPr>
    <w:r w:rsidRPr="006A5B67">
      <w:rPr>
        <w:rFonts w:eastAsiaTheme="majorEastAsia" w:cstheme="majorBidi"/>
        <w:noProof/>
        <w:spacing w:val="-10"/>
        <w:kern w:val="28"/>
        <w:position w:val="-1"/>
        <w:sz w:val="96"/>
        <w:szCs w:val="96"/>
        <w:lang w:val="en-NZ"/>
      </w:rPr>
      <w:drawing>
        <wp:inline distT="0" distB="0" distL="0" distR="0" wp14:anchorId="4D880DE7" wp14:editId="72BE22FB">
          <wp:extent cx="3085106" cy="708600"/>
          <wp:effectExtent l="0" t="0" r="1270" b="0"/>
          <wp:docPr id="182108914" name="Picture 74" descr="The New Zealand Government logo is made up of the coat of arms of New Zealand on the left and the words New Zealand Government in bold letters alongside it, with Te Kāwanatanga o Aotearoa written beneath">
            <a:extLst xmlns:a="http://schemas.openxmlformats.org/drawingml/2006/main">
              <a:ext uri="{FF2B5EF4-FFF2-40B4-BE49-F238E27FC236}">
                <a16:creationId xmlns:a16="http://schemas.microsoft.com/office/drawing/2014/main" id="{D982D592-EB45-43F5-977C-4FC93BA956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513949" name="Picture 74" descr="The New Zealand Government logo is made up of the coat of arms of New Zealand on the left and the words New Zealand Government in bold letters alongside it, with Te Kāwanatanga o Aotearoa written beneat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9642" cy="721126"/>
                  </a:xfrm>
                  <a:prstGeom prst="rect">
                    <a:avLst/>
                  </a:prstGeom>
                  <a:noFill/>
                  <a:ln>
                    <a:noFill/>
                  </a:ln>
                </pic:spPr>
              </pic:pic>
            </a:graphicData>
          </a:graphic>
        </wp:inline>
      </w:drawing>
    </w:r>
    <w:r w:rsidR="001B6F3C">
      <w:tab/>
    </w:r>
    <w:r w:rsidR="00A502D2" w:rsidRPr="00BC7051">
      <w:rPr>
        <w:noProof/>
        <w:sz w:val="48"/>
        <w:lang w:val="en-NZ"/>
      </w:rPr>
      <w:drawing>
        <wp:inline distT="0" distB="0" distL="0" distR="0" wp14:anchorId="48241D6B" wp14:editId="299EF992">
          <wp:extent cx="1161950" cy="986944"/>
          <wp:effectExtent l="0" t="0" r="635" b="3810"/>
          <wp:docPr id="191339938" name="Picture 72" descr="The Health Quality &amp; Safety Commission Te Tāhū Hauora logo is made up of the words Health Quality &amp; Safety Commission with the words Te Tāhū Hauora underneath. Above is a stylised version of a wharenui in a triangle shape, with the tāhū (ridgepole), heke (rafters) and niho taniwha (triangle pattern) beneath.">
            <a:extLst xmlns:a="http://schemas.openxmlformats.org/drawingml/2006/main">
              <a:ext uri="{FF2B5EF4-FFF2-40B4-BE49-F238E27FC236}">
                <a16:creationId xmlns:a16="http://schemas.microsoft.com/office/drawing/2014/main" id="{62C4F598-A59E-4318-9CB1-9308765B4C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564626" name="Picture 72" descr="The Health Quality &amp; Safety Commission Te Tāhū Hauora logo is made up of the words Health Quality &amp; Safety Commission with the words Te Tāhū Hauora underneath. Above is a stylised version of a wharenui in a triangle shape, with the tāhū (ridgepole), heke (rafters) and niho taniwha (triangle pattern) beneath."/>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61950" cy="98694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574"/>
    <w:rsid w:val="0000328B"/>
    <w:rsid w:val="000553ED"/>
    <w:rsid w:val="00082A5A"/>
    <w:rsid w:val="000B41CC"/>
    <w:rsid w:val="000E35E9"/>
    <w:rsid w:val="000F3E5A"/>
    <w:rsid w:val="00131574"/>
    <w:rsid w:val="001A55D1"/>
    <w:rsid w:val="001B6F3C"/>
    <w:rsid w:val="002148AC"/>
    <w:rsid w:val="00222B21"/>
    <w:rsid w:val="00245B9B"/>
    <w:rsid w:val="00256D5C"/>
    <w:rsid w:val="002762E8"/>
    <w:rsid w:val="0029288A"/>
    <w:rsid w:val="00295E1B"/>
    <w:rsid w:val="002E44F5"/>
    <w:rsid w:val="00316832"/>
    <w:rsid w:val="003766E4"/>
    <w:rsid w:val="003A13CD"/>
    <w:rsid w:val="003E221E"/>
    <w:rsid w:val="00410BBE"/>
    <w:rsid w:val="00433EA5"/>
    <w:rsid w:val="00441F62"/>
    <w:rsid w:val="0048071A"/>
    <w:rsid w:val="00487E15"/>
    <w:rsid w:val="004A28B2"/>
    <w:rsid w:val="004B6C51"/>
    <w:rsid w:val="00512B65"/>
    <w:rsid w:val="00515375"/>
    <w:rsid w:val="0058574B"/>
    <w:rsid w:val="00590045"/>
    <w:rsid w:val="005B3C09"/>
    <w:rsid w:val="005F3E05"/>
    <w:rsid w:val="00607694"/>
    <w:rsid w:val="0065469E"/>
    <w:rsid w:val="006621E4"/>
    <w:rsid w:val="006A5B67"/>
    <w:rsid w:val="006D5AC5"/>
    <w:rsid w:val="006E506C"/>
    <w:rsid w:val="006F02A5"/>
    <w:rsid w:val="00713B21"/>
    <w:rsid w:val="007A5080"/>
    <w:rsid w:val="007A575C"/>
    <w:rsid w:val="007E1619"/>
    <w:rsid w:val="007E4D5E"/>
    <w:rsid w:val="007E56DC"/>
    <w:rsid w:val="00807A29"/>
    <w:rsid w:val="0081433B"/>
    <w:rsid w:val="00864C5C"/>
    <w:rsid w:val="008A4835"/>
    <w:rsid w:val="008F4FB1"/>
    <w:rsid w:val="00901427"/>
    <w:rsid w:val="00932AE0"/>
    <w:rsid w:val="00933E18"/>
    <w:rsid w:val="00A502D2"/>
    <w:rsid w:val="00A71669"/>
    <w:rsid w:val="00A71909"/>
    <w:rsid w:val="00A84673"/>
    <w:rsid w:val="00B13A99"/>
    <w:rsid w:val="00B17FBF"/>
    <w:rsid w:val="00B23433"/>
    <w:rsid w:val="00B33014"/>
    <w:rsid w:val="00B6287D"/>
    <w:rsid w:val="00B77867"/>
    <w:rsid w:val="00BB6F66"/>
    <w:rsid w:val="00BC7051"/>
    <w:rsid w:val="00BC7D2B"/>
    <w:rsid w:val="00BD35F8"/>
    <w:rsid w:val="00C31BE5"/>
    <w:rsid w:val="00C603EE"/>
    <w:rsid w:val="00C84BB5"/>
    <w:rsid w:val="00CC373A"/>
    <w:rsid w:val="00CC5481"/>
    <w:rsid w:val="00CE2E5E"/>
    <w:rsid w:val="00CF1CAA"/>
    <w:rsid w:val="00D025D4"/>
    <w:rsid w:val="00D71626"/>
    <w:rsid w:val="00DC170E"/>
    <w:rsid w:val="00E22454"/>
    <w:rsid w:val="00EE729D"/>
    <w:rsid w:val="00F30368"/>
    <w:rsid w:val="00FA0ED1"/>
    <w:rsid w:val="00FD7D05"/>
    <w:rsid w:val="00FF23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D9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669"/>
    <w:pPr>
      <w:spacing w:before="43"/>
    </w:pPr>
    <w:rPr>
      <w:rFonts w:ascii="Arial" w:eastAsia="Whitney Book" w:hAnsi="Arial" w:cs="Arial"/>
      <w:b/>
      <w:bCs/>
      <w:sz w:val="24"/>
      <w:szCs w:val="28"/>
    </w:rPr>
  </w:style>
  <w:style w:type="paragraph" w:styleId="Heading1">
    <w:name w:val="heading 1"/>
    <w:basedOn w:val="Normal"/>
    <w:uiPriority w:val="9"/>
    <w:qFormat/>
    <w:rsid w:val="007A5080"/>
    <w:pPr>
      <w:spacing w:before="19"/>
      <w:outlineLvl w:val="0"/>
    </w:pPr>
    <w:rPr>
      <w:rFonts w:eastAsia="Lucida Sans" w:cs="Lucida Sans"/>
      <w:b w:val="0"/>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71669"/>
    <w:rPr>
      <w:b w:val="0"/>
      <w:bCs w:val="0"/>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65469E"/>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65469E"/>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65469E"/>
    <w:pPr>
      <w:numPr>
        <w:ilvl w:val="1"/>
      </w:numPr>
      <w:spacing w:after="160"/>
    </w:pPr>
    <w:rPr>
      <w:rFonts w:eastAsiaTheme="minorEastAsia" w:cstheme="minorBidi"/>
      <w:color w:val="5A5A5A" w:themeColor="text1" w:themeTint="A5"/>
      <w:spacing w:val="15"/>
      <w:sz w:val="28"/>
    </w:rPr>
  </w:style>
  <w:style w:type="character" w:customStyle="1" w:styleId="SubtitleChar">
    <w:name w:val="Subtitle Char"/>
    <w:basedOn w:val="DefaultParagraphFont"/>
    <w:link w:val="Subtitle"/>
    <w:uiPriority w:val="11"/>
    <w:rsid w:val="0065469E"/>
    <w:rPr>
      <w:rFonts w:ascii="Arial" w:eastAsiaTheme="minorEastAsia" w:hAnsi="Arial"/>
      <w:color w:val="5A5A5A" w:themeColor="text1" w:themeTint="A5"/>
      <w:spacing w:val="15"/>
      <w:sz w:val="28"/>
    </w:rPr>
  </w:style>
  <w:style w:type="paragraph" w:styleId="Header">
    <w:name w:val="header"/>
    <w:basedOn w:val="Normal"/>
    <w:link w:val="HeaderChar"/>
    <w:uiPriority w:val="99"/>
    <w:unhideWhenUsed/>
    <w:rsid w:val="006A5B67"/>
    <w:pPr>
      <w:tabs>
        <w:tab w:val="center" w:pos="4513"/>
        <w:tab w:val="right" w:pos="9026"/>
      </w:tabs>
    </w:pPr>
  </w:style>
  <w:style w:type="character" w:customStyle="1" w:styleId="HeaderChar">
    <w:name w:val="Header Char"/>
    <w:basedOn w:val="DefaultParagraphFont"/>
    <w:link w:val="Header"/>
    <w:uiPriority w:val="99"/>
    <w:rsid w:val="006A5B67"/>
    <w:rPr>
      <w:rFonts w:ascii="Arial" w:eastAsia="Whitney Book" w:hAnsi="Arial" w:cs="Whitney Book"/>
    </w:rPr>
  </w:style>
  <w:style w:type="paragraph" w:styleId="Footer">
    <w:name w:val="footer"/>
    <w:basedOn w:val="Normal"/>
    <w:link w:val="FooterChar"/>
    <w:uiPriority w:val="99"/>
    <w:unhideWhenUsed/>
    <w:rsid w:val="006A5B67"/>
    <w:pPr>
      <w:tabs>
        <w:tab w:val="center" w:pos="4513"/>
        <w:tab w:val="right" w:pos="9026"/>
      </w:tabs>
    </w:pPr>
  </w:style>
  <w:style w:type="character" w:customStyle="1" w:styleId="FooterChar">
    <w:name w:val="Footer Char"/>
    <w:basedOn w:val="DefaultParagraphFont"/>
    <w:link w:val="Footer"/>
    <w:uiPriority w:val="99"/>
    <w:rsid w:val="006A5B67"/>
    <w:rPr>
      <w:rFonts w:ascii="Arial" w:eastAsia="Whitney Book" w:hAnsi="Arial" w:cs="Whitney 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qsc.govt.nz/our-work/system-safety/healing-learning-and-improving-from-har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01cefdf-35f4-4444-8638-55f0e12ab1c4}" enabled="0" method="" siteId="{701cefdf-35f4-4444-8638-55f0e12ab1c4}"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1855</Characters>
  <Application>Microsoft Office Word</Application>
  <DocSecurity>0</DocSecurity>
  <Lines>115</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2026-07-20T23:30:00Z</dcterms:created>
  <dcterms:modified xsi:type="dcterms:W3CDTF">2026-07-20T23:30:00Z</dcterms:modified>
</cp:coreProperties>
</file>