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26" w:rsidRDefault="00913026" w:rsidP="008F11EA">
      <w:pPr>
        <w:jc w:val="right"/>
        <w:rPr>
          <w:rFonts w:ascii="Arial" w:hAnsi="Arial" w:cs="Arial"/>
          <w:b/>
          <w:bCs/>
          <w:sz w:val="24"/>
        </w:rPr>
      </w:pPr>
      <w:r>
        <w:rPr>
          <w:noProof/>
          <w:lang w:eastAsia="en-NZ"/>
        </w:rPr>
        <w:drawing>
          <wp:inline distT="0" distB="0" distL="0" distR="0" wp14:anchorId="23381F7B" wp14:editId="71481EA9">
            <wp:extent cx="2160000" cy="63895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SC_LOGO_Colour_FullVersion_jp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3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7B" w:rsidRDefault="00054A10" w:rsidP="008F11E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Adverse </w:t>
      </w:r>
      <w:r w:rsidR="00E566C6">
        <w:rPr>
          <w:rFonts w:ascii="Arial" w:hAnsi="Arial" w:cs="Arial"/>
          <w:b/>
          <w:bCs/>
          <w:sz w:val="32"/>
          <w:szCs w:val="32"/>
        </w:rPr>
        <w:t>events shared learning tool</w:t>
      </w:r>
    </w:p>
    <w:p w:rsidR="00850889" w:rsidRDefault="003B6CEF" w:rsidP="00913026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FF2852">
        <w:rPr>
          <w:rFonts w:ascii="Arial" w:hAnsi="Arial" w:cs="Arial"/>
        </w:rPr>
        <w:t xml:space="preserve"> tool </w:t>
      </w:r>
      <w:r w:rsidR="00054A10">
        <w:rPr>
          <w:rFonts w:ascii="Arial" w:hAnsi="Arial" w:cs="Arial"/>
        </w:rPr>
        <w:t>is for sharing learning from</w:t>
      </w:r>
      <w:r w:rsidR="00850889">
        <w:rPr>
          <w:rFonts w:ascii="Arial" w:hAnsi="Arial" w:cs="Arial"/>
        </w:rPr>
        <w:t xml:space="preserve"> </w:t>
      </w:r>
      <w:r w:rsidR="00850889" w:rsidRPr="00850889">
        <w:rPr>
          <w:rFonts w:ascii="Arial" w:hAnsi="Arial" w:cs="Arial"/>
        </w:rPr>
        <w:t>events that are not otherwise reported to the Health Quality &amp; Safety Commission under the National</w:t>
      </w:r>
      <w:r w:rsidR="00850889">
        <w:rPr>
          <w:rFonts w:ascii="Arial" w:hAnsi="Arial" w:cs="Arial"/>
        </w:rPr>
        <w:t xml:space="preserve"> Adverse Events Reporting Policy</w:t>
      </w:r>
      <w:r>
        <w:rPr>
          <w:rFonts w:ascii="Arial" w:hAnsi="Arial" w:cs="Arial"/>
        </w:rPr>
        <w:t>.</w:t>
      </w:r>
      <w:r w:rsidR="00756053">
        <w:rPr>
          <w:rStyle w:val="FootnoteReference"/>
          <w:rFonts w:ascii="Arial" w:hAnsi="Arial" w:cs="Arial"/>
        </w:rPr>
        <w:footnoteReference w:id="1"/>
      </w:r>
      <w:r w:rsidR="00FF2852">
        <w:rPr>
          <w:rFonts w:ascii="Arial" w:hAnsi="Arial" w:cs="Arial"/>
        </w:rPr>
        <w:t xml:space="preserve"> Such events</w:t>
      </w:r>
      <w:r w:rsidR="00DC263A">
        <w:rPr>
          <w:rFonts w:ascii="Arial" w:hAnsi="Arial" w:cs="Arial"/>
        </w:rPr>
        <w:t xml:space="preserve"> </w:t>
      </w:r>
      <w:r w:rsidR="00700BD5">
        <w:rPr>
          <w:rFonts w:ascii="Arial" w:hAnsi="Arial" w:cs="Arial"/>
        </w:rPr>
        <w:t>includ</w:t>
      </w:r>
      <w:r w:rsidR="00FF2852">
        <w:rPr>
          <w:rFonts w:ascii="Arial" w:hAnsi="Arial" w:cs="Arial"/>
        </w:rPr>
        <w:t>e</w:t>
      </w:r>
      <w:r w:rsidR="00DC263A">
        <w:rPr>
          <w:rFonts w:ascii="Arial" w:hAnsi="Arial" w:cs="Arial"/>
        </w:rPr>
        <w:t>:</w:t>
      </w:r>
    </w:p>
    <w:p w:rsidR="00850889" w:rsidRPr="00850889" w:rsidRDefault="00054A10" w:rsidP="00850889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Arial" w:hAnsi="Arial" w:cs="Arial"/>
        </w:rPr>
      </w:pPr>
      <w:r w:rsidRPr="00850889">
        <w:rPr>
          <w:rFonts w:ascii="Arial" w:hAnsi="Arial" w:cs="Arial"/>
        </w:rPr>
        <w:t xml:space="preserve">near miss events with a high potential for causing serious harm </w:t>
      </w:r>
    </w:p>
    <w:p w:rsidR="00850889" w:rsidRPr="00850889" w:rsidRDefault="00054A10" w:rsidP="00850889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Arial" w:hAnsi="Arial" w:cs="Arial"/>
        </w:rPr>
      </w:pPr>
      <w:r w:rsidRPr="00850889">
        <w:rPr>
          <w:rFonts w:ascii="Arial" w:hAnsi="Arial" w:cs="Arial"/>
        </w:rPr>
        <w:t>adverse events rated SAC 3 or 4 where there is value for national learning</w:t>
      </w:r>
    </w:p>
    <w:p w:rsidR="008576AF" w:rsidRPr="00850889" w:rsidRDefault="00850889" w:rsidP="00850889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Arial" w:hAnsi="Arial" w:cs="Arial"/>
        </w:rPr>
      </w:pPr>
      <w:r w:rsidRPr="00850889">
        <w:rPr>
          <w:rFonts w:ascii="Arial" w:hAnsi="Arial" w:cs="Arial"/>
        </w:rPr>
        <w:t>system issues that should be alerted at a national level</w:t>
      </w:r>
      <w:r w:rsidR="00054A10" w:rsidRPr="00850889">
        <w:rPr>
          <w:rFonts w:ascii="Arial" w:hAnsi="Arial" w:cs="Arial"/>
        </w:rPr>
        <w:t>.</w:t>
      </w:r>
    </w:p>
    <w:p w:rsidR="00054A10" w:rsidRDefault="00FF2852" w:rsidP="00913026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We encourage h</w:t>
      </w:r>
      <w:r w:rsidR="00054A10">
        <w:rPr>
          <w:rFonts w:ascii="Arial" w:hAnsi="Arial" w:cs="Arial"/>
        </w:rPr>
        <w:t xml:space="preserve">ealth and disability service providers to complete the </w:t>
      </w:r>
      <w:r>
        <w:rPr>
          <w:rFonts w:ascii="Arial" w:hAnsi="Arial" w:cs="Arial"/>
        </w:rPr>
        <w:t xml:space="preserve">shared learning tool </w:t>
      </w:r>
      <w:r w:rsidR="00850889">
        <w:rPr>
          <w:rFonts w:ascii="Arial" w:hAnsi="Arial" w:cs="Arial"/>
        </w:rPr>
        <w:t>following review of the above events and</w:t>
      </w:r>
      <w:r w:rsidR="00054A10">
        <w:rPr>
          <w:rFonts w:ascii="Arial" w:hAnsi="Arial" w:cs="Arial"/>
        </w:rPr>
        <w:t xml:space="preserve"> send </w:t>
      </w:r>
      <w:r w:rsidR="00850889">
        <w:rPr>
          <w:rFonts w:ascii="Arial" w:hAnsi="Arial" w:cs="Arial"/>
        </w:rPr>
        <w:t>completed report</w:t>
      </w:r>
      <w:r>
        <w:rPr>
          <w:rFonts w:ascii="Arial" w:hAnsi="Arial" w:cs="Arial"/>
        </w:rPr>
        <w:t>s</w:t>
      </w:r>
      <w:r w:rsidR="00850889">
        <w:rPr>
          <w:rFonts w:ascii="Arial" w:hAnsi="Arial" w:cs="Arial"/>
        </w:rPr>
        <w:t xml:space="preserve"> </w:t>
      </w:r>
      <w:r w:rsidR="00054A1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us (email below)</w:t>
      </w:r>
      <w:r w:rsidR="00850889">
        <w:rPr>
          <w:rFonts w:ascii="Arial" w:hAnsi="Arial" w:cs="Arial"/>
        </w:rPr>
        <w:t>. The Commission will combine lessons learnt from different events</w:t>
      </w:r>
      <w:r w:rsidR="00DC263A">
        <w:rPr>
          <w:rFonts w:ascii="Arial" w:hAnsi="Arial" w:cs="Arial"/>
        </w:rPr>
        <w:t xml:space="preserve"> </w:t>
      </w:r>
      <w:r w:rsidR="00850889">
        <w:rPr>
          <w:rFonts w:ascii="Arial" w:hAnsi="Arial" w:cs="Arial"/>
        </w:rPr>
        <w:t>and share those lessons</w:t>
      </w:r>
      <w:r w:rsidR="00700BD5">
        <w:rPr>
          <w:rFonts w:ascii="Arial" w:hAnsi="Arial" w:cs="Arial"/>
        </w:rPr>
        <w:t>, in a way that is not identifiable,</w:t>
      </w:r>
      <w:r w:rsidR="00850889">
        <w:rPr>
          <w:rFonts w:ascii="Arial" w:hAnsi="Arial" w:cs="Arial"/>
        </w:rPr>
        <w:t xml:space="preserve"> via Open Books and other learning platforms. </w:t>
      </w:r>
    </w:p>
    <w:p w:rsidR="00850889" w:rsidRDefault="00FF2852" w:rsidP="00913026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We store securely all </w:t>
      </w:r>
      <w:r w:rsidR="00DC263A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>you share with us</w:t>
      </w:r>
      <w:r w:rsidR="00DC26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 contact o</w:t>
      </w:r>
      <w:r w:rsidR="00850889">
        <w:rPr>
          <w:rFonts w:ascii="Arial" w:hAnsi="Arial" w:cs="Arial"/>
        </w:rPr>
        <w:t xml:space="preserve">rganisations for permission before </w:t>
      </w:r>
      <w:r>
        <w:rPr>
          <w:rFonts w:ascii="Arial" w:hAnsi="Arial" w:cs="Arial"/>
        </w:rPr>
        <w:t>we</w:t>
      </w:r>
      <w:r w:rsidR="00850889">
        <w:rPr>
          <w:rFonts w:ascii="Arial" w:hAnsi="Arial" w:cs="Arial"/>
        </w:rPr>
        <w:t xml:space="preserve"> publish any shared learning. </w:t>
      </w:r>
      <w:r>
        <w:rPr>
          <w:rFonts w:ascii="Arial" w:hAnsi="Arial" w:cs="Arial"/>
        </w:rPr>
        <w:t xml:space="preserve">There is no </w:t>
      </w:r>
      <w:r w:rsidR="00850889">
        <w:rPr>
          <w:rFonts w:ascii="Arial" w:hAnsi="Arial" w:cs="Arial"/>
        </w:rPr>
        <w:t>identifiable information</w:t>
      </w:r>
      <w:r w:rsidR="0095394C">
        <w:rPr>
          <w:rFonts w:ascii="Arial" w:hAnsi="Arial" w:cs="Arial"/>
        </w:rPr>
        <w:t>, relating to individuals and organisations,</w:t>
      </w:r>
      <w:r w:rsidR="008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850889">
        <w:rPr>
          <w:rFonts w:ascii="Arial" w:hAnsi="Arial" w:cs="Arial"/>
        </w:rPr>
        <w:t xml:space="preserve"> any</w:t>
      </w:r>
      <w:r w:rsidR="00F1533F">
        <w:rPr>
          <w:rFonts w:ascii="Arial" w:hAnsi="Arial" w:cs="Arial"/>
        </w:rPr>
        <w:t>thing</w:t>
      </w:r>
      <w:r w:rsidR="00850889">
        <w:rPr>
          <w:rFonts w:ascii="Arial" w:hAnsi="Arial" w:cs="Arial"/>
        </w:rPr>
        <w:t xml:space="preserve"> that is published.</w:t>
      </w:r>
    </w:p>
    <w:p w:rsidR="00850889" w:rsidRDefault="00DC263A" w:rsidP="00913026">
      <w:pPr>
        <w:shd w:val="clear" w:color="auto" w:fill="FFFFFF" w:themeFill="background1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Contact </w:t>
      </w:r>
      <w:hyperlink r:id="rId14" w:history="1">
        <w:r w:rsidRPr="00382B1D">
          <w:rPr>
            <w:rStyle w:val="Hyperlink"/>
            <w:rFonts w:ascii="Arial" w:hAnsi="Arial" w:cs="Arial"/>
          </w:rPr>
          <w:t>adverse.events@hqsc.govt.nz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with any questions</w:t>
      </w:r>
      <w:r w:rsidR="00FF2852">
        <w:rPr>
          <w:rStyle w:val="Hyperlink"/>
          <w:rFonts w:ascii="Arial" w:hAnsi="Arial" w:cs="Arial"/>
          <w:color w:val="auto"/>
          <w:u w:val="none"/>
        </w:rPr>
        <w:t>,</w:t>
      </w:r>
      <w:r>
        <w:rPr>
          <w:rStyle w:val="Hyperlink"/>
          <w:rFonts w:ascii="Arial" w:hAnsi="Arial" w:cs="Arial"/>
          <w:color w:val="auto"/>
          <w:u w:val="none"/>
        </w:rPr>
        <w:t xml:space="preserve"> feedback</w:t>
      </w:r>
      <w:r w:rsidR="00FF2852">
        <w:rPr>
          <w:rStyle w:val="Hyperlink"/>
          <w:rFonts w:ascii="Arial" w:hAnsi="Arial" w:cs="Arial"/>
          <w:color w:val="auto"/>
          <w:u w:val="none"/>
        </w:rPr>
        <w:t xml:space="preserve"> or completed reports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6C6" w:rsidTr="00E566C6">
        <w:tc>
          <w:tcPr>
            <w:tcW w:w="9628" w:type="dxa"/>
          </w:tcPr>
          <w:p w:rsidR="00E566C6" w:rsidRDefault="00E566C6" w:rsidP="00A71B2A">
            <w:pPr>
              <w:shd w:val="clear" w:color="auto" w:fill="FFFFFF" w:themeFill="background1"/>
              <w:spacing w:before="120" w:after="120" w:line="276" w:lineRule="auto"/>
            </w:pPr>
            <w:r w:rsidRPr="00A71B2A">
              <w:rPr>
                <w:rFonts w:ascii="Arial" w:hAnsi="Arial" w:cs="Arial"/>
              </w:rPr>
              <w:t xml:space="preserve">The </w:t>
            </w:r>
            <w:r w:rsidR="00FF2852" w:rsidRPr="00A71B2A">
              <w:rPr>
                <w:rFonts w:ascii="Arial" w:hAnsi="Arial" w:cs="Arial"/>
              </w:rPr>
              <w:t xml:space="preserve">shared learning tool </w:t>
            </w:r>
            <w:r w:rsidRPr="00A71B2A">
              <w:rPr>
                <w:rFonts w:ascii="Arial" w:hAnsi="Arial" w:cs="Arial"/>
              </w:rPr>
              <w:t xml:space="preserve">is intended for information-sharing with the </w:t>
            </w:r>
            <w:r w:rsidR="003B6CEF" w:rsidRPr="00850889">
              <w:rPr>
                <w:rFonts w:ascii="Arial" w:hAnsi="Arial" w:cs="Arial"/>
              </w:rPr>
              <w:t xml:space="preserve">Health Quality &amp; Safety </w:t>
            </w:r>
            <w:r w:rsidRPr="00A71B2A">
              <w:rPr>
                <w:rFonts w:ascii="Arial" w:hAnsi="Arial" w:cs="Arial"/>
              </w:rPr>
              <w:t xml:space="preserve">Commission. It can be modified for information-sharing within the reporting organisation (including with involved consumers and </w:t>
            </w:r>
            <w:proofErr w:type="spellStart"/>
            <w:r w:rsidRPr="00A71B2A">
              <w:rPr>
                <w:rFonts w:ascii="Arial" w:hAnsi="Arial" w:cs="Arial"/>
              </w:rPr>
              <w:t>whānau</w:t>
            </w:r>
            <w:proofErr w:type="spellEnd"/>
            <w:r w:rsidRPr="00A71B2A">
              <w:rPr>
                <w:rFonts w:ascii="Arial" w:hAnsi="Arial" w:cs="Arial"/>
              </w:rPr>
              <w:t xml:space="preserve">) </w:t>
            </w:r>
            <w:r w:rsidRPr="00A71B2A">
              <w:rPr>
                <w:rFonts w:ascii="Arial" w:hAnsi="Arial" w:cs="Arial"/>
                <w:i/>
              </w:rPr>
              <w:t>as long as organisational privacy and consent policies and processes are followed.</w:t>
            </w:r>
          </w:p>
        </w:tc>
      </w:tr>
    </w:tbl>
    <w:p w:rsidR="00E566C6" w:rsidRPr="00FF2852" w:rsidRDefault="00E566C6" w:rsidP="00A71B2A">
      <w:pPr>
        <w:spacing w:after="0"/>
        <w:rPr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45"/>
        <w:gridCol w:w="4889"/>
      </w:tblGrid>
      <w:tr w:rsidR="00756053" w:rsidRPr="00382B1D" w:rsidTr="00A71B2A">
        <w:trPr>
          <w:trHeight w:val="359"/>
        </w:trPr>
        <w:tc>
          <w:tcPr>
            <w:tcW w:w="4745" w:type="dxa"/>
            <w:shd w:val="clear" w:color="auto" w:fill="FFFFFF" w:themeFill="background1"/>
          </w:tcPr>
          <w:p w:rsidR="00756053" w:rsidRPr="00DC263A" w:rsidRDefault="00756053" w:rsidP="00677C47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Organisation:</w:t>
            </w:r>
          </w:p>
        </w:tc>
        <w:tc>
          <w:tcPr>
            <w:tcW w:w="4889" w:type="dxa"/>
            <w:shd w:val="clear" w:color="auto" w:fill="FFFFFF" w:themeFill="background1"/>
          </w:tcPr>
          <w:p w:rsidR="00756053" w:rsidRDefault="00756053" w:rsidP="00677C4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56053" w:rsidRPr="00382B1D" w:rsidTr="00A71B2A">
        <w:trPr>
          <w:trHeight w:val="378"/>
        </w:trPr>
        <w:tc>
          <w:tcPr>
            <w:tcW w:w="4745" w:type="dxa"/>
            <w:shd w:val="clear" w:color="auto" w:fill="FFFFFF" w:themeFill="background1"/>
          </w:tcPr>
          <w:p w:rsidR="00756053" w:rsidRPr="00382B1D" w:rsidRDefault="00756053" w:rsidP="00677C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 rating (or near miss):</w:t>
            </w:r>
            <w:r w:rsidR="004A4BFB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4889" w:type="dxa"/>
            <w:shd w:val="clear" w:color="auto" w:fill="FFFFFF" w:themeFill="background1"/>
          </w:tcPr>
          <w:p w:rsidR="00756053" w:rsidRDefault="00756053" w:rsidP="00677C4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56053" w:rsidRPr="00382B1D" w:rsidTr="00A71B2A">
        <w:trPr>
          <w:trHeight w:val="359"/>
        </w:trPr>
        <w:tc>
          <w:tcPr>
            <w:tcW w:w="4745" w:type="dxa"/>
            <w:shd w:val="clear" w:color="auto" w:fill="FFFFFF" w:themeFill="background1"/>
          </w:tcPr>
          <w:p w:rsidR="00756053" w:rsidRPr="00382B1D" w:rsidRDefault="00756053" w:rsidP="00677C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code:</w:t>
            </w:r>
            <w:r w:rsidR="004A4BFB">
              <w:rPr>
                <w:rStyle w:val="FootnoteReference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889" w:type="dxa"/>
            <w:shd w:val="clear" w:color="auto" w:fill="FFFFFF" w:themeFill="background1"/>
          </w:tcPr>
          <w:p w:rsidR="00756053" w:rsidRDefault="00756053" w:rsidP="00677C4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2257B" w:rsidRDefault="00A71B2A" w:rsidP="00A71B2A">
      <w:pPr>
        <w:tabs>
          <w:tab w:val="left" w:pos="2093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happened?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1B2A" w:rsidRPr="00382B1D" w:rsidTr="00A71B2A">
        <w:tc>
          <w:tcPr>
            <w:tcW w:w="9634" w:type="dxa"/>
            <w:shd w:val="clear" w:color="auto" w:fill="auto"/>
          </w:tcPr>
          <w:p w:rsidR="00A71B2A" w:rsidRPr="00A71B2A" w:rsidRDefault="00A71B2A" w:rsidP="003B6CEF">
            <w:pPr>
              <w:spacing w:before="60" w:after="120"/>
              <w:rPr>
                <w:rFonts w:ascii="Arial" w:hAnsi="Arial" w:cs="Arial"/>
                <w:i/>
              </w:rPr>
            </w:pPr>
            <w:r w:rsidRPr="00A71B2A">
              <w:rPr>
                <w:rFonts w:ascii="Arial" w:hAnsi="Arial" w:cs="Arial"/>
                <w:i/>
              </w:rPr>
              <w:t>Brief description of the event, including consumer age, gender and ethnicity, and outcome for the consumer</w:t>
            </w:r>
          </w:p>
        </w:tc>
      </w:tr>
    </w:tbl>
    <w:p w:rsidR="00A71B2A" w:rsidRDefault="00A71B2A" w:rsidP="00A71B2A">
      <w:pPr>
        <w:tabs>
          <w:tab w:val="left" w:pos="2093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did we learn?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1B2A" w:rsidRPr="00382B1D" w:rsidTr="00A71B2A">
        <w:tc>
          <w:tcPr>
            <w:tcW w:w="9634" w:type="dxa"/>
          </w:tcPr>
          <w:p w:rsidR="00A71B2A" w:rsidRPr="00A71B2A" w:rsidRDefault="00A71B2A" w:rsidP="003B6CEF">
            <w:pPr>
              <w:spacing w:before="60" w:after="120"/>
              <w:rPr>
                <w:rFonts w:ascii="Arial" w:hAnsi="Arial" w:cs="Arial"/>
                <w:i/>
              </w:rPr>
            </w:pPr>
            <w:r w:rsidRPr="00A71B2A">
              <w:rPr>
                <w:rFonts w:ascii="Arial" w:hAnsi="Arial" w:cs="Arial"/>
                <w:i/>
              </w:rPr>
              <w:t>What went well and what did not go well, considering both the event itself and the management of the event</w:t>
            </w:r>
          </w:p>
        </w:tc>
      </w:tr>
    </w:tbl>
    <w:p w:rsidR="00A71B2A" w:rsidRDefault="00A71B2A" w:rsidP="00A71B2A">
      <w:pPr>
        <w:tabs>
          <w:tab w:val="left" w:pos="2093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changes are we making?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1B2A" w:rsidRPr="00382B1D" w:rsidTr="00BF3DDC">
        <w:tc>
          <w:tcPr>
            <w:tcW w:w="9493" w:type="dxa"/>
          </w:tcPr>
          <w:p w:rsidR="00A71B2A" w:rsidRPr="00A71B2A" w:rsidRDefault="00A71B2A" w:rsidP="003B6CEF">
            <w:pPr>
              <w:spacing w:before="60" w:after="120"/>
              <w:rPr>
                <w:rFonts w:ascii="Arial" w:hAnsi="Arial" w:cs="Arial"/>
                <w:i/>
              </w:rPr>
            </w:pPr>
            <w:r w:rsidRPr="00A71B2A">
              <w:rPr>
                <w:rFonts w:ascii="Arial" w:hAnsi="Arial" w:cs="Arial"/>
                <w:i/>
              </w:rPr>
              <w:t>Any recommendations from review of the event and actions planned or undertaken</w:t>
            </w:r>
          </w:p>
        </w:tc>
      </w:tr>
    </w:tbl>
    <w:p w:rsidR="00A71B2A" w:rsidRPr="008F11EA" w:rsidRDefault="00A71B2A" w:rsidP="00FF2852">
      <w:pPr>
        <w:tabs>
          <w:tab w:val="left" w:pos="2093"/>
        </w:tabs>
        <w:rPr>
          <w:rFonts w:ascii="Arial" w:hAnsi="Arial" w:cs="Arial"/>
        </w:rPr>
      </w:pPr>
    </w:p>
    <w:sectPr w:rsidR="00A71B2A" w:rsidRPr="008F11EA" w:rsidSect="008F11EA">
      <w:footerReference w:type="default" r:id="rId15"/>
      <w:footerReference w:type="first" r:id="rId16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CA" w:rsidRDefault="007540CA" w:rsidP="0002257B">
      <w:pPr>
        <w:spacing w:after="0" w:line="240" w:lineRule="auto"/>
      </w:pPr>
      <w:r>
        <w:separator/>
      </w:r>
    </w:p>
  </w:endnote>
  <w:endnote w:type="continuationSeparator" w:id="0">
    <w:p w:rsidR="007540CA" w:rsidRDefault="007540CA" w:rsidP="0002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63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74C40" w:rsidRPr="00913026" w:rsidRDefault="0091302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13026">
          <w:rPr>
            <w:rFonts w:ascii="Arial" w:hAnsi="Arial" w:cs="Arial"/>
            <w:sz w:val="20"/>
            <w:szCs w:val="20"/>
          </w:rPr>
          <w:t>Always Report and Review list 2017–18</w:t>
        </w:r>
        <w:r w:rsidR="008F11EA">
          <w:rPr>
            <w:rFonts w:ascii="Arial" w:hAnsi="Arial" w:cs="Arial"/>
            <w:sz w:val="20"/>
            <w:szCs w:val="20"/>
          </w:rPr>
          <w:t xml:space="preserve"> | Health Quality &amp; Safety Commission 2017</w:t>
        </w:r>
        <w:r>
          <w:tab/>
        </w:r>
        <w:r>
          <w:tab/>
        </w:r>
        <w:r w:rsidR="00574C40" w:rsidRPr="00913026">
          <w:rPr>
            <w:rFonts w:ascii="Arial" w:hAnsi="Arial" w:cs="Arial"/>
            <w:sz w:val="20"/>
            <w:szCs w:val="20"/>
          </w:rPr>
          <w:fldChar w:fldCharType="begin"/>
        </w:r>
        <w:r w:rsidR="00574C40" w:rsidRPr="0091302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C40" w:rsidRPr="00913026">
          <w:rPr>
            <w:rFonts w:ascii="Arial" w:hAnsi="Arial" w:cs="Arial"/>
            <w:sz w:val="20"/>
            <w:szCs w:val="20"/>
          </w:rPr>
          <w:fldChar w:fldCharType="separate"/>
        </w:r>
        <w:r w:rsidR="00BE7DBA">
          <w:rPr>
            <w:rFonts w:ascii="Arial" w:hAnsi="Arial" w:cs="Arial"/>
            <w:noProof/>
            <w:sz w:val="20"/>
            <w:szCs w:val="20"/>
          </w:rPr>
          <w:t>2</w:t>
        </w:r>
        <w:r w:rsidR="00574C40" w:rsidRPr="0091302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B576A" w:rsidRDefault="007B5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4504748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</w:rPr>
          <w:id w:val="-1882470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A465BF" w:rsidRPr="00FF2852" w:rsidRDefault="00A71B2A" w:rsidP="00A71B2A">
            <w:pPr>
              <w:pStyle w:val="Footer"/>
              <w:rPr>
                <w:rFonts w:ascii="Arial" w:hAnsi="Arial" w:cs="Arial"/>
                <w:sz w:val="20"/>
              </w:rPr>
            </w:pPr>
            <w:r w:rsidRPr="00FF2852">
              <w:rPr>
                <w:rFonts w:ascii="Arial" w:hAnsi="Arial" w:cs="Arial"/>
                <w:sz w:val="20"/>
              </w:rPr>
              <w:t>Adverse events shared learning tool | Health Q</w:t>
            </w:r>
            <w:r w:rsidR="003B6CEF">
              <w:rPr>
                <w:rFonts w:ascii="Arial" w:hAnsi="Arial" w:cs="Arial"/>
                <w:sz w:val="20"/>
              </w:rPr>
              <w:t>uality &amp; Safety Commission 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CA" w:rsidRDefault="007540CA" w:rsidP="0002257B">
      <w:pPr>
        <w:spacing w:after="0" w:line="240" w:lineRule="auto"/>
      </w:pPr>
      <w:r>
        <w:separator/>
      </w:r>
    </w:p>
  </w:footnote>
  <w:footnote w:type="continuationSeparator" w:id="0">
    <w:p w:rsidR="007540CA" w:rsidRDefault="007540CA" w:rsidP="0002257B">
      <w:pPr>
        <w:spacing w:after="0" w:line="240" w:lineRule="auto"/>
      </w:pPr>
      <w:r>
        <w:continuationSeparator/>
      </w:r>
    </w:p>
  </w:footnote>
  <w:footnote w:id="1">
    <w:p w:rsidR="00756053" w:rsidRDefault="00756053" w:rsidP="007560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Pr="008F11EA">
        <w:rPr>
          <w:rFonts w:ascii="Arial" w:hAnsi="Arial" w:cs="Arial"/>
          <w:sz w:val="18"/>
          <w:szCs w:val="18"/>
        </w:rPr>
        <w:t>National Adverse Events Reporting Policy 2017</w:t>
      </w:r>
      <w:r>
        <w:rPr>
          <w:rFonts w:ascii="Arial" w:hAnsi="Arial" w:cs="Arial"/>
          <w:sz w:val="18"/>
          <w:szCs w:val="18"/>
        </w:rPr>
        <w:t xml:space="preserve"> is available at:</w:t>
      </w:r>
      <w:r w:rsidRPr="00CD336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F41983">
          <w:rPr>
            <w:rStyle w:val="Hyperlink"/>
            <w:rFonts w:ascii="Arial" w:hAnsi="Arial" w:cs="Arial"/>
            <w:sz w:val="18"/>
            <w:szCs w:val="18"/>
          </w:rPr>
          <w:t>www.hqsc.govt.nz/our-programmes/adverse-events/publications-and-resources/publication/2933</w:t>
        </w:r>
      </w:hyperlink>
      <w:r w:rsidRPr="00CD3368">
        <w:rPr>
          <w:rFonts w:ascii="Arial" w:hAnsi="Arial" w:cs="Arial"/>
          <w:color w:val="1F497D"/>
          <w:sz w:val="18"/>
          <w:szCs w:val="18"/>
        </w:rPr>
        <w:t>.</w:t>
      </w:r>
    </w:p>
  </w:footnote>
  <w:footnote w:id="2">
    <w:p w:rsidR="004A4BFB" w:rsidRDefault="004A4B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4BFB">
        <w:rPr>
          <w:rFonts w:ascii="Arial" w:hAnsi="Arial" w:cs="Arial"/>
          <w:sz w:val="18"/>
          <w:szCs w:val="18"/>
        </w:rPr>
        <w:t>See Appendix A of the National Adverse Events Reporting Policy 2017.</w:t>
      </w:r>
    </w:p>
  </w:footnote>
  <w:footnote w:id="3">
    <w:p w:rsidR="004A4BFB" w:rsidRDefault="004A4B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4BFB">
        <w:rPr>
          <w:rFonts w:ascii="Arial" w:hAnsi="Arial" w:cs="Arial"/>
          <w:sz w:val="18"/>
        </w:rPr>
        <w:t>See Appendix C of the National Adverse Events Reporting Policy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81E"/>
    <w:multiLevelType w:val="hybridMultilevel"/>
    <w:tmpl w:val="448294C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D8C090E"/>
    <w:multiLevelType w:val="hybridMultilevel"/>
    <w:tmpl w:val="1ED656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D35A5"/>
    <w:multiLevelType w:val="hybridMultilevel"/>
    <w:tmpl w:val="801E6D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85B15"/>
    <w:multiLevelType w:val="hybridMultilevel"/>
    <w:tmpl w:val="809ED5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90027"/>
    <w:multiLevelType w:val="hybridMultilevel"/>
    <w:tmpl w:val="1C3C77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2BA6"/>
    <w:multiLevelType w:val="hybridMultilevel"/>
    <w:tmpl w:val="796230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10CF5"/>
    <w:multiLevelType w:val="hybridMultilevel"/>
    <w:tmpl w:val="806059EA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85D2648"/>
    <w:multiLevelType w:val="hybridMultilevel"/>
    <w:tmpl w:val="B85414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B41AC"/>
    <w:multiLevelType w:val="hybridMultilevel"/>
    <w:tmpl w:val="71065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7B"/>
    <w:rsid w:val="00005F8E"/>
    <w:rsid w:val="0002257B"/>
    <w:rsid w:val="000440F9"/>
    <w:rsid w:val="00054A10"/>
    <w:rsid w:val="001654A8"/>
    <w:rsid w:val="001A30B4"/>
    <w:rsid w:val="001C7C9E"/>
    <w:rsid w:val="001D4455"/>
    <w:rsid w:val="00216425"/>
    <w:rsid w:val="0022394F"/>
    <w:rsid w:val="00271DD9"/>
    <w:rsid w:val="00382B1D"/>
    <w:rsid w:val="003839AB"/>
    <w:rsid w:val="00394879"/>
    <w:rsid w:val="003B6CEF"/>
    <w:rsid w:val="004A4BFB"/>
    <w:rsid w:val="004C2323"/>
    <w:rsid w:val="004D0C0C"/>
    <w:rsid w:val="004E612E"/>
    <w:rsid w:val="00574C40"/>
    <w:rsid w:val="005A3AE4"/>
    <w:rsid w:val="005C5C36"/>
    <w:rsid w:val="006056C2"/>
    <w:rsid w:val="006D648B"/>
    <w:rsid w:val="00700BD5"/>
    <w:rsid w:val="00722AC4"/>
    <w:rsid w:val="007540CA"/>
    <w:rsid w:val="00755B6B"/>
    <w:rsid w:val="00756053"/>
    <w:rsid w:val="007B576A"/>
    <w:rsid w:val="007C1345"/>
    <w:rsid w:val="00837D1F"/>
    <w:rsid w:val="00850889"/>
    <w:rsid w:val="008539AC"/>
    <w:rsid w:val="008576AF"/>
    <w:rsid w:val="008F11EA"/>
    <w:rsid w:val="00913026"/>
    <w:rsid w:val="00920740"/>
    <w:rsid w:val="00943CAA"/>
    <w:rsid w:val="0095394C"/>
    <w:rsid w:val="009A444E"/>
    <w:rsid w:val="00A465BF"/>
    <w:rsid w:val="00A71B2A"/>
    <w:rsid w:val="00B67BB0"/>
    <w:rsid w:val="00BE7DBA"/>
    <w:rsid w:val="00C51593"/>
    <w:rsid w:val="00C7151F"/>
    <w:rsid w:val="00C91156"/>
    <w:rsid w:val="00CD3368"/>
    <w:rsid w:val="00D02C92"/>
    <w:rsid w:val="00DC263A"/>
    <w:rsid w:val="00E566C6"/>
    <w:rsid w:val="00E66692"/>
    <w:rsid w:val="00EC068B"/>
    <w:rsid w:val="00EC5E8A"/>
    <w:rsid w:val="00F1533F"/>
    <w:rsid w:val="00F65596"/>
    <w:rsid w:val="00FC3578"/>
    <w:rsid w:val="00FF1ACF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8135"/>
  <w15:docId w15:val="{E54B9680-6B23-410D-B64B-BC4757E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25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5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25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6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6A"/>
  </w:style>
  <w:style w:type="paragraph" w:styleId="Footer">
    <w:name w:val="footer"/>
    <w:basedOn w:val="Normal"/>
    <w:link w:val="FooterChar"/>
    <w:uiPriority w:val="99"/>
    <w:unhideWhenUsed/>
    <w:rsid w:val="007B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verse.events@hqsc.govt.n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programmes/adverse-events/publications-and-resources/publication/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HQSC-313-33010</_dlc_DocId>
    <_dlc_DocIdUrl xmlns="69bfa16a-a3a9-440c-9133-c4aec73b974f">
      <Url>http://intranet.hqsc.local/DMS/Communications/_layouts/DocIdRedir.aspx?ID=HQSC-313-33010</Url>
      <Description>HQSC-313-33010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0D4E-FD96-4C7D-BC46-B027AA26083A}">
  <ds:schemaRefs>
    <ds:schemaRef ds:uri="http://schemas.microsoft.com/office/2006/metadata/properties"/>
    <ds:schemaRef ds:uri="http://schemas.microsoft.com/office/infopath/2007/PartnerControls"/>
    <ds:schemaRef ds:uri="69bfa16a-a3a9-440c-9133-c4aec73b974f"/>
  </ds:schemaRefs>
</ds:datastoreItem>
</file>

<file path=customXml/itemProps2.xml><?xml version="1.0" encoding="utf-8"?>
<ds:datastoreItem xmlns:ds="http://schemas.openxmlformats.org/officeDocument/2006/customXml" ds:itemID="{A79497DE-2BD1-4444-8680-151C4131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39773-F399-4743-87B4-5658B669D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ACFA1-8D9B-40AA-8068-2DBF0C91D0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806E1C-1EA2-4604-9977-80C6DFC3DA7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19733EA-3355-47B4-A275-E75A667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1607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&amp; Safety Commission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Upston</dc:creator>
  <cp:lastModifiedBy>Jocasta Whittingham</cp:lastModifiedBy>
  <cp:revision>2</cp:revision>
  <cp:lastPrinted>2017-06-10T02:15:00Z</cp:lastPrinted>
  <dcterms:created xsi:type="dcterms:W3CDTF">2017-07-17T22:24:00Z</dcterms:created>
  <dcterms:modified xsi:type="dcterms:W3CDTF">2017-07-17T22:24:00Z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e2f857eb-6886-4fa1-bc05-87fd421f7bee</vt:lpwstr>
  </property>
</Properties>
</file>