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15FA44" w14:textId="77777777" w:rsidR="00D12FC1" w:rsidRPr="006A2BA0" w:rsidRDefault="006A2A46" w:rsidP="006A2A46">
      <w:pPr>
        <w:tabs>
          <w:tab w:val="left" w:pos="2080"/>
          <w:tab w:val="center" w:pos="4535"/>
        </w:tabs>
        <w:jc w:val="right"/>
        <w:rPr>
          <w:rFonts w:cs="Arial"/>
        </w:rPr>
      </w:pPr>
      <w:r w:rsidRPr="006A2BA0">
        <w:rPr>
          <w:noProof/>
          <w:color w:val="2C2568"/>
        </w:rPr>
        <w:drawing>
          <wp:anchor distT="0" distB="0" distL="114300" distR="114300" simplePos="0" relativeHeight="251658240" behindDoc="1" locked="0" layoutInCell="1" allowOverlap="1" wp14:anchorId="67F23B14" wp14:editId="4CCFFAEA">
            <wp:simplePos x="0" y="0"/>
            <wp:positionH relativeFrom="page">
              <wp:posOffset>5378450</wp:posOffset>
            </wp:positionH>
            <wp:positionV relativeFrom="page">
              <wp:posOffset>819150</wp:posOffset>
            </wp:positionV>
            <wp:extent cx="1655445" cy="1421130"/>
            <wp:effectExtent l="0" t="0" r="1905" b="7620"/>
            <wp:wrapNone/>
            <wp:docPr id="5" name="Graphic 4" descr="The Health Quality &amp; Safety Commission Te Tāhū Hauora logo is made up of the words Health Quality &amp; Safety Commission with the words Te Tāhū Hauora underneath. Above is a stylised version of a wharenui in a triangle shape, with the tāhū (ridgepole), heke (rafters) and niho taniwha (triangle pattern) beneath.">
              <a:extLst xmlns:a="http://schemas.openxmlformats.org/drawingml/2006/main">
                <a:ext uri="{FF2B5EF4-FFF2-40B4-BE49-F238E27FC236}">
                  <a16:creationId xmlns:a16="http://schemas.microsoft.com/office/drawing/2014/main" id="{C73290AD-A19D-EDE9-57B3-BE26375603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The Health Quality &amp; Safety Commission Te Tāhū Hauora logo is made up of the words Health Quality &amp; Safety Commission with the words Te Tāhū Hauora underneath. Above is a stylised version of a wharenui in a triangle shape, with the tāhū (ridgepole), heke (rafters) and niho taniwha (triangle pattern) beneath.">
                      <a:extLst>
                        <a:ext uri="{FF2B5EF4-FFF2-40B4-BE49-F238E27FC236}">
                          <a16:creationId xmlns:a16="http://schemas.microsoft.com/office/drawing/2014/main" id="{C73290AD-A19D-EDE9-57B3-BE263756035A}"/>
                        </a:ext>
                      </a:extLst>
                    </pic:cNvPr>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0" y="0"/>
                      <a:ext cx="1655445" cy="1421130"/>
                    </a:xfrm>
                    <a:prstGeom prst="rect">
                      <a:avLst/>
                    </a:prstGeom>
                  </pic:spPr>
                </pic:pic>
              </a:graphicData>
            </a:graphic>
            <wp14:sizeRelH relativeFrom="margin">
              <wp14:pctWidth>0</wp14:pctWidth>
            </wp14:sizeRelH>
            <wp14:sizeRelV relativeFrom="margin">
              <wp14:pctHeight>0</wp14:pctHeight>
            </wp14:sizeRelV>
          </wp:anchor>
        </w:drawing>
      </w:r>
      <w:r w:rsidRPr="006A2BA0">
        <w:rPr>
          <w:rFonts w:cs="Arial"/>
        </w:rPr>
        <w:tab/>
      </w:r>
      <w:r w:rsidRPr="006A2BA0">
        <w:rPr>
          <w:rFonts w:cs="Arial"/>
        </w:rPr>
        <w:tab/>
      </w:r>
    </w:p>
    <w:p w14:paraId="372EAE89" w14:textId="77777777" w:rsidR="00433D6F" w:rsidRPr="006A2BA0" w:rsidRDefault="00433D6F" w:rsidP="00073068">
      <w:pPr>
        <w:rPr>
          <w:rFonts w:cs="Arial"/>
          <w:b/>
          <w:sz w:val="36"/>
          <w:szCs w:val="36"/>
        </w:rPr>
      </w:pPr>
    </w:p>
    <w:p w14:paraId="14EAA194" w14:textId="77777777" w:rsidR="00E01E56" w:rsidRPr="006A2BA0" w:rsidRDefault="00E01E56" w:rsidP="00073068">
      <w:pPr>
        <w:rPr>
          <w:rFonts w:cs="Arial"/>
          <w:b/>
          <w:sz w:val="36"/>
          <w:szCs w:val="36"/>
        </w:rPr>
      </w:pPr>
    </w:p>
    <w:p w14:paraId="08455C26" w14:textId="77777777" w:rsidR="00A313E6" w:rsidRPr="006A2BA0" w:rsidRDefault="00A313E6" w:rsidP="00073068">
      <w:pPr>
        <w:rPr>
          <w:rFonts w:cs="Arial"/>
          <w:b/>
          <w:sz w:val="36"/>
          <w:szCs w:val="36"/>
        </w:rPr>
      </w:pPr>
    </w:p>
    <w:p w14:paraId="67ECC5D0" w14:textId="77777777" w:rsidR="00A313E6" w:rsidRPr="006A2BA0" w:rsidRDefault="00A313E6" w:rsidP="00073068">
      <w:pPr>
        <w:pStyle w:val="CovertitleHQSC"/>
        <w:rPr>
          <w:color w:val="auto"/>
        </w:rPr>
      </w:pPr>
    </w:p>
    <w:p w14:paraId="016DBC9E" w14:textId="77777777" w:rsidR="00A313E6" w:rsidRPr="006A2BA0" w:rsidRDefault="00A313E6" w:rsidP="00073068">
      <w:pPr>
        <w:rPr>
          <w:rFonts w:cs="Arial"/>
          <w:b/>
          <w:sz w:val="36"/>
          <w:szCs w:val="36"/>
        </w:rPr>
      </w:pPr>
    </w:p>
    <w:p w14:paraId="69E9BD22" w14:textId="3C859D2F" w:rsidR="00A313E6" w:rsidRPr="006A2BA0" w:rsidRDefault="00A313E6" w:rsidP="00073068">
      <w:pPr>
        <w:tabs>
          <w:tab w:val="left" w:pos="6150"/>
        </w:tabs>
        <w:rPr>
          <w:rFonts w:cs="Arial"/>
          <w:b/>
          <w:sz w:val="36"/>
          <w:szCs w:val="36"/>
        </w:rPr>
      </w:pPr>
    </w:p>
    <w:p w14:paraId="4709A2FC" w14:textId="77777777" w:rsidR="00A313E6" w:rsidRPr="006A2BA0" w:rsidRDefault="00A313E6" w:rsidP="00073068">
      <w:pPr>
        <w:rPr>
          <w:rFonts w:cs="Arial"/>
          <w:b/>
          <w:sz w:val="36"/>
          <w:szCs w:val="36"/>
        </w:rPr>
      </w:pPr>
    </w:p>
    <w:p w14:paraId="57BE767C" w14:textId="79CAE07D" w:rsidR="00D12FC1" w:rsidRPr="006A2BA0" w:rsidRDefault="00424970" w:rsidP="00E01E56">
      <w:pPr>
        <w:pStyle w:val="CovertitleHQSC"/>
        <w:rPr>
          <w:color w:val="auto"/>
        </w:rPr>
      </w:pPr>
      <w:r w:rsidRPr="006A2BA0">
        <w:rPr>
          <w:color w:val="auto"/>
        </w:rPr>
        <w:t>Aged residential care analysis of</w:t>
      </w:r>
      <w:r w:rsidR="002A1776" w:rsidRPr="006A2BA0">
        <w:rPr>
          <w:color w:val="auto"/>
        </w:rPr>
        <w:t> </w:t>
      </w:r>
      <w:r w:rsidRPr="006A2BA0">
        <w:rPr>
          <w:color w:val="auto"/>
        </w:rPr>
        <w:t>harm (adverse) events</w:t>
      </w:r>
      <w:r w:rsidRPr="006A2BA0">
        <w:rPr>
          <w:color w:val="auto"/>
        </w:rPr>
        <w:br/>
        <w:t>1 July 2024</w:t>
      </w:r>
      <w:r w:rsidR="00C32BEC">
        <w:rPr>
          <w:color w:val="auto"/>
        </w:rPr>
        <w:t xml:space="preserve"> to </w:t>
      </w:r>
      <w:r w:rsidRPr="006A2BA0">
        <w:rPr>
          <w:color w:val="auto"/>
        </w:rPr>
        <w:t>30 June 2025</w:t>
      </w:r>
    </w:p>
    <w:p w14:paraId="5310417D" w14:textId="77777777" w:rsidR="00424970" w:rsidRPr="006A2BA0" w:rsidRDefault="00424970" w:rsidP="00833922">
      <w:pPr>
        <w:pStyle w:val="coverdateHQSC"/>
        <w:rPr>
          <w:color w:val="auto"/>
        </w:rPr>
      </w:pPr>
    </w:p>
    <w:p w14:paraId="3D30261A" w14:textId="77777777" w:rsidR="000513FA" w:rsidRPr="006A2BA0" w:rsidRDefault="000513FA">
      <w:pPr>
        <w:rPr>
          <w:rFonts w:cs="Arial"/>
          <w:sz w:val="56"/>
          <w:szCs w:val="56"/>
        </w:rPr>
      </w:pPr>
    </w:p>
    <w:p w14:paraId="7B328317" w14:textId="77777777" w:rsidR="000513FA" w:rsidRPr="006A2BA0" w:rsidRDefault="000513FA">
      <w:pPr>
        <w:rPr>
          <w:rFonts w:cs="Arial"/>
          <w:sz w:val="56"/>
          <w:szCs w:val="56"/>
        </w:rPr>
      </w:pPr>
    </w:p>
    <w:p w14:paraId="5BDC0CC7" w14:textId="77777777" w:rsidR="000513FA" w:rsidRPr="006A2BA0" w:rsidRDefault="000513FA">
      <w:pPr>
        <w:rPr>
          <w:rFonts w:cs="Arial"/>
          <w:sz w:val="56"/>
          <w:szCs w:val="56"/>
        </w:rPr>
      </w:pPr>
    </w:p>
    <w:p w14:paraId="23E31F36" w14:textId="77777777" w:rsidR="000513FA" w:rsidRPr="006A2BA0" w:rsidRDefault="00E101AF">
      <w:pPr>
        <w:rPr>
          <w:rFonts w:cs="Arial"/>
          <w:color w:val="FFFFFF" w:themeColor="background1"/>
          <w:sz w:val="56"/>
          <w:szCs w:val="56"/>
        </w:rPr>
      </w:pPr>
      <w:r w:rsidRPr="006A2BA0">
        <w:rPr>
          <w:noProof/>
        </w:rPr>
        <w:drawing>
          <wp:anchor distT="0" distB="0" distL="114300" distR="114300" simplePos="0" relativeHeight="251658241" behindDoc="1" locked="0" layoutInCell="1" allowOverlap="1" wp14:anchorId="67D55BE9" wp14:editId="61B30E2A">
            <wp:simplePos x="0" y="0"/>
            <wp:positionH relativeFrom="page">
              <wp:posOffset>-635</wp:posOffset>
            </wp:positionH>
            <wp:positionV relativeFrom="paragraph">
              <wp:posOffset>228600</wp:posOffset>
            </wp:positionV>
            <wp:extent cx="7533640" cy="3439977"/>
            <wp:effectExtent l="0" t="0" r="0" b="8255"/>
            <wp:wrapNone/>
            <wp:docPr id="1" name="Picture 1" descr="A red and blue tessellated pattern made up of the Health Quality &amp; Safety Commission Te Tāhū Hauora logo. The logo is a stylised version of a wharenui in a triangle shape, with the tāhū (ridgepole), heke (rafters) and niho taniwha (triangle pattern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and blue tessellated pattern made up of the Health Quality &amp; Safety Commission Te Tāhū Hauora logo. The logo is a stylised version of a wharenui in a triangle shape, with the tāhū (ridgepole), heke (rafters) and niho taniwha (triangle pattern beneath)."/>
                    <pic:cNvPicPr/>
                  </pic:nvPicPr>
                  <pic:blipFill rotWithShape="1">
                    <a:blip r:embed="rId10" cstate="print">
                      <a:extLst>
                        <a:ext uri="{28A0092B-C50C-407E-A947-70E740481C1C}">
                          <a14:useLocalDpi xmlns:a14="http://schemas.microsoft.com/office/drawing/2010/main" val="0"/>
                        </a:ext>
                      </a:extLst>
                    </a:blip>
                    <a:srcRect/>
                    <a:stretch>
                      <a:fillRect/>
                    </a:stretch>
                  </pic:blipFill>
                  <pic:spPr bwMode="auto">
                    <a:xfrm>
                      <a:off x="0" y="0"/>
                      <a:ext cx="7533640" cy="34399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312A31" w14:textId="77777777" w:rsidR="000513FA" w:rsidRPr="006A2BA0" w:rsidRDefault="000513FA">
      <w:pPr>
        <w:rPr>
          <w:rFonts w:cs="Arial"/>
          <w:color w:val="FFFFFF" w:themeColor="background1"/>
          <w:sz w:val="56"/>
          <w:szCs w:val="56"/>
        </w:rPr>
      </w:pPr>
    </w:p>
    <w:p w14:paraId="082C6FE6" w14:textId="77777777" w:rsidR="000513FA" w:rsidRPr="006A2BA0" w:rsidRDefault="000513FA">
      <w:pPr>
        <w:rPr>
          <w:rFonts w:cs="Arial"/>
          <w:color w:val="FFFFFF" w:themeColor="background1"/>
          <w:sz w:val="56"/>
          <w:szCs w:val="56"/>
        </w:rPr>
      </w:pPr>
    </w:p>
    <w:p w14:paraId="2BCD72B8" w14:textId="77777777" w:rsidR="000513FA" w:rsidRPr="006A2BA0" w:rsidRDefault="000513FA">
      <w:pPr>
        <w:rPr>
          <w:rFonts w:cs="Arial"/>
          <w:color w:val="FFFFFF" w:themeColor="background1"/>
          <w:sz w:val="56"/>
          <w:szCs w:val="56"/>
        </w:rPr>
      </w:pPr>
    </w:p>
    <w:p w14:paraId="03B6BE1C" w14:textId="77777777" w:rsidR="000513FA" w:rsidRPr="006A2BA0" w:rsidRDefault="000513FA">
      <w:pPr>
        <w:rPr>
          <w:rFonts w:cs="Arial"/>
          <w:color w:val="FFFFFF" w:themeColor="background1"/>
          <w:sz w:val="56"/>
          <w:szCs w:val="56"/>
        </w:rPr>
      </w:pPr>
    </w:p>
    <w:p w14:paraId="14A7F3AB" w14:textId="77777777" w:rsidR="00284CDD" w:rsidRPr="006A2BA0" w:rsidRDefault="00284CDD" w:rsidP="006B61D0">
      <w:pPr>
        <w:pStyle w:val="BodytextHQSC"/>
      </w:pPr>
    </w:p>
    <w:p w14:paraId="0A3BA324" w14:textId="77777777" w:rsidR="00284CDD" w:rsidRPr="006A2BA0" w:rsidRDefault="00284CDD" w:rsidP="006B61D0">
      <w:pPr>
        <w:pStyle w:val="BodytextHQSC"/>
      </w:pPr>
    </w:p>
    <w:p w14:paraId="2CEE6283" w14:textId="77777777" w:rsidR="00284CDD" w:rsidRPr="006A2BA0" w:rsidRDefault="00284CDD" w:rsidP="006B61D0">
      <w:pPr>
        <w:pStyle w:val="BodytextHQSC"/>
      </w:pPr>
    </w:p>
    <w:p w14:paraId="50460B8A" w14:textId="77777777" w:rsidR="00284CDD" w:rsidRPr="006A2BA0" w:rsidRDefault="00284CDD" w:rsidP="006B61D0">
      <w:pPr>
        <w:pStyle w:val="BodytextHQSC"/>
      </w:pPr>
    </w:p>
    <w:p w14:paraId="2A357FB5" w14:textId="77777777" w:rsidR="00284CDD" w:rsidRPr="006A2BA0" w:rsidRDefault="00284CDD" w:rsidP="006B61D0">
      <w:pPr>
        <w:pStyle w:val="BodytextHQSC"/>
      </w:pPr>
    </w:p>
    <w:p w14:paraId="6170FCAC" w14:textId="77777777" w:rsidR="00284CDD" w:rsidRPr="006A2BA0" w:rsidRDefault="00284CDD" w:rsidP="006B61D0">
      <w:pPr>
        <w:pStyle w:val="BodytextHQSC"/>
      </w:pPr>
    </w:p>
    <w:p w14:paraId="469A3BFC" w14:textId="77777777" w:rsidR="00284CDD" w:rsidRPr="006A2BA0" w:rsidRDefault="00284CDD" w:rsidP="006B61D0">
      <w:pPr>
        <w:pStyle w:val="BodytextHQSC"/>
      </w:pPr>
    </w:p>
    <w:p w14:paraId="25FC02CC" w14:textId="77777777" w:rsidR="0064198B" w:rsidRPr="006A2BA0" w:rsidRDefault="0064198B" w:rsidP="006B61D0">
      <w:pPr>
        <w:pStyle w:val="BodytextHQSC"/>
      </w:pPr>
    </w:p>
    <w:p w14:paraId="50041431" w14:textId="77777777" w:rsidR="000513FA" w:rsidRPr="006A2BA0" w:rsidRDefault="000513FA" w:rsidP="006B61D0">
      <w:pPr>
        <w:pStyle w:val="BodytextHQSC"/>
      </w:pPr>
    </w:p>
    <w:p w14:paraId="47876B99" w14:textId="77777777" w:rsidR="000513FA" w:rsidRPr="006A2BA0" w:rsidRDefault="000513FA" w:rsidP="006B61D0">
      <w:pPr>
        <w:pStyle w:val="BodytextHQSC"/>
      </w:pPr>
    </w:p>
    <w:p w14:paraId="3137B795" w14:textId="77777777" w:rsidR="0064198B" w:rsidRPr="006A2BA0" w:rsidRDefault="0064198B" w:rsidP="006B61D0">
      <w:pPr>
        <w:pStyle w:val="BodytextHQSC"/>
      </w:pPr>
    </w:p>
    <w:p w14:paraId="418A914A" w14:textId="77777777" w:rsidR="0064198B" w:rsidRPr="006A2BA0" w:rsidRDefault="0064198B" w:rsidP="006B61D0">
      <w:pPr>
        <w:pStyle w:val="BodytextHQSC"/>
      </w:pPr>
    </w:p>
    <w:p w14:paraId="7BF4ACA1" w14:textId="77777777" w:rsidR="00284CDD" w:rsidRPr="006A2BA0" w:rsidRDefault="00284CDD" w:rsidP="006B61D0">
      <w:pPr>
        <w:pStyle w:val="BodytextHQSC"/>
      </w:pPr>
    </w:p>
    <w:p w14:paraId="748F9A24" w14:textId="77777777" w:rsidR="00284CDD" w:rsidRPr="006A2BA0" w:rsidRDefault="00284CDD" w:rsidP="006B61D0">
      <w:pPr>
        <w:pStyle w:val="BodytextHQSC"/>
      </w:pPr>
    </w:p>
    <w:p w14:paraId="56255E7A" w14:textId="77777777" w:rsidR="00424970" w:rsidRPr="006A2BA0" w:rsidRDefault="00424970" w:rsidP="006B61D0">
      <w:pPr>
        <w:pStyle w:val="BodytextHQSC"/>
      </w:pPr>
    </w:p>
    <w:p w14:paraId="44194872" w14:textId="512AFC51" w:rsidR="00284CDD" w:rsidRPr="006A2BA0" w:rsidRDefault="00284CDD" w:rsidP="005A4781">
      <w:pPr>
        <w:pStyle w:val="BodytextHQSC"/>
      </w:pPr>
      <w:r w:rsidRPr="006A2BA0">
        <w:t xml:space="preserve">Published </w:t>
      </w:r>
      <w:r w:rsidR="00C32BEC">
        <w:t>June 2026</w:t>
      </w:r>
      <w:r w:rsidRPr="006A2BA0">
        <w:t xml:space="preserve"> by Health Quality &amp; Safety Commission</w:t>
      </w:r>
      <w:r w:rsidR="00216F8D" w:rsidRPr="006A2BA0">
        <w:t xml:space="preserve"> Te Tāhū Hauora</w:t>
      </w:r>
      <w:r w:rsidRPr="006A2BA0">
        <w:t xml:space="preserve">, </w:t>
      </w:r>
      <w:r w:rsidR="0017350C" w:rsidRPr="006A2BA0">
        <w:br/>
      </w:r>
      <w:r w:rsidRPr="006A2BA0">
        <w:t>PO Box 25496, Wellington, 6146.</w:t>
      </w:r>
    </w:p>
    <w:p w14:paraId="18FD1083" w14:textId="77777777" w:rsidR="00284CDD" w:rsidRPr="006A2BA0" w:rsidRDefault="00284CDD" w:rsidP="00284CDD">
      <w:pPr>
        <w:pStyle w:val="BodyText"/>
      </w:pPr>
    </w:p>
    <w:p w14:paraId="38E58601" w14:textId="77777777" w:rsidR="00C32BEC" w:rsidRDefault="00284CDD" w:rsidP="00284CDD">
      <w:pPr>
        <w:pStyle w:val="BodyText"/>
      </w:pPr>
      <w:r w:rsidRPr="006A2BA0">
        <w:t xml:space="preserve">ISBN </w:t>
      </w:r>
      <w:r w:rsidR="00C32BEC" w:rsidRPr="00C32BEC">
        <w:t xml:space="preserve">978-1-991122-47-6 </w:t>
      </w:r>
      <w:r w:rsidR="00C32BEC">
        <w:t>(online)</w:t>
      </w:r>
    </w:p>
    <w:p w14:paraId="287491C0" w14:textId="64AC166F" w:rsidR="00284CDD" w:rsidRPr="006A2BA0" w:rsidRDefault="00284CDD" w:rsidP="00284CDD">
      <w:pPr>
        <w:pStyle w:val="BodyText"/>
      </w:pPr>
      <w:r w:rsidRPr="006A2BA0">
        <w:t xml:space="preserve">Available online at </w:t>
      </w:r>
      <w:hyperlink r:id="rId11" w:history="1">
        <w:r w:rsidRPr="006A2BA0">
          <w:rPr>
            <w:rStyle w:val="Hyperlink"/>
          </w:rPr>
          <w:t>www.hqsc.govt.nz</w:t>
        </w:r>
      </w:hyperlink>
    </w:p>
    <w:p w14:paraId="1B0845A0" w14:textId="77777777" w:rsidR="00284CDD" w:rsidRPr="006A2BA0" w:rsidRDefault="00284CDD" w:rsidP="00284CDD">
      <w:pPr>
        <w:pStyle w:val="BodyText"/>
      </w:pPr>
      <w:r w:rsidRPr="006A2BA0">
        <w:t xml:space="preserve">Enquiries to: </w:t>
      </w:r>
      <w:hyperlink r:id="rId12" w:history="1">
        <w:r w:rsidRPr="006A2BA0">
          <w:rPr>
            <w:rStyle w:val="Hyperlink"/>
          </w:rPr>
          <w:t>info@hqsc.govt.nz</w:t>
        </w:r>
      </w:hyperlink>
    </w:p>
    <w:p w14:paraId="2763BA8E" w14:textId="77777777" w:rsidR="00284CDD" w:rsidRPr="006A2BA0" w:rsidRDefault="00284CDD" w:rsidP="00284CDD">
      <w:pPr>
        <w:pStyle w:val="BodyText"/>
      </w:pPr>
    </w:p>
    <w:p w14:paraId="37F8B29A" w14:textId="32664338" w:rsidR="00284CDD" w:rsidRPr="006A2BA0" w:rsidRDefault="001F63A1" w:rsidP="00284CDD">
      <w:pPr>
        <w:pStyle w:val="BodyText"/>
        <w:rPr>
          <w:sz w:val="20"/>
          <w:szCs w:val="20"/>
        </w:rPr>
      </w:pPr>
      <w:r w:rsidRPr="006A2BA0">
        <w:rPr>
          <w:noProof/>
        </w:rPr>
        <w:drawing>
          <wp:anchor distT="0" distB="0" distL="114300" distR="114300" simplePos="0" relativeHeight="251658242" behindDoc="1" locked="0" layoutInCell="1" allowOverlap="1" wp14:anchorId="18778AC9" wp14:editId="0ABF231F">
            <wp:simplePos x="0" y="0"/>
            <wp:positionH relativeFrom="margin">
              <wp:posOffset>4157925</wp:posOffset>
            </wp:positionH>
            <wp:positionV relativeFrom="paragraph">
              <wp:posOffset>237684</wp:posOffset>
            </wp:positionV>
            <wp:extent cx="1091565" cy="381000"/>
            <wp:effectExtent l="0" t="0" r="0" b="0"/>
            <wp:wrapTight wrapText="bothSides">
              <wp:wrapPolygon edited="0">
                <wp:start x="0" y="0"/>
                <wp:lineTo x="0" y="20520"/>
                <wp:lineTo x="21110" y="20520"/>
                <wp:lineTo x="21110" y="0"/>
                <wp:lineTo x="0" y="0"/>
              </wp:wrapPolygon>
            </wp:wrapTight>
            <wp:docPr id="8" name="Picture 8" descr="Creative Commons logo, with a grey background, a white circle with the letters CC in it on the left, then a smaller white circle with a stick person it in and the letters BY underneath, then a smaller white circle with a crossed-out dollar symbol on it and the letters NC underneath it, then a smaller white circle with a circular arrow in it and the letters SA underneat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reative Commons logo, with a grey background, a white circle with the letters CC in it on the left, then a smaller white circle with a stick person it in and the letters BY underneath, then a smaller white circle with a crossed-out dollar symbol on it and the letters NC underneath it, then a smaller white circle with a circular arrow in it and the letters SA underneath i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91565" cy="381000"/>
                    </a:xfrm>
                    <a:prstGeom prst="rect">
                      <a:avLst/>
                    </a:prstGeom>
                  </pic:spPr>
                </pic:pic>
              </a:graphicData>
            </a:graphic>
            <wp14:sizeRelH relativeFrom="margin">
              <wp14:pctWidth>0</wp14:pctWidth>
            </wp14:sizeRelH>
            <wp14:sizeRelV relativeFrom="margin">
              <wp14:pctHeight>0</wp14:pctHeight>
            </wp14:sizeRelV>
          </wp:anchor>
        </w:drawing>
      </w:r>
      <w:r w:rsidR="00284CDD" w:rsidRPr="006A2BA0">
        <w:rPr>
          <w:sz w:val="20"/>
          <w:szCs w:val="20"/>
        </w:rPr>
        <w:t xml:space="preserve">This work is licensed under the Creative Commons </w:t>
      </w:r>
      <w:proofErr w:type="spellStart"/>
      <w:r w:rsidR="00284CDD" w:rsidRPr="006A2BA0">
        <w:rPr>
          <w:sz w:val="20"/>
          <w:szCs w:val="20"/>
        </w:rPr>
        <w:t>AttributionNonCommercial-ShareAlike</w:t>
      </w:r>
      <w:proofErr w:type="spellEnd"/>
      <w:r w:rsidR="00284CDD" w:rsidRPr="006A2BA0">
        <w:rPr>
          <w:sz w:val="20"/>
          <w:szCs w:val="20"/>
        </w:rPr>
        <w:t xml:space="preserve"> 4.0 International (CC BY-NC-SA 4.0). To view a copy of this licence, visit </w:t>
      </w:r>
      <w:hyperlink r:id="rId14" w:history="1">
        <w:r w:rsidR="00284CDD" w:rsidRPr="006A2BA0">
          <w:rPr>
            <w:rStyle w:val="Hyperlink"/>
            <w:sz w:val="20"/>
            <w:szCs w:val="20"/>
          </w:rPr>
          <w:t>https://creativecommons.org/licenses/by-nc-sa/4.0</w:t>
        </w:r>
      </w:hyperlink>
      <w:r w:rsidR="00284CDD" w:rsidRPr="006A2BA0">
        <w:rPr>
          <w:sz w:val="20"/>
          <w:szCs w:val="20"/>
        </w:rPr>
        <w:t xml:space="preserve"> </w:t>
      </w:r>
    </w:p>
    <w:p w14:paraId="26DD59A9" w14:textId="724A95EB" w:rsidR="00216F8D" w:rsidRPr="006A2BA0" w:rsidRDefault="00216F8D" w:rsidP="00F54480">
      <w:pPr>
        <w:pStyle w:val="BodyText"/>
      </w:pPr>
    </w:p>
    <w:p w14:paraId="6B608503" w14:textId="47DEA99D" w:rsidR="00F54480" w:rsidRPr="00F54480" w:rsidRDefault="00F54480" w:rsidP="00F54480">
      <w:pPr>
        <w:pStyle w:val="BodytextHQSC"/>
      </w:pPr>
      <w:r w:rsidRPr="00F54480">
        <w:rPr>
          <w:noProof/>
        </w:rPr>
        <w:drawing>
          <wp:inline distT="0" distB="0" distL="0" distR="0" wp14:anchorId="02DCCAE6" wp14:editId="3BB6570B">
            <wp:extent cx="1940119" cy="445778"/>
            <wp:effectExtent l="0" t="0" r="3175" b="0"/>
            <wp:docPr id="1361213802" name="Picture 2" descr="The New Zealand Government logo is made up of the coat of arms of New Zealand on the left and the words New Zealand Government in bold letters alongside it, with Te Kāwanatanga o Aotearoa written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13802" name="Picture 2" descr="The New Zealand Government logo is made up of the coat of arms of New Zealand on the left and the words New Zealand Government in bold letters alongside it, with Te Kāwanatanga o Aotearoa written beneat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2575" cy="457831"/>
                    </a:xfrm>
                    <a:prstGeom prst="rect">
                      <a:avLst/>
                    </a:prstGeom>
                    <a:noFill/>
                    <a:ln>
                      <a:noFill/>
                    </a:ln>
                  </pic:spPr>
                </pic:pic>
              </a:graphicData>
            </a:graphic>
          </wp:inline>
        </w:drawing>
      </w:r>
    </w:p>
    <w:p w14:paraId="75C664A0" w14:textId="77777777" w:rsidR="00284CDD" w:rsidRPr="006A2BA0" w:rsidRDefault="00284CDD" w:rsidP="005A4781">
      <w:pPr>
        <w:pStyle w:val="BodytextHQSC"/>
        <w:sectPr w:rsidR="00284CDD" w:rsidRPr="006A2BA0" w:rsidSect="006B61D0">
          <w:headerReference w:type="even" r:id="rId16"/>
          <w:headerReference w:type="default" r:id="rId17"/>
          <w:footerReference w:type="even" r:id="rId18"/>
          <w:footerReference w:type="default" r:id="rId19"/>
          <w:pgSz w:w="11906" w:h="16838"/>
          <w:pgMar w:top="1418" w:right="1418" w:bottom="1418" w:left="1418" w:header="709" w:footer="709" w:gutter="0"/>
          <w:cols w:space="708"/>
          <w:docGrid w:linePitch="360"/>
        </w:sectPr>
      </w:pPr>
    </w:p>
    <w:p w14:paraId="47CF790F" w14:textId="77777777" w:rsidR="002A1776" w:rsidRPr="006A2BA0" w:rsidRDefault="002A1776" w:rsidP="002A1776">
      <w:pPr>
        <w:pStyle w:val="TOCHeading"/>
      </w:pPr>
      <w:r w:rsidRPr="006A2BA0">
        <w:lastRenderedPageBreak/>
        <w:t>Contents</w:t>
      </w:r>
    </w:p>
    <w:p w14:paraId="252CFD9C" w14:textId="14AE3187" w:rsidR="00682F4B" w:rsidRDefault="002A1776">
      <w:pPr>
        <w:pStyle w:val="TOC1"/>
        <w:rPr>
          <w:rFonts w:asciiTheme="minorHAnsi" w:eastAsiaTheme="minorEastAsia" w:hAnsiTheme="minorHAnsi"/>
          <w:kern w:val="2"/>
          <w:sz w:val="24"/>
          <w:szCs w:val="24"/>
          <w:lang w:eastAsia="en-NZ"/>
          <w14:ligatures w14:val="standardContextual"/>
        </w:rPr>
      </w:pPr>
      <w:r w:rsidRPr="006A2BA0">
        <w:rPr>
          <w:noProof w:val="0"/>
        </w:rPr>
        <w:fldChar w:fldCharType="begin"/>
      </w:r>
      <w:r w:rsidRPr="006A2BA0">
        <w:rPr>
          <w:noProof w:val="0"/>
        </w:rPr>
        <w:instrText xml:space="preserve"> TOC \h \z \t "Heading 1 HQSC,1,Heading 2 HQSC,2" </w:instrText>
      </w:r>
      <w:r w:rsidRPr="006A2BA0">
        <w:rPr>
          <w:noProof w:val="0"/>
        </w:rPr>
        <w:fldChar w:fldCharType="separate"/>
      </w:r>
      <w:hyperlink w:anchor="_Toc233881850" w:history="1">
        <w:r w:rsidR="00682F4B" w:rsidRPr="00404976">
          <w:rPr>
            <w:rStyle w:val="Hyperlink"/>
          </w:rPr>
          <w:t>Introduction</w:t>
        </w:r>
        <w:r w:rsidR="00682F4B">
          <w:rPr>
            <w:webHidden/>
          </w:rPr>
          <w:tab/>
        </w:r>
        <w:r w:rsidR="00682F4B">
          <w:rPr>
            <w:webHidden/>
          </w:rPr>
          <w:fldChar w:fldCharType="begin"/>
        </w:r>
        <w:r w:rsidR="00682F4B">
          <w:rPr>
            <w:webHidden/>
          </w:rPr>
          <w:instrText xml:space="preserve"> PAGEREF _Toc233881850 \h </w:instrText>
        </w:r>
        <w:r w:rsidR="00682F4B">
          <w:rPr>
            <w:webHidden/>
          </w:rPr>
        </w:r>
        <w:r w:rsidR="00682F4B">
          <w:rPr>
            <w:webHidden/>
          </w:rPr>
          <w:fldChar w:fldCharType="separate"/>
        </w:r>
        <w:r w:rsidR="00682F4B">
          <w:rPr>
            <w:webHidden/>
          </w:rPr>
          <w:t>5</w:t>
        </w:r>
        <w:r w:rsidR="00682F4B">
          <w:rPr>
            <w:webHidden/>
          </w:rPr>
          <w:fldChar w:fldCharType="end"/>
        </w:r>
      </w:hyperlink>
    </w:p>
    <w:p w14:paraId="4A0A1E91" w14:textId="3FEC6886" w:rsidR="00682F4B" w:rsidRDefault="00682F4B">
      <w:pPr>
        <w:pStyle w:val="TOC2"/>
        <w:rPr>
          <w:rFonts w:asciiTheme="minorHAnsi" w:eastAsiaTheme="minorEastAsia" w:hAnsiTheme="minorHAnsi"/>
          <w:kern w:val="2"/>
          <w:sz w:val="24"/>
          <w:szCs w:val="24"/>
          <w:lang w:eastAsia="en-NZ"/>
          <w14:ligatures w14:val="standardContextual"/>
        </w:rPr>
      </w:pPr>
      <w:hyperlink w:anchor="_Toc233881851" w:history="1">
        <w:r w:rsidRPr="00404976">
          <w:rPr>
            <w:rStyle w:val="Hyperlink"/>
          </w:rPr>
          <w:t>Reporting harm (adverse) events in New Zealand</w:t>
        </w:r>
        <w:r>
          <w:rPr>
            <w:webHidden/>
          </w:rPr>
          <w:tab/>
        </w:r>
        <w:r>
          <w:rPr>
            <w:webHidden/>
          </w:rPr>
          <w:fldChar w:fldCharType="begin"/>
        </w:r>
        <w:r>
          <w:rPr>
            <w:webHidden/>
          </w:rPr>
          <w:instrText xml:space="preserve"> PAGEREF _Toc233881851 \h </w:instrText>
        </w:r>
        <w:r>
          <w:rPr>
            <w:webHidden/>
          </w:rPr>
        </w:r>
        <w:r>
          <w:rPr>
            <w:webHidden/>
          </w:rPr>
          <w:fldChar w:fldCharType="separate"/>
        </w:r>
        <w:r>
          <w:rPr>
            <w:webHidden/>
          </w:rPr>
          <w:t>5</w:t>
        </w:r>
        <w:r>
          <w:rPr>
            <w:webHidden/>
          </w:rPr>
          <w:fldChar w:fldCharType="end"/>
        </w:r>
      </w:hyperlink>
    </w:p>
    <w:p w14:paraId="014372CD" w14:textId="289D7756" w:rsidR="00682F4B" w:rsidRDefault="00682F4B">
      <w:pPr>
        <w:pStyle w:val="TOC2"/>
        <w:rPr>
          <w:rFonts w:asciiTheme="minorHAnsi" w:eastAsiaTheme="minorEastAsia" w:hAnsiTheme="minorHAnsi"/>
          <w:kern w:val="2"/>
          <w:sz w:val="24"/>
          <w:szCs w:val="24"/>
          <w:lang w:eastAsia="en-NZ"/>
          <w14:ligatures w14:val="standardContextual"/>
        </w:rPr>
      </w:pPr>
      <w:hyperlink w:anchor="_Toc233881852" w:history="1">
        <w:r w:rsidRPr="00404976">
          <w:rPr>
            <w:rStyle w:val="Hyperlink"/>
          </w:rPr>
          <w:t>Background to aged residential care reporting of harm</w:t>
        </w:r>
        <w:r>
          <w:rPr>
            <w:webHidden/>
          </w:rPr>
          <w:tab/>
        </w:r>
        <w:r>
          <w:rPr>
            <w:webHidden/>
          </w:rPr>
          <w:fldChar w:fldCharType="begin"/>
        </w:r>
        <w:r>
          <w:rPr>
            <w:webHidden/>
          </w:rPr>
          <w:instrText xml:space="preserve"> PAGEREF _Toc233881852 \h </w:instrText>
        </w:r>
        <w:r>
          <w:rPr>
            <w:webHidden/>
          </w:rPr>
        </w:r>
        <w:r>
          <w:rPr>
            <w:webHidden/>
          </w:rPr>
          <w:fldChar w:fldCharType="separate"/>
        </w:r>
        <w:r>
          <w:rPr>
            <w:webHidden/>
          </w:rPr>
          <w:t>5</w:t>
        </w:r>
        <w:r>
          <w:rPr>
            <w:webHidden/>
          </w:rPr>
          <w:fldChar w:fldCharType="end"/>
        </w:r>
      </w:hyperlink>
    </w:p>
    <w:p w14:paraId="1397D8F3" w14:textId="333A0C33" w:rsidR="00682F4B" w:rsidRDefault="00682F4B">
      <w:pPr>
        <w:pStyle w:val="TOC2"/>
        <w:rPr>
          <w:rFonts w:asciiTheme="minorHAnsi" w:eastAsiaTheme="minorEastAsia" w:hAnsiTheme="minorHAnsi"/>
          <w:kern w:val="2"/>
          <w:sz w:val="24"/>
          <w:szCs w:val="24"/>
          <w:lang w:eastAsia="en-NZ"/>
          <w14:ligatures w14:val="standardContextual"/>
        </w:rPr>
      </w:pPr>
      <w:hyperlink w:anchor="_Toc233881853" w:history="1">
        <w:r w:rsidRPr="00404976">
          <w:rPr>
            <w:rStyle w:val="Hyperlink"/>
          </w:rPr>
          <w:t>Engagement and relationships</w:t>
        </w:r>
        <w:r>
          <w:rPr>
            <w:webHidden/>
          </w:rPr>
          <w:tab/>
        </w:r>
        <w:r>
          <w:rPr>
            <w:webHidden/>
          </w:rPr>
          <w:fldChar w:fldCharType="begin"/>
        </w:r>
        <w:r>
          <w:rPr>
            <w:webHidden/>
          </w:rPr>
          <w:instrText xml:space="preserve"> PAGEREF _Toc233881853 \h </w:instrText>
        </w:r>
        <w:r>
          <w:rPr>
            <w:webHidden/>
          </w:rPr>
        </w:r>
        <w:r>
          <w:rPr>
            <w:webHidden/>
          </w:rPr>
          <w:fldChar w:fldCharType="separate"/>
        </w:r>
        <w:r>
          <w:rPr>
            <w:webHidden/>
          </w:rPr>
          <w:t>5</w:t>
        </w:r>
        <w:r>
          <w:rPr>
            <w:webHidden/>
          </w:rPr>
          <w:fldChar w:fldCharType="end"/>
        </w:r>
      </w:hyperlink>
    </w:p>
    <w:p w14:paraId="436A97C7" w14:textId="004C00E2" w:rsidR="00682F4B" w:rsidRDefault="00682F4B">
      <w:pPr>
        <w:pStyle w:val="TOC1"/>
        <w:rPr>
          <w:rFonts w:asciiTheme="minorHAnsi" w:eastAsiaTheme="minorEastAsia" w:hAnsiTheme="minorHAnsi"/>
          <w:kern w:val="2"/>
          <w:sz w:val="24"/>
          <w:szCs w:val="24"/>
          <w:lang w:eastAsia="en-NZ"/>
          <w14:ligatures w14:val="standardContextual"/>
        </w:rPr>
      </w:pPr>
      <w:hyperlink w:anchor="_Toc233881854" w:history="1">
        <w:r w:rsidRPr="00404976">
          <w:rPr>
            <w:rStyle w:val="Hyperlink"/>
          </w:rPr>
          <w:t>Data</w:t>
        </w:r>
        <w:r>
          <w:rPr>
            <w:webHidden/>
          </w:rPr>
          <w:tab/>
        </w:r>
        <w:r>
          <w:rPr>
            <w:webHidden/>
          </w:rPr>
          <w:fldChar w:fldCharType="begin"/>
        </w:r>
        <w:r>
          <w:rPr>
            <w:webHidden/>
          </w:rPr>
          <w:instrText xml:space="preserve"> PAGEREF _Toc233881854 \h </w:instrText>
        </w:r>
        <w:r>
          <w:rPr>
            <w:webHidden/>
          </w:rPr>
        </w:r>
        <w:r>
          <w:rPr>
            <w:webHidden/>
          </w:rPr>
          <w:fldChar w:fldCharType="separate"/>
        </w:r>
        <w:r>
          <w:rPr>
            <w:webHidden/>
          </w:rPr>
          <w:t>7</w:t>
        </w:r>
        <w:r>
          <w:rPr>
            <w:webHidden/>
          </w:rPr>
          <w:fldChar w:fldCharType="end"/>
        </w:r>
      </w:hyperlink>
    </w:p>
    <w:p w14:paraId="6B4D86CB" w14:textId="38F85234" w:rsidR="00682F4B" w:rsidRDefault="00682F4B">
      <w:pPr>
        <w:pStyle w:val="TOC2"/>
        <w:rPr>
          <w:rFonts w:asciiTheme="minorHAnsi" w:eastAsiaTheme="minorEastAsia" w:hAnsiTheme="minorHAnsi"/>
          <w:kern w:val="2"/>
          <w:sz w:val="24"/>
          <w:szCs w:val="24"/>
          <w:lang w:eastAsia="en-NZ"/>
          <w14:ligatures w14:val="standardContextual"/>
        </w:rPr>
      </w:pPr>
      <w:hyperlink w:anchor="_Toc233881855" w:history="1">
        <w:r w:rsidRPr="00404976">
          <w:rPr>
            <w:rStyle w:val="Hyperlink"/>
          </w:rPr>
          <w:t>Context</w:t>
        </w:r>
        <w:r>
          <w:rPr>
            <w:webHidden/>
          </w:rPr>
          <w:tab/>
        </w:r>
        <w:r>
          <w:rPr>
            <w:webHidden/>
          </w:rPr>
          <w:fldChar w:fldCharType="begin"/>
        </w:r>
        <w:r>
          <w:rPr>
            <w:webHidden/>
          </w:rPr>
          <w:instrText xml:space="preserve"> PAGEREF _Toc233881855 \h </w:instrText>
        </w:r>
        <w:r>
          <w:rPr>
            <w:webHidden/>
          </w:rPr>
        </w:r>
        <w:r>
          <w:rPr>
            <w:webHidden/>
          </w:rPr>
          <w:fldChar w:fldCharType="separate"/>
        </w:r>
        <w:r>
          <w:rPr>
            <w:webHidden/>
          </w:rPr>
          <w:t>7</w:t>
        </w:r>
        <w:r>
          <w:rPr>
            <w:webHidden/>
          </w:rPr>
          <w:fldChar w:fldCharType="end"/>
        </w:r>
      </w:hyperlink>
    </w:p>
    <w:p w14:paraId="183905A5" w14:textId="3DF61F74" w:rsidR="00682F4B" w:rsidRDefault="00682F4B">
      <w:pPr>
        <w:pStyle w:val="TOC2"/>
        <w:rPr>
          <w:rFonts w:asciiTheme="minorHAnsi" w:eastAsiaTheme="minorEastAsia" w:hAnsiTheme="minorHAnsi"/>
          <w:kern w:val="2"/>
          <w:sz w:val="24"/>
          <w:szCs w:val="24"/>
          <w:lang w:eastAsia="en-NZ"/>
          <w14:ligatures w14:val="standardContextual"/>
        </w:rPr>
      </w:pPr>
      <w:hyperlink w:anchor="_Toc233881856" w:history="1">
        <w:r w:rsidRPr="00404976">
          <w:rPr>
            <w:rStyle w:val="Hyperlink"/>
          </w:rPr>
          <w:t>Quantitative data</w:t>
        </w:r>
        <w:r>
          <w:rPr>
            <w:webHidden/>
          </w:rPr>
          <w:tab/>
        </w:r>
        <w:r>
          <w:rPr>
            <w:webHidden/>
          </w:rPr>
          <w:fldChar w:fldCharType="begin"/>
        </w:r>
        <w:r>
          <w:rPr>
            <w:webHidden/>
          </w:rPr>
          <w:instrText xml:space="preserve"> PAGEREF _Toc233881856 \h </w:instrText>
        </w:r>
        <w:r>
          <w:rPr>
            <w:webHidden/>
          </w:rPr>
        </w:r>
        <w:r>
          <w:rPr>
            <w:webHidden/>
          </w:rPr>
          <w:fldChar w:fldCharType="separate"/>
        </w:r>
        <w:r>
          <w:rPr>
            <w:webHidden/>
          </w:rPr>
          <w:t>7</w:t>
        </w:r>
        <w:r>
          <w:rPr>
            <w:webHidden/>
          </w:rPr>
          <w:fldChar w:fldCharType="end"/>
        </w:r>
      </w:hyperlink>
    </w:p>
    <w:p w14:paraId="5E9A53FF" w14:textId="6CFD4145" w:rsidR="00682F4B" w:rsidRDefault="00682F4B">
      <w:pPr>
        <w:pStyle w:val="TOC2"/>
        <w:rPr>
          <w:rFonts w:asciiTheme="minorHAnsi" w:eastAsiaTheme="minorEastAsia" w:hAnsiTheme="minorHAnsi"/>
          <w:kern w:val="2"/>
          <w:sz w:val="24"/>
          <w:szCs w:val="24"/>
          <w:lang w:eastAsia="en-NZ"/>
          <w14:ligatures w14:val="standardContextual"/>
        </w:rPr>
      </w:pPr>
      <w:hyperlink w:anchor="_Toc233881857" w:history="1">
        <w:r w:rsidRPr="00404976">
          <w:rPr>
            <w:rStyle w:val="Hyperlink"/>
          </w:rPr>
          <w:t>Qualitative analysis</w:t>
        </w:r>
        <w:r>
          <w:rPr>
            <w:webHidden/>
          </w:rPr>
          <w:tab/>
        </w:r>
        <w:r>
          <w:rPr>
            <w:webHidden/>
          </w:rPr>
          <w:fldChar w:fldCharType="begin"/>
        </w:r>
        <w:r>
          <w:rPr>
            <w:webHidden/>
          </w:rPr>
          <w:instrText xml:space="preserve"> PAGEREF _Toc233881857 \h </w:instrText>
        </w:r>
        <w:r>
          <w:rPr>
            <w:webHidden/>
          </w:rPr>
        </w:r>
        <w:r>
          <w:rPr>
            <w:webHidden/>
          </w:rPr>
          <w:fldChar w:fldCharType="separate"/>
        </w:r>
        <w:r>
          <w:rPr>
            <w:webHidden/>
          </w:rPr>
          <w:t>8</w:t>
        </w:r>
        <w:r>
          <w:rPr>
            <w:webHidden/>
          </w:rPr>
          <w:fldChar w:fldCharType="end"/>
        </w:r>
      </w:hyperlink>
    </w:p>
    <w:p w14:paraId="61953B4C" w14:textId="704BBB1C" w:rsidR="00682F4B" w:rsidRDefault="00682F4B">
      <w:pPr>
        <w:pStyle w:val="TOC2"/>
        <w:rPr>
          <w:rFonts w:asciiTheme="minorHAnsi" w:eastAsiaTheme="minorEastAsia" w:hAnsiTheme="minorHAnsi"/>
          <w:kern w:val="2"/>
          <w:sz w:val="24"/>
          <w:szCs w:val="24"/>
          <w:lang w:eastAsia="en-NZ"/>
          <w14:ligatures w14:val="standardContextual"/>
        </w:rPr>
      </w:pPr>
      <w:hyperlink w:anchor="_Toc233881858" w:history="1">
        <w:r w:rsidRPr="00404976">
          <w:rPr>
            <w:rStyle w:val="Hyperlink"/>
          </w:rPr>
          <w:t>Methodology</w:t>
        </w:r>
        <w:r>
          <w:rPr>
            <w:webHidden/>
          </w:rPr>
          <w:tab/>
        </w:r>
        <w:r>
          <w:rPr>
            <w:webHidden/>
          </w:rPr>
          <w:fldChar w:fldCharType="begin"/>
        </w:r>
        <w:r>
          <w:rPr>
            <w:webHidden/>
          </w:rPr>
          <w:instrText xml:space="preserve"> PAGEREF _Toc233881858 \h </w:instrText>
        </w:r>
        <w:r>
          <w:rPr>
            <w:webHidden/>
          </w:rPr>
        </w:r>
        <w:r>
          <w:rPr>
            <w:webHidden/>
          </w:rPr>
          <w:fldChar w:fldCharType="separate"/>
        </w:r>
        <w:r>
          <w:rPr>
            <w:webHidden/>
          </w:rPr>
          <w:t>9</w:t>
        </w:r>
        <w:r>
          <w:rPr>
            <w:webHidden/>
          </w:rPr>
          <w:fldChar w:fldCharType="end"/>
        </w:r>
      </w:hyperlink>
    </w:p>
    <w:p w14:paraId="3510AE66" w14:textId="15262A40" w:rsidR="00682F4B" w:rsidRDefault="00682F4B">
      <w:pPr>
        <w:pStyle w:val="TOC2"/>
        <w:rPr>
          <w:rFonts w:asciiTheme="minorHAnsi" w:eastAsiaTheme="minorEastAsia" w:hAnsiTheme="minorHAnsi"/>
          <w:kern w:val="2"/>
          <w:sz w:val="24"/>
          <w:szCs w:val="24"/>
          <w:lang w:eastAsia="en-NZ"/>
          <w14:ligatures w14:val="standardContextual"/>
        </w:rPr>
      </w:pPr>
      <w:hyperlink w:anchor="_Toc233881859" w:history="1">
        <w:r w:rsidRPr="00404976">
          <w:rPr>
            <w:rStyle w:val="Hyperlink"/>
          </w:rPr>
          <w:t>Discussion</w:t>
        </w:r>
        <w:r>
          <w:rPr>
            <w:webHidden/>
          </w:rPr>
          <w:tab/>
        </w:r>
        <w:r>
          <w:rPr>
            <w:webHidden/>
          </w:rPr>
          <w:fldChar w:fldCharType="begin"/>
        </w:r>
        <w:r>
          <w:rPr>
            <w:webHidden/>
          </w:rPr>
          <w:instrText xml:space="preserve"> PAGEREF _Toc233881859 \h </w:instrText>
        </w:r>
        <w:r>
          <w:rPr>
            <w:webHidden/>
          </w:rPr>
        </w:r>
        <w:r>
          <w:rPr>
            <w:webHidden/>
          </w:rPr>
          <w:fldChar w:fldCharType="separate"/>
        </w:r>
        <w:r>
          <w:rPr>
            <w:webHidden/>
          </w:rPr>
          <w:t>10</w:t>
        </w:r>
        <w:r>
          <w:rPr>
            <w:webHidden/>
          </w:rPr>
          <w:fldChar w:fldCharType="end"/>
        </w:r>
      </w:hyperlink>
    </w:p>
    <w:p w14:paraId="01D06DAC" w14:textId="5BFF4616" w:rsidR="0064198B" w:rsidRDefault="002A1776" w:rsidP="00E54CD1">
      <w:pPr>
        <w:pStyle w:val="BodytextHQSC"/>
      </w:pPr>
      <w:r w:rsidRPr="006A2BA0">
        <w:fldChar w:fldCharType="end"/>
      </w:r>
    </w:p>
    <w:p w14:paraId="4B5F43C9" w14:textId="249B581D" w:rsidR="002B2557" w:rsidRDefault="002B2557">
      <w:pPr>
        <w:spacing w:after="200"/>
        <w:rPr>
          <w:rFonts w:cs="Arial"/>
        </w:rPr>
      </w:pPr>
      <w:r>
        <w:br w:type="page"/>
      </w:r>
    </w:p>
    <w:p w14:paraId="2ECC39F5" w14:textId="0A883693" w:rsidR="002B2557" w:rsidRPr="006A2BA0" w:rsidRDefault="002B2557" w:rsidP="002B2557">
      <w:pPr>
        <w:pStyle w:val="TOCHeading"/>
      </w:pPr>
      <w:r>
        <w:lastRenderedPageBreak/>
        <w:t>Figures</w:t>
      </w:r>
    </w:p>
    <w:p w14:paraId="38595DCD" w14:textId="621F0BBF" w:rsidR="002B2557" w:rsidRDefault="002B2557" w:rsidP="00D6260A">
      <w:pPr>
        <w:pStyle w:val="TableofFigures"/>
      </w:pPr>
      <w:r>
        <w:fldChar w:fldCharType="begin"/>
      </w:r>
      <w:r>
        <w:instrText xml:space="preserve"> TOC \h \z \t "Figure caption HQSC" \c </w:instrText>
      </w:r>
      <w:r>
        <w:fldChar w:fldCharType="separate"/>
      </w:r>
      <w:hyperlink w:anchor="_Toc230249354" w:history="1">
        <w:r w:rsidRPr="00FF235C">
          <w:rPr>
            <w:rStyle w:val="Hyperlink"/>
          </w:rPr>
          <w:t xml:space="preserve">Figure 1: Ethnicity </w:t>
        </w:r>
        <w:r w:rsidRPr="00D6260A">
          <w:rPr>
            <w:rStyle w:val="Hyperlink"/>
            <w:color w:val="auto"/>
            <w:u w:val="none"/>
          </w:rPr>
          <w:t>breakdown</w:t>
        </w:r>
        <w:r w:rsidRPr="00FF235C">
          <w:rPr>
            <w:rStyle w:val="Hyperlink"/>
          </w:rPr>
          <w:t xml:space="preserve"> of aged residential care harm events for the year 2024/2025</w:t>
        </w:r>
        <w:r>
          <w:rPr>
            <w:webHidden/>
          </w:rPr>
          <w:tab/>
        </w:r>
        <w:r>
          <w:rPr>
            <w:webHidden/>
          </w:rPr>
          <w:fldChar w:fldCharType="begin"/>
        </w:r>
        <w:r>
          <w:rPr>
            <w:webHidden/>
          </w:rPr>
          <w:instrText xml:space="preserve"> PAGEREF _Toc230249354 \h </w:instrText>
        </w:r>
        <w:r>
          <w:rPr>
            <w:webHidden/>
          </w:rPr>
        </w:r>
        <w:r>
          <w:rPr>
            <w:webHidden/>
          </w:rPr>
          <w:fldChar w:fldCharType="separate"/>
        </w:r>
        <w:r w:rsidR="00682F4B">
          <w:rPr>
            <w:webHidden/>
          </w:rPr>
          <w:t>8</w:t>
        </w:r>
        <w:r>
          <w:rPr>
            <w:webHidden/>
          </w:rPr>
          <w:fldChar w:fldCharType="end"/>
        </w:r>
      </w:hyperlink>
    </w:p>
    <w:p w14:paraId="57706114" w14:textId="4C924F9F" w:rsidR="002B2557" w:rsidRDefault="002B2557" w:rsidP="00D6260A">
      <w:pPr>
        <w:pStyle w:val="TableofFigures"/>
      </w:pPr>
      <w:hyperlink w:anchor="_Toc230249355" w:history="1">
        <w:r w:rsidRPr="00FF235C">
          <w:rPr>
            <w:rStyle w:val="Hyperlink"/>
          </w:rPr>
          <w:t>Figure 2: The SEIPS tool</w:t>
        </w:r>
        <w:r>
          <w:rPr>
            <w:webHidden/>
          </w:rPr>
          <w:tab/>
        </w:r>
        <w:r>
          <w:rPr>
            <w:webHidden/>
          </w:rPr>
          <w:fldChar w:fldCharType="begin"/>
        </w:r>
        <w:r>
          <w:rPr>
            <w:webHidden/>
          </w:rPr>
          <w:instrText xml:space="preserve"> PAGEREF _Toc230249355 \h </w:instrText>
        </w:r>
        <w:r>
          <w:rPr>
            <w:webHidden/>
          </w:rPr>
        </w:r>
        <w:r>
          <w:rPr>
            <w:webHidden/>
          </w:rPr>
          <w:fldChar w:fldCharType="separate"/>
        </w:r>
        <w:r w:rsidR="00682F4B">
          <w:rPr>
            <w:webHidden/>
          </w:rPr>
          <w:t>8</w:t>
        </w:r>
        <w:r>
          <w:rPr>
            <w:webHidden/>
          </w:rPr>
          <w:fldChar w:fldCharType="end"/>
        </w:r>
      </w:hyperlink>
    </w:p>
    <w:p w14:paraId="769022E1" w14:textId="0D4933C8" w:rsidR="002B2557" w:rsidRDefault="002B2557" w:rsidP="00E54CD1">
      <w:pPr>
        <w:pStyle w:val="BodytextHQSC"/>
      </w:pPr>
      <w:r>
        <w:fldChar w:fldCharType="end"/>
      </w:r>
    </w:p>
    <w:p w14:paraId="28787619" w14:textId="77777777" w:rsidR="0014547B" w:rsidRDefault="0014547B" w:rsidP="00E54CD1">
      <w:pPr>
        <w:pStyle w:val="BodytextHQSC"/>
      </w:pPr>
    </w:p>
    <w:p w14:paraId="08ADD702" w14:textId="4E7508DB" w:rsidR="0014547B" w:rsidRPr="006A2BA0" w:rsidRDefault="0014547B" w:rsidP="0014547B">
      <w:pPr>
        <w:pStyle w:val="TOCHeading"/>
      </w:pPr>
      <w:r>
        <w:t>Table</w:t>
      </w:r>
      <w:r w:rsidRPr="006A2BA0">
        <w:t>s</w:t>
      </w:r>
    </w:p>
    <w:p w14:paraId="62AB1A01" w14:textId="7BE7D62B" w:rsidR="0014547B" w:rsidRDefault="0014547B">
      <w:pPr>
        <w:pStyle w:val="TableofFigures"/>
        <w:rPr>
          <w:rFonts w:asciiTheme="minorHAnsi" w:eastAsiaTheme="minorEastAsia" w:hAnsiTheme="minorHAnsi"/>
          <w:kern w:val="2"/>
          <w:sz w:val="24"/>
          <w:szCs w:val="24"/>
          <w:lang w:eastAsia="en-NZ"/>
          <w14:ligatures w14:val="standardContextual"/>
        </w:rPr>
      </w:pPr>
      <w:r>
        <w:fldChar w:fldCharType="begin"/>
      </w:r>
      <w:r>
        <w:instrText xml:space="preserve"> TOC \h \z \t "Table caption HQSC" \c </w:instrText>
      </w:r>
      <w:r>
        <w:fldChar w:fldCharType="separate"/>
      </w:r>
      <w:hyperlink w:anchor="_Toc230249438" w:history="1">
        <w:r w:rsidRPr="00E47CCE">
          <w:rPr>
            <w:rStyle w:val="Hyperlink"/>
          </w:rPr>
          <w:t>Table 1: Number of SAC 1 and 2 harm events by type</w:t>
        </w:r>
        <w:r>
          <w:rPr>
            <w:webHidden/>
          </w:rPr>
          <w:tab/>
        </w:r>
        <w:r>
          <w:rPr>
            <w:webHidden/>
          </w:rPr>
          <w:fldChar w:fldCharType="begin"/>
        </w:r>
        <w:r>
          <w:rPr>
            <w:webHidden/>
          </w:rPr>
          <w:instrText xml:space="preserve"> PAGEREF _Toc230249438 \h </w:instrText>
        </w:r>
        <w:r>
          <w:rPr>
            <w:webHidden/>
          </w:rPr>
        </w:r>
        <w:r>
          <w:rPr>
            <w:webHidden/>
          </w:rPr>
          <w:fldChar w:fldCharType="separate"/>
        </w:r>
        <w:r w:rsidR="00682F4B">
          <w:rPr>
            <w:webHidden/>
          </w:rPr>
          <w:t>9</w:t>
        </w:r>
        <w:r>
          <w:rPr>
            <w:webHidden/>
          </w:rPr>
          <w:fldChar w:fldCharType="end"/>
        </w:r>
      </w:hyperlink>
    </w:p>
    <w:p w14:paraId="59117499" w14:textId="6E8654BA" w:rsidR="0014547B" w:rsidRDefault="0014547B">
      <w:pPr>
        <w:pStyle w:val="TableofFigures"/>
        <w:rPr>
          <w:rFonts w:asciiTheme="minorHAnsi" w:eastAsiaTheme="minorEastAsia" w:hAnsiTheme="minorHAnsi"/>
          <w:kern w:val="2"/>
          <w:sz w:val="24"/>
          <w:szCs w:val="24"/>
          <w:lang w:eastAsia="en-NZ"/>
          <w14:ligatures w14:val="standardContextual"/>
        </w:rPr>
      </w:pPr>
      <w:hyperlink w:anchor="_Toc230249439" w:history="1">
        <w:r w:rsidRPr="00E47CCE">
          <w:rPr>
            <w:rStyle w:val="Hyperlink"/>
          </w:rPr>
          <w:t>Table 2: Learning opportunities categorised using SEIPS</w:t>
        </w:r>
        <w:r>
          <w:rPr>
            <w:webHidden/>
          </w:rPr>
          <w:tab/>
        </w:r>
        <w:r>
          <w:rPr>
            <w:webHidden/>
          </w:rPr>
          <w:fldChar w:fldCharType="begin"/>
        </w:r>
        <w:r>
          <w:rPr>
            <w:webHidden/>
          </w:rPr>
          <w:instrText xml:space="preserve"> PAGEREF _Toc230249439 \h </w:instrText>
        </w:r>
        <w:r>
          <w:rPr>
            <w:webHidden/>
          </w:rPr>
        </w:r>
        <w:r>
          <w:rPr>
            <w:webHidden/>
          </w:rPr>
          <w:fldChar w:fldCharType="separate"/>
        </w:r>
        <w:r w:rsidR="00682F4B">
          <w:rPr>
            <w:webHidden/>
          </w:rPr>
          <w:t>9</w:t>
        </w:r>
        <w:r>
          <w:rPr>
            <w:webHidden/>
          </w:rPr>
          <w:fldChar w:fldCharType="end"/>
        </w:r>
      </w:hyperlink>
    </w:p>
    <w:p w14:paraId="0DB3026D" w14:textId="27187171" w:rsidR="0014547B" w:rsidRDefault="0014547B">
      <w:pPr>
        <w:pStyle w:val="TableofFigures"/>
        <w:rPr>
          <w:rFonts w:asciiTheme="minorHAnsi" w:eastAsiaTheme="minorEastAsia" w:hAnsiTheme="minorHAnsi"/>
          <w:kern w:val="2"/>
          <w:sz w:val="24"/>
          <w:szCs w:val="24"/>
          <w:lang w:eastAsia="en-NZ"/>
          <w14:ligatures w14:val="standardContextual"/>
        </w:rPr>
      </w:pPr>
      <w:hyperlink w:anchor="_Toc230249440" w:history="1">
        <w:r w:rsidRPr="00E47CCE">
          <w:rPr>
            <w:rStyle w:val="Hyperlink"/>
          </w:rPr>
          <w:t>Table 3: Methodology used to review the harm event</w:t>
        </w:r>
        <w:r>
          <w:rPr>
            <w:webHidden/>
          </w:rPr>
          <w:tab/>
        </w:r>
        <w:r>
          <w:rPr>
            <w:webHidden/>
          </w:rPr>
          <w:fldChar w:fldCharType="begin"/>
        </w:r>
        <w:r>
          <w:rPr>
            <w:webHidden/>
          </w:rPr>
          <w:instrText xml:space="preserve"> PAGEREF _Toc230249440 \h </w:instrText>
        </w:r>
        <w:r>
          <w:rPr>
            <w:webHidden/>
          </w:rPr>
        </w:r>
        <w:r>
          <w:rPr>
            <w:webHidden/>
          </w:rPr>
          <w:fldChar w:fldCharType="separate"/>
        </w:r>
        <w:r w:rsidR="00682F4B">
          <w:rPr>
            <w:webHidden/>
          </w:rPr>
          <w:t>10</w:t>
        </w:r>
        <w:r>
          <w:rPr>
            <w:webHidden/>
          </w:rPr>
          <w:fldChar w:fldCharType="end"/>
        </w:r>
      </w:hyperlink>
    </w:p>
    <w:p w14:paraId="18F84CFA" w14:textId="38763F09" w:rsidR="0014547B" w:rsidRPr="006A2BA0" w:rsidRDefault="0014547B" w:rsidP="00E54CD1">
      <w:pPr>
        <w:pStyle w:val="BodytextHQSC"/>
      </w:pPr>
      <w:r>
        <w:fldChar w:fldCharType="end"/>
      </w:r>
    </w:p>
    <w:p w14:paraId="340C12D0" w14:textId="77777777" w:rsidR="0064198B" w:rsidRPr="006A2BA0" w:rsidRDefault="0064198B" w:rsidP="005A4781">
      <w:pPr>
        <w:pStyle w:val="BodytextHQSC"/>
      </w:pPr>
      <w:r w:rsidRPr="006A2BA0">
        <w:br w:type="page"/>
      </w:r>
    </w:p>
    <w:p w14:paraId="4E3A794D" w14:textId="3FFEC5EA" w:rsidR="00D12FC1" w:rsidRPr="006A2BA0" w:rsidRDefault="0025513C" w:rsidP="00A313E6">
      <w:pPr>
        <w:pStyle w:val="Heading1HQSC"/>
      </w:pPr>
      <w:bookmarkStart w:id="0" w:name="_Toc233881850"/>
      <w:r w:rsidRPr="006A2BA0">
        <w:lastRenderedPageBreak/>
        <w:t>Introduction</w:t>
      </w:r>
      <w:bookmarkEnd w:id="0"/>
    </w:p>
    <w:p w14:paraId="6ED5A24B" w14:textId="56CE4A25" w:rsidR="008F0563" w:rsidRPr="006A2BA0" w:rsidRDefault="0025513C" w:rsidP="005A4781">
      <w:pPr>
        <w:spacing w:before="120"/>
        <w:rPr>
          <w:rFonts w:cs="Arial"/>
        </w:rPr>
      </w:pPr>
      <w:r w:rsidRPr="006A2BA0">
        <w:rPr>
          <w:rFonts w:cs="Arial"/>
        </w:rPr>
        <w:t>This is an analysis of a full year (1 July 2024</w:t>
      </w:r>
      <w:r w:rsidR="00C32BEC">
        <w:rPr>
          <w:rFonts w:cs="Arial"/>
        </w:rPr>
        <w:t xml:space="preserve"> to </w:t>
      </w:r>
      <w:r w:rsidRPr="006A2BA0">
        <w:rPr>
          <w:rFonts w:cs="Arial"/>
        </w:rPr>
        <w:t>30 June 2025) of harm (adverse) event reporting by the aged residential care (ARC) sector to the Health Quality &amp; Safety Commission Te Tāhū Hauora (the Commission). The analysis gives insight into the type of</w:t>
      </w:r>
      <w:r w:rsidR="001664F4" w:rsidRPr="006A2BA0">
        <w:rPr>
          <w:rFonts w:cs="Arial"/>
        </w:rPr>
        <w:t> </w:t>
      </w:r>
      <w:r w:rsidRPr="006A2BA0">
        <w:rPr>
          <w:rFonts w:cs="Arial"/>
        </w:rPr>
        <w:t>harm that ARC reports, the review process being undertaken and the system learning identified. We have reviewed a selection of anonymised review reports. Our analysis identifies that there are opportunities to support ARC in making further improvements in</w:t>
      </w:r>
      <w:r w:rsidR="001664F4" w:rsidRPr="006A2BA0">
        <w:rPr>
          <w:rFonts w:cs="Arial"/>
        </w:rPr>
        <w:t> </w:t>
      </w:r>
      <w:r w:rsidRPr="006A2BA0">
        <w:rPr>
          <w:rFonts w:cs="Arial"/>
        </w:rPr>
        <w:t>accordance with the national framework, the Commission’s Healing, learning and improving from harm: National adverse events policy 2023 (the policy) (</w:t>
      </w:r>
      <w:r w:rsidR="000C1412">
        <w:rPr>
          <w:rFonts w:cs="Arial"/>
        </w:rPr>
        <w:t>HQSC</w:t>
      </w:r>
      <w:r w:rsidRPr="006A2BA0">
        <w:rPr>
          <w:rFonts w:cs="Arial"/>
        </w:rPr>
        <w:t xml:space="preserve"> 2023).</w:t>
      </w:r>
    </w:p>
    <w:p w14:paraId="48448B24" w14:textId="5A7FD958" w:rsidR="0025513C" w:rsidRPr="006A2BA0" w:rsidRDefault="005046F1" w:rsidP="005046F1">
      <w:pPr>
        <w:pStyle w:val="Heading2HQSC"/>
      </w:pPr>
      <w:bookmarkStart w:id="1" w:name="_Toc233881851"/>
      <w:r w:rsidRPr="006A2BA0">
        <w:t>Reporting harm (adverse) events in New Zealand</w:t>
      </w:r>
      <w:bookmarkEnd w:id="1"/>
    </w:p>
    <w:p w14:paraId="034B9467" w14:textId="2EAC9395" w:rsidR="00910421" w:rsidRPr="006A2BA0" w:rsidRDefault="00910421" w:rsidP="00910421">
      <w:pPr>
        <w:pStyle w:val="BodytextHQSC"/>
      </w:pPr>
      <w:r w:rsidRPr="006A2BA0">
        <w:t>The policy provides a national framework for health and disability providers to use to continually improve the quality and safety of their services. It provides a consistent way to</w:t>
      </w:r>
      <w:r w:rsidR="001664F4" w:rsidRPr="006A2BA0">
        <w:t> </w:t>
      </w:r>
      <w:r w:rsidRPr="006A2BA0">
        <w:t>heal, learn and improve through recognising, reporting and reviewing harm (adverse) events that occur during the delivery of care, acknowledging the impact these events have</w:t>
      </w:r>
      <w:r w:rsidR="001664F4" w:rsidRPr="006A2BA0">
        <w:t> </w:t>
      </w:r>
      <w:r w:rsidRPr="006A2BA0">
        <w:t xml:space="preserve">on </w:t>
      </w:r>
      <w:r w:rsidR="00B21822">
        <w:t>residents</w:t>
      </w:r>
      <w:r w:rsidRPr="006A2BA0">
        <w:t xml:space="preserve">, whānau and health care workers. </w:t>
      </w:r>
    </w:p>
    <w:p w14:paraId="1A36F928" w14:textId="0AAD195E" w:rsidR="005046F1" w:rsidRPr="006A2BA0" w:rsidRDefault="00910421" w:rsidP="00910421">
      <w:pPr>
        <w:pStyle w:val="BodytextHQSC"/>
      </w:pPr>
      <w:r w:rsidRPr="006A2BA0">
        <w:t>Health and disability providers are required to report harm (adverse) events that meet the criteria of Severity Assessment Code 1 or 2 (</w:t>
      </w:r>
      <w:r w:rsidR="000C1412">
        <w:t>HQSC</w:t>
      </w:r>
      <w:r w:rsidRPr="006A2BA0">
        <w:t xml:space="preserve"> 2023). A</w:t>
      </w:r>
      <w:r w:rsidR="001664F4" w:rsidRPr="006A2BA0">
        <w:t> </w:t>
      </w:r>
      <w:r w:rsidRPr="006A2BA0">
        <w:t>part A</w:t>
      </w:r>
      <w:r w:rsidR="004D50FF">
        <w:t>,</w:t>
      </w:r>
      <w:r w:rsidRPr="006A2BA0">
        <w:t xml:space="preserve"> initially notifying the Commission of the harm</w:t>
      </w:r>
      <w:r w:rsidR="004D50FF">
        <w:t>,</w:t>
      </w:r>
      <w:r w:rsidRPr="006A2BA0">
        <w:t xml:space="preserve"> needs to be submitted within 30 working days of the event being notified. A review of the harm (adverse) event using an approved review methodology then occurs. This final review report along with a part B is then</w:t>
      </w:r>
      <w:r w:rsidR="001664F4" w:rsidRPr="006A2BA0">
        <w:t> </w:t>
      </w:r>
      <w:r w:rsidRPr="006A2BA0">
        <w:t>submitted to the Commission within 120 working days of the event being reported to</w:t>
      </w:r>
      <w:r w:rsidR="003136EF" w:rsidRPr="006A2BA0">
        <w:t> </w:t>
      </w:r>
      <w:r w:rsidRPr="006A2BA0">
        <w:t>the</w:t>
      </w:r>
      <w:r w:rsidR="001664F4" w:rsidRPr="006A2BA0">
        <w:t> </w:t>
      </w:r>
      <w:r w:rsidRPr="006A2BA0">
        <w:t xml:space="preserve">provider. </w:t>
      </w:r>
    </w:p>
    <w:p w14:paraId="4E84C6B3" w14:textId="77777777" w:rsidR="00F211E5" w:rsidRPr="006A2BA0" w:rsidRDefault="00F211E5" w:rsidP="00F211E5">
      <w:pPr>
        <w:pStyle w:val="Heading2HQSC"/>
      </w:pPr>
      <w:bookmarkStart w:id="2" w:name="_Toc233881852"/>
      <w:r w:rsidRPr="006A2BA0">
        <w:t>Background to aged residential care reporting of harm</w:t>
      </w:r>
      <w:bookmarkEnd w:id="2"/>
    </w:p>
    <w:p w14:paraId="56C795EC" w14:textId="0D6D12B4" w:rsidR="00F211E5" w:rsidRPr="006A2BA0" w:rsidRDefault="00F211E5" w:rsidP="00F211E5">
      <w:pPr>
        <w:pStyle w:val="BodytextHQSC"/>
      </w:pPr>
      <w:r w:rsidRPr="006A2BA0">
        <w:t xml:space="preserve">The Ngā </w:t>
      </w:r>
      <w:proofErr w:type="spellStart"/>
      <w:r w:rsidRPr="006A2BA0">
        <w:t>Paerewa</w:t>
      </w:r>
      <w:proofErr w:type="spellEnd"/>
      <w:r w:rsidRPr="006A2BA0">
        <w:t xml:space="preserve"> health and disability standard came into effect in February 2022 and enabled the Commission to engage with a wider audience of health and disability providers than previously. Aged residential care providers need to meet criteria 2.2.5, stating that they ‘shall follow the National Adverse Event Reporting Policy’ (see p</w:t>
      </w:r>
      <w:r w:rsidR="000C1412">
        <w:t>age</w:t>
      </w:r>
      <w:r w:rsidRPr="006A2BA0">
        <w:t xml:space="preserve"> 40 of the standard). </w:t>
      </w:r>
    </w:p>
    <w:p w14:paraId="495DBE65" w14:textId="25BE5B81" w:rsidR="00F211E5" w:rsidRPr="006A2BA0" w:rsidRDefault="00F211E5" w:rsidP="00F211E5">
      <w:pPr>
        <w:pStyle w:val="BodytextHQSC"/>
      </w:pPr>
      <w:r w:rsidRPr="006A2BA0">
        <w:t xml:space="preserve">The Commission worked with </w:t>
      </w:r>
      <w:proofErr w:type="spellStart"/>
      <w:r w:rsidRPr="006A2BA0">
        <w:t>HealthCERT</w:t>
      </w:r>
      <w:proofErr w:type="spellEnd"/>
      <w:r w:rsidRPr="006A2BA0">
        <w:t xml:space="preserve"> at the Ministry of Health to develop and agree </w:t>
      </w:r>
      <w:r w:rsidR="00EB47ED">
        <w:t xml:space="preserve">on </w:t>
      </w:r>
      <w:r w:rsidRPr="006A2BA0">
        <w:t>a</w:t>
      </w:r>
      <w:r w:rsidR="00511FFC">
        <w:t> </w:t>
      </w:r>
      <w:r w:rsidRPr="006A2BA0">
        <w:t>memorandum of understanding to decrease the duplicate reporting of pressure injuries. The memorandum of understanding enabled reporting</w:t>
      </w:r>
      <w:r w:rsidR="00E959DC">
        <w:t xml:space="preserve"> of pressure injuries</w:t>
      </w:r>
      <w:r w:rsidRPr="006A2BA0">
        <w:t xml:space="preserve"> solely through the Commission process rather than dual reporting in accordance with section 31(5) of the Health and Disability Services (Safety) Act 2001. It was signed by the Director-General of Health in March 2024 and </w:t>
      </w:r>
      <w:r w:rsidR="00456C14">
        <w:t>came into</w:t>
      </w:r>
      <w:r w:rsidRPr="006A2BA0">
        <w:t xml:space="preserve"> effect from 1 July 2024.</w:t>
      </w:r>
    </w:p>
    <w:p w14:paraId="2DE18996" w14:textId="77777777" w:rsidR="00F211E5" w:rsidRPr="006A2BA0" w:rsidRDefault="00F211E5" w:rsidP="00F211E5">
      <w:pPr>
        <w:pStyle w:val="Heading2HQSC"/>
      </w:pPr>
      <w:bookmarkStart w:id="3" w:name="_Toc233881853"/>
      <w:r w:rsidRPr="006A2BA0">
        <w:t>Engagement and relationships</w:t>
      </w:r>
      <w:bookmarkEnd w:id="3"/>
    </w:p>
    <w:p w14:paraId="40681CB4" w14:textId="0DFF48CA" w:rsidR="00F211E5" w:rsidRPr="006A2BA0" w:rsidRDefault="00F211E5" w:rsidP="001664F4">
      <w:pPr>
        <w:pStyle w:val="BodytextHQSC"/>
        <w:keepLines/>
      </w:pPr>
      <w:r w:rsidRPr="006A2BA0">
        <w:t>To support the policy, the Commission produced a severity assessment code (SAC) guidance document, through a co-design approach with ARCs (</w:t>
      </w:r>
      <w:r w:rsidR="000C1412">
        <w:t>HQSC</w:t>
      </w:r>
      <w:r w:rsidRPr="006A2BA0">
        <w:t xml:space="preserve"> 2024a). This occurred over a period of 12 months (March 2023</w:t>
      </w:r>
      <w:r w:rsidR="00C32BEC">
        <w:t xml:space="preserve"> to </w:t>
      </w:r>
      <w:r w:rsidRPr="006A2BA0">
        <w:t>April 2024). It</w:t>
      </w:r>
      <w:r w:rsidR="001664F4" w:rsidRPr="006A2BA0">
        <w:t> </w:t>
      </w:r>
      <w:r w:rsidRPr="006A2BA0">
        <w:t>outlines the other types of clinical harm</w:t>
      </w:r>
      <w:r w:rsidR="00EB4528">
        <w:t xml:space="preserve"> that</w:t>
      </w:r>
      <w:r w:rsidRPr="006A2BA0">
        <w:t xml:space="preserve"> providers must report to the Commission.</w:t>
      </w:r>
    </w:p>
    <w:p w14:paraId="30B13B66" w14:textId="55766279" w:rsidR="00910421" w:rsidRPr="006A2BA0" w:rsidRDefault="00F211E5" w:rsidP="00F211E5">
      <w:pPr>
        <w:pStyle w:val="BodytextHQSC"/>
      </w:pPr>
      <w:r w:rsidRPr="006A2BA0">
        <w:lastRenderedPageBreak/>
        <w:t>To further socialise the policy, the Commission provided webinars, attended six in-person Aged Care Association senior leadership education opportunities around the motu and presented at the October 2024 Aged Care Association conference. The in-person engagement further strengthened the relationships that are essential to provide support and</w:t>
      </w:r>
      <w:r w:rsidR="001664F4" w:rsidRPr="006A2BA0">
        <w:t> </w:t>
      </w:r>
      <w:r w:rsidRPr="006A2BA0">
        <w:t xml:space="preserve">establish trust. </w:t>
      </w:r>
    </w:p>
    <w:p w14:paraId="29A85265" w14:textId="77777777" w:rsidR="00AF4E33" w:rsidRPr="006A2BA0" w:rsidRDefault="00AF4E33" w:rsidP="00AF4E33">
      <w:pPr>
        <w:pStyle w:val="BodytextHQSC"/>
      </w:pPr>
      <w:r w:rsidRPr="006A2BA0">
        <w:br w:type="page"/>
      </w:r>
    </w:p>
    <w:p w14:paraId="39FAB546" w14:textId="6D81DA80" w:rsidR="00AF4E33" w:rsidRPr="006A2BA0" w:rsidRDefault="00AF4E33" w:rsidP="00AF4E33">
      <w:pPr>
        <w:pStyle w:val="Heading1HQSC"/>
      </w:pPr>
      <w:bookmarkStart w:id="4" w:name="_Toc233881854"/>
      <w:r w:rsidRPr="006A2BA0">
        <w:lastRenderedPageBreak/>
        <w:t>Data</w:t>
      </w:r>
      <w:bookmarkEnd w:id="4"/>
    </w:p>
    <w:p w14:paraId="62090370" w14:textId="77777777" w:rsidR="00AF4E33" w:rsidRPr="006A2BA0" w:rsidRDefault="00AF4E33" w:rsidP="007D2D9A">
      <w:pPr>
        <w:pStyle w:val="Heading2HQSC"/>
        <w:spacing w:before="120"/>
      </w:pPr>
      <w:bookmarkStart w:id="5" w:name="_Toc233881855"/>
      <w:r w:rsidRPr="006A2BA0">
        <w:t>Context</w:t>
      </w:r>
      <w:bookmarkEnd w:id="5"/>
    </w:p>
    <w:p w14:paraId="0ED5C4B2" w14:textId="67EA3D99" w:rsidR="00AF4E33" w:rsidRPr="006A2BA0" w:rsidRDefault="00AF4E33" w:rsidP="00AF4E33">
      <w:pPr>
        <w:pStyle w:val="BodytextHQSC"/>
      </w:pPr>
      <w:r w:rsidRPr="006A2BA0">
        <w:t xml:space="preserve">There are currently 668 certified </w:t>
      </w:r>
      <w:r w:rsidR="00EB4528">
        <w:t>aged residential care (</w:t>
      </w:r>
      <w:r w:rsidRPr="006A2BA0">
        <w:t>ARC</w:t>
      </w:r>
      <w:r w:rsidR="00EB4528">
        <w:t>)</w:t>
      </w:r>
      <w:r w:rsidRPr="006A2BA0">
        <w:t xml:space="preserve"> facilities in New Zealand. For the financial year 2024/25, 440 ARC facilities notified the Commission of harm events that met the SAC 1 or</w:t>
      </w:r>
      <w:r w:rsidR="001664F4" w:rsidRPr="006A2BA0">
        <w:t> </w:t>
      </w:r>
      <w:r w:rsidRPr="006A2BA0">
        <w:t>SAC 2 criteria. The Commission commends the ARC sector for this; it shows a robust reporting culture that supports transparency within the care setting.</w:t>
      </w:r>
      <w:r w:rsidR="00344A17" w:rsidRPr="006A2BA0">
        <w:t xml:space="preserve"> </w:t>
      </w:r>
    </w:p>
    <w:p w14:paraId="03508495" w14:textId="77777777" w:rsidR="00AF4E33" w:rsidRPr="006A2BA0" w:rsidRDefault="00AF4E33" w:rsidP="007D2D9A">
      <w:pPr>
        <w:pStyle w:val="Heading2HQSC"/>
      </w:pPr>
      <w:bookmarkStart w:id="6" w:name="_Toc233881856"/>
      <w:r w:rsidRPr="006A2BA0">
        <w:t>Quantitative data</w:t>
      </w:r>
      <w:bookmarkEnd w:id="6"/>
    </w:p>
    <w:p w14:paraId="42FB0173" w14:textId="77777777" w:rsidR="00AF4E33" w:rsidRPr="006A2BA0" w:rsidRDefault="00AF4E33" w:rsidP="007D2D9A">
      <w:pPr>
        <w:pStyle w:val="Heading3HQSC"/>
      </w:pPr>
      <w:r w:rsidRPr="006A2BA0">
        <w:t>Harm (adverse) events</w:t>
      </w:r>
    </w:p>
    <w:p w14:paraId="327370E6" w14:textId="50371E10" w:rsidR="00AF4E33" w:rsidRPr="006A2BA0" w:rsidRDefault="00AF4E33" w:rsidP="00AF4E33">
      <w:pPr>
        <w:pStyle w:val="BodytextHQSC"/>
      </w:pPr>
      <w:r w:rsidRPr="006A2BA0">
        <w:t xml:space="preserve">For the reporting year 2024/2025, providers reported a total of </w:t>
      </w:r>
      <w:r w:rsidR="00014481">
        <w:t>2,004</w:t>
      </w:r>
      <w:r w:rsidRPr="006A2BA0">
        <w:t xml:space="preserve"> SAC 1 and 2 harm (adverse) events to the Commission. This represents a substantial amount (62%) of all SAC 1 and 2 harm event notifications to the Commission for the same </w:t>
      </w:r>
      <w:proofErr w:type="gramStart"/>
      <w:r w:rsidRPr="006A2BA0">
        <w:t>time period</w:t>
      </w:r>
      <w:proofErr w:type="gramEnd"/>
      <w:r w:rsidRPr="006A2BA0">
        <w:t>, which totalled 3,2</w:t>
      </w:r>
      <w:r w:rsidR="002F005C">
        <w:t>32</w:t>
      </w:r>
      <w:r w:rsidRPr="006A2BA0">
        <w:t xml:space="preserve">. Of the </w:t>
      </w:r>
      <w:r w:rsidR="00E6119D">
        <w:t>2</w:t>
      </w:r>
      <w:r w:rsidRPr="006A2BA0">
        <w:t>,</w:t>
      </w:r>
      <w:r w:rsidR="00E6119D">
        <w:t>004</w:t>
      </w:r>
      <w:r w:rsidRPr="006A2BA0">
        <w:t xml:space="preserve"> harm events reported by ARCs, 90 were SAC 1 events and 1,9</w:t>
      </w:r>
      <w:r w:rsidR="00445137">
        <w:t>14</w:t>
      </w:r>
      <w:r w:rsidRPr="006A2BA0">
        <w:t xml:space="preserve"> were SAC 2 (</w:t>
      </w:r>
      <w:r w:rsidR="000C1412">
        <w:t>HQSC</w:t>
      </w:r>
      <w:r w:rsidRPr="006A2BA0">
        <w:t xml:space="preserve"> 2024d).</w:t>
      </w:r>
    </w:p>
    <w:p w14:paraId="11BEE30D" w14:textId="77777777" w:rsidR="00AF4E33" w:rsidRPr="006A2BA0" w:rsidRDefault="00AF4E33" w:rsidP="007D2D9A">
      <w:pPr>
        <w:pStyle w:val="Heading3HQSC"/>
      </w:pPr>
      <w:r w:rsidRPr="006A2BA0">
        <w:t>Event types</w:t>
      </w:r>
    </w:p>
    <w:p w14:paraId="631925BD" w14:textId="06877289" w:rsidR="00AF4E33" w:rsidRPr="006A2BA0" w:rsidRDefault="00AF4E33" w:rsidP="00AF4E33">
      <w:pPr>
        <w:pStyle w:val="BodytextHQSC"/>
      </w:pPr>
      <w:r w:rsidRPr="006A2BA0">
        <w:t>The leading type of harm reported (1,15</w:t>
      </w:r>
      <w:r w:rsidR="00445137">
        <w:t>4</w:t>
      </w:r>
      <w:r w:rsidRPr="006A2BA0">
        <w:t xml:space="preserve"> events) were falls that met criteria in the ARC SAC</w:t>
      </w:r>
      <w:r w:rsidR="001664F4" w:rsidRPr="006A2BA0">
        <w:t> </w:t>
      </w:r>
      <w:r w:rsidRPr="006A2BA0">
        <w:t>guide (</w:t>
      </w:r>
      <w:r w:rsidR="000C1412">
        <w:t>HQSC</w:t>
      </w:r>
      <w:r w:rsidRPr="006A2BA0">
        <w:t xml:space="preserve"> 2024a). The second highest type of harm reported was pressure injury events (748 events). These reporting numbers demonstrate ARC providers’ commitment to continue reporting harm – particularly pressure injuries – building on the reporting culture that was already established when ARC reported these to</w:t>
      </w:r>
      <w:r w:rsidR="001664F4" w:rsidRPr="006A2BA0">
        <w:t> </w:t>
      </w:r>
      <w:proofErr w:type="spellStart"/>
      <w:r w:rsidRPr="006A2BA0">
        <w:t>HealthCERT</w:t>
      </w:r>
      <w:proofErr w:type="spellEnd"/>
      <w:r w:rsidRPr="006A2BA0">
        <w:t xml:space="preserve">. </w:t>
      </w:r>
    </w:p>
    <w:p w14:paraId="56C9B074" w14:textId="076DD80E" w:rsidR="00AF4E33" w:rsidRPr="006A2BA0" w:rsidRDefault="00AF4E33" w:rsidP="00AF4E33">
      <w:pPr>
        <w:pStyle w:val="BodytextHQSC"/>
      </w:pPr>
      <w:r w:rsidRPr="006A2BA0">
        <w:t>The third highest category reported to the Commission was behavioural harm events. Only 4</w:t>
      </w:r>
      <w:r w:rsidR="00445137">
        <w:t>5</w:t>
      </w:r>
      <w:r w:rsidRPr="006A2BA0">
        <w:t xml:space="preserve"> events were reported for this category. However, we anticipate this will be an area of growth; the sector will be challenged by increasingly complex psychological and neurological diseases as the aged population grows (Ervin et al 2012). </w:t>
      </w:r>
    </w:p>
    <w:p w14:paraId="12834875" w14:textId="77777777" w:rsidR="00AF4E33" w:rsidRPr="006A2BA0" w:rsidRDefault="00AF4E33" w:rsidP="007D2D9A">
      <w:pPr>
        <w:pStyle w:val="Heading3HQSC"/>
      </w:pPr>
      <w:r w:rsidRPr="006A2BA0">
        <w:t>Ethnicity</w:t>
      </w:r>
    </w:p>
    <w:p w14:paraId="6E54C7B9" w14:textId="0F79320D" w:rsidR="00F211E5" w:rsidRPr="006A2BA0" w:rsidRDefault="00AF4E33" w:rsidP="00AF4E33">
      <w:pPr>
        <w:pStyle w:val="BodytextHQSC"/>
      </w:pPr>
      <w:r w:rsidRPr="006A2BA0">
        <w:t xml:space="preserve">Of those </w:t>
      </w:r>
      <w:r w:rsidR="000B0889">
        <w:t>2</w:t>
      </w:r>
      <w:r w:rsidRPr="006A2BA0">
        <w:t>,</w:t>
      </w:r>
      <w:r w:rsidR="000B0889">
        <w:t>004</w:t>
      </w:r>
      <w:r w:rsidRPr="006A2BA0">
        <w:t xml:space="preserve"> who experienced harm, 90% were European (see Figure 1). This can be </w:t>
      </w:r>
      <w:r w:rsidRPr="006A2BA0">
        <w:rPr>
          <w:spacing w:val="-2"/>
        </w:rPr>
        <w:t>attributed to Europeans having a longer life expectancy than all other non-European ethnicities in Aotearoa New Zealand, due to the social determinants of health (Stephens et al 2022)</w:t>
      </w:r>
      <w:r w:rsidRPr="006A2BA0">
        <w:t xml:space="preserve">. </w:t>
      </w:r>
    </w:p>
    <w:p w14:paraId="3D48429F" w14:textId="188E16FC" w:rsidR="00C73096" w:rsidRPr="006A2BA0" w:rsidRDefault="00C73096" w:rsidP="00C73096">
      <w:pPr>
        <w:pStyle w:val="FigurecaptionHQSC"/>
      </w:pPr>
      <w:bookmarkStart w:id="7" w:name="_Toc230249354"/>
      <w:r w:rsidRPr="006A2BA0">
        <w:lastRenderedPageBreak/>
        <w:t>Figure 1: Ethnicity breakdown of aged residential care harm events</w:t>
      </w:r>
      <w:r w:rsidR="00B16E9F">
        <w:t>,</w:t>
      </w:r>
      <w:r w:rsidR="001664F4" w:rsidRPr="006A2BA0">
        <w:t> </w:t>
      </w:r>
      <w:r w:rsidRPr="006A2BA0">
        <w:t>2024/2025</w:t>
      </w:r>
      <w:bookmarkEnd w:id="7"/>
    </w:p>
    <w:p w14:paraId="1830B098" w14:textId="77777777" w:rsidR="00C73096" w:rsidRDefault="00C73096" w:rsidP="00B16E9F">
      <w:pPr>
        <w:pStyle w:val="BodytextHQSC"/>
        <w:keepNext/>
      </w:pPr>
      <w:r w:rsidRPr="006A2BA0">
        <w:rPr>
          <w:noProof/>
        </w:rPr>
        <w:drawing>
          <wp:inline distT="0" distB="0" distL="0" distR="0" wp14:anchorId="1EF3811A" wp14:editId="506D1DEC">
            <wp:extent cx="3123020" cy="1319917"/>
            <wp:effectExtent l="0" t="0" r="1270" b="0"/>
            <wp:docPr id="1972767416" name="Picture 1" descr="A donut chart showing ethnic distribution with 90% European, 4% Māori, 3% Other, 2% Asian, and 1% Pacific peoples. The chart uses distinct colors for each category and includes a note explaining &quot;Other&quot; as other ethnicity, Middle Eastern, Latin American and African, and residual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767416" name="Picture 1" descr="A donut chart showing ethnic distribution with 90% European, 4% Māori, 3% Other, 2% Asian, and 1% Pacific peoples. The chart uses distinct colors for each category and includes a note explaining &quot;Other&quot; as other ethnicity, Middle Eastern, Latin American and African, and residual categories."/>
                    <pic:cNvPicPr/>
                  </pic:nvPicPr>
                  <pic:blipFill rotWithShape="1">
                    <a:blip r:embed="rId20"/>
                    <a:srcRect t="17033" b="9121"/>
                    <a:stretch>
                      <a:fillRect/>
                    </a:stretch>
                  </pic:blipFill>
                  <pic:spPr bwMode="auto">
                    <a:xfrm>
                      <a:off x="0" y="0"/>
                      <a:ext cx="3129907" cy="1322828"/>
                    </a:xfrm>
                    <a:prstGeom prst="rect">
                      <a:avLst/>
                    </a:prstGeom>
                    <a:ln>
                      <a:noFill/>
                    </a:ln>
                    <a:extLst>
                      <a:ext uri="{53640926-AAD7-44D8-BBD7-CCE9431645EC}">
                        <a14:shadowObscured xmlns:a14="http://schemas.microsoft.com/office/drawing/2010/main"/>
                      </a:ext>
                    </a:extLst>
                  </pic:spPr>
                </pic:pic>
              </a:graphicData>
            </a:graphic>
          </wp:inline>
        </w:drawing>
      </w:r>
    </w:p>
    <w:p w14:paraId="211B9443" w14:textId="7397FFD4" w:rsidR="00FA437D" w:rsidRPr="003D2FD4" w:rsidRDefault="00081167" w:rsidP="00B16E9F">
      <w:pPr>
        <w:pStyle w:val="BodytextHQSC"/>
        <w:keepNext/>
        <w:rPr>
          <w:sz w:val="18"/>
          <w:szCs w:val="18"/>
        </w:rPr>
      </w:pPr>
      <w:r w:rsidRPr="003D2FD4">
        <w:rPr>
          <w:sz w:val="18"/>
          <w:szCs w:val="18"/>
        </w:rPr>
        <w:t>*Other</w:t>
      </w:r>
      <w:r w:rsidR="00972DC4" w:rsidRPr="003D2FD4">
        <w:rPr>
          <w:sz w:val="18"/>
          <w:szCs w:val="18"/>
        </w:rPr>
        <w:t xml:space="preserve"> = other ethnicity + M</w:t>
      </w:r>
      <w:r w:rsidR="00083D25" w:rsidRPr="003D2FD4">
        <w:rPr>
          <w:sz w:val="18"/>
          <w:szCs w:val="18"/>
        </w:rPr>
        <w:t>iddle Eastern, Latin American and African + residual categories</w:t>
      </w:r>
    </w:p>
    <w:p w14:paraId="1D4827A4" w14:textId="77777777" w:rsidR="00581C21" w:rsidRPr="006A2BA0" w:rsidRDefault="00581C21" w:rsidP="00581C21">
      <w:pPr>
        <w:pStyle w:val="Heading2HQSC"/>
      </w:pPr>
      <w:bookmarkStart w:id="8" w:name="_Toc227753216"/>
      <w:bookmarkStart w:id="9" w:name="_Toc233881857"/>
      <w:r w:rsidRPr="006A2BA0">
        <w:t>Qualitative analysis</w:t>
      </w:r>
      <w:bookmarkEnd w:id="8"/>
      <w:bookmarkEnd w:id="9"/>
    </w:p>
    <w:p w14:paraId="742588AE" w14:textId="65EEEC84" w:rsidR="00581C21" w:rsidRPr="006A2BA0" w:rsidRDefault="00581C21" w:rsidP="00581C21">
      <w:pPr>
        <w:pStyle w:val="BodytextHQSC"/>
      </w:pPr>
      <w:r w:rsidRPr="006A2BA0">
        <w:t xml:space="preserve">We analysed a selection of anonymised reports using the Systems Engineering Initiative for Patient Safety 2.0 (SEIPS) (Holden et al 2013). This is a validated Human Factors tool that examines the work system and how it shapes the normal every day, as Figure 2 shows. Specifically, we categorised the learning opportunities according to SEIPS to help identify the system-wide learnings emerging from the reviews. </w:t>
      </w:r>
      <w:r w:rsidR="003028A4">
        <w:t xml:space="preserve">Learning opportunities </w:t>
      </w:r>
      <w:r w:rsidR="0042690E">
        <w:t xml:space="preserve">(previously known as recommendations) </w:t>
      </w:r>
      <w:r w:rsidR="003028A4">
        <w:t>are</w:t>
      </w:r>
      <w:r w:rsidR="00F8351C">
        <w:t xml:space="preserve"> the system improvement areas that are identified during the harm event review process.</w:t>
      </w:r>
      <w:r w:rsidR="003028A4">
        <w:t xml:space="preserve"> </w:t>
      </w:r>
      <w:r w:rsidRPr="006A2BA0">
        <w:t>The next step is to share these findings with the wider ARC sector to help inform sector learning. Concurrently, we also noted the methodology used in the reviews to understand how the learning review (the Commission’s preferred methodology) was being utilised.</w:t>
      </w:r>
      <w:r w:rsidR="00344A17" w:rsidRPr="006A2BA0">
        <w:t xml:space="preserve"> </w:t>
      </w:r>
    </w:p>
    <w:p w14:paraId="5EF96DB3" w14:textId="77777777" w:rsidR="00581C21" w:rsidRPr="006A2BA0" w:rsidRDefault="00581C21" w:rsidP="00A43932">
      <w:pPr>
        <w:pStyle w:val="FigurecaptionHQSC"/>
      </w:pPr>
      <w:bookmarkStart w:id="10" w:name="_Toc230249355"/>
      <w:r w:rsidRPr="006A2BA0">
        <w:t>Figure 2: The SEIPS tool</w:t>
      </w:r>
      <w:bookmarkEnd w:id="10"/>
    </w:p>
    <w:p w14:paraId="37773558" w14:textId="71DA3606" w:rsidR="00FD4C6D" w:rsidRPr="009B6F56" w:rsidRDefault="00F66DEF" w:rsidP="00AF4E33">
      <w:pPr>
        <w:pStyle w:val="BodytextHQSC"/>
        <w:rPr>
          <w:sz w:val="18"/>
          <w:szCs w:val="18"/>
        </w:rPr>
      </w:pPr>
      <w:r w:rsidRPr="006A2BA0">
        <w:rPr>
          <w:noProof/>
        </w:rPr>
        <w:drawing>
          <wp:inline distT="0" distB="0" distL="0" distR="0" wp14:anchorId="127C105D" wp14:editId="4035BC62">
            <wp:extent cx="5650893" cy="2804160"/>
            <wp:effectExtent l="0" t="0" r="6985" b="0"/>
            <wp:docPr id="861027270" name="Picture 1" descr="Conceptual diagram illustrating how a work system influences processes and outcomes, with ongoing adaptation through feedback loops. On the left, a large circle labelled Work System contains five interconnected components surrounding Person(s) at the centre: Tasks, Tools and Technology, Organization, and Internal Environment. An External Environment sits outside the circle and is connected to the work system. The components are linked by lines, indicating that each element interacts with the others.&#10;In the centre, a large right-pointing arrow labelled Processes represents three types of work activities: Professional Work, Collaborative Professional–Patient Work, and Patient Work. Above the arrow, processes are described as involving physical, cognitive, and social/behavioral activities.&#10;On the right, a box labelled Outcomes shows outcomes occurring at three levels: Patient, Professional, and Organizational. The outcomes are positioned within a framework that can vary from desirable to undesirable and from proximal (short-term or immediate) to distal (long-term or indirect).&#10;At the bottom of the diagram, grey feedback arrows connect outcomes and processes back to the work system, illustrating Adaptation. Adaptation may be anticipated or unanticipated, short- or long-lasting, and intermittent or regular. The overall diagram demonstrates how work system factors shape work processes, which produce outcomes, and how those outcomes and experiences drive ongoing changes to the system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027270" name="Picture 1" descr="Conceptual diagram illustrating how a work system influences processes and outcomes, with ongoing adaptation through feedback loops. On the left, a large circle labelled Work System contains five interconnected components surrounding Person(s) at the centre: Tasks, Tools and Technology, Organization, and Internal Environment. An External Environment sits outside the circle and is connected to the work system. The components are linked by lines, indicating that each element interacts with the others.&#10;In the centre, a large right-pointing arrow labelled Processes represents three types of work activities: Professional Work, Collaborative Professional–Patient Work, and Patient Work. Above the arrow, processes are described as involving physical, cognitive, and social/behavioral activities.&#10;On the right, a box labelled Outcomes shows outcomes occurring at three levels: Patient, Professional, and Organizational. The outcomes are positioned within a framework that can vary from desirable to undesirable and from proximal (short-term or immediate) to distal (long-term or indirect).&#10;At the bottom of the diagram, grey feedback arrows connect outcomes and processes back to the work system, illustrating Adaptation. Adaptation may be anticipated or unanticipated, short- or long-lasting, and intermittent or regular. The overall diagram demonstrates how work system factors shape work processes, which produce outcomes, and how those outcomes and experiences drive ongoing changes to the system over time."/>
                    <pic:cNvPicPr/>
                  </pic:nvPicPr>
                  <pic:blipFill>
                    <a:blip r:embed="rId21"/>
                    <a:stretch>
                      <a:fillRect/>
                    </a:stretch>
                  </pic:blipFill>
                  <pic:spPr>
                    <a:xfrm>
                      <a:off x="0" y="0"/>
                      <a:ext cx="5650949" cy="2804188"/>
                    </a:xfrm>
                    <a:prstGeom prst="rect">
                      <a:avLst/>
                    </a:prstGeom>
                  </pic:spPr>
                </pic:pic>
              </a:graphicData>
            </a:graphic>
          </wp:inline>
        </w:drawing>
      </w:r>
      <w:r w:rsidR="009B6F56" w:rsidRPr="009B6F56">
        <w:rPr>
          <w:sz w:val="18"/>
          <w:szCs w:val="18"/>
        </w:rPr>
        <w:t>Note: Reproduced with permission.</w:t>
      </w:r>
    </w:p>
    <w:p w14:paraId="7A172821" w14:textId="77777777" w:rsidR="00AB3891" w:rsidRPr="006A2BA0" w:rsidRDefault="00AB3891" w:rsidP="00AB3891">
      <w:pPr>
        <w:pStyle w:val="Heading2HQSC"/>
      </w:pPr>
      <w:bookmarkStart w:id="11" w:name="_Toc227753217"/>
      <w:bookmarkStart w:id="12" w:name="_Toc233881858"/>
      <w:r w:rsidRPr="006A2BA0">
        <w:lastRenderedPageBreak/>
        <w:t>Methodology</w:t>
      </w:r>
      <w:bookmarkEnd w:id="11"/>
      <w:bookmarkEnd w:id="12"/>
    </w:p>
    <w:p w14:paraId="656B7E50" w14:textId="32783F39" w:rsidR="00AB3891" w:rsidRPr="006A2BA0" w:rsidRDefault="00AB3891" w:rsidP="00AB3891">
      <w:pPr>
        <w:pStyle w:val="BodytextHQSC"/>
      </w:pPr>
      <w:r w:rsidRPr="006A2BA0">
        <w:t>Providers submitted 317 anonymised reports in addition to the part Bs. We selected 10% (31) of these reports for this analysis. Of these reports, 21 (6 SAC 1 and 15 SAC 2) related to</w:t>
      </w:r>
      <w:r w:rsidR="001664F4" w:rsidRPr="006A2BA0">
        <w:t> </w:t>
      </w:r>
      <w:r w:rsidRPr="006A2BA0">
        <w:t xml:space="preserve">a fall, 9 (all SAC 2) were pressure injuries and one met other SAC 1 criteria (see Table 1). This is reflective of the total numbers of falls and pressure injuries and other events reported to the Commission for the same reporting period. </w:t>
      </w:r>
    </w:p>
    <w:p w14:paraId="67D9AB6F" w14:textId="5829AAF0" w:rsidR="00AB3891" w:rsidRPr="006A2BA0" w:rsidRDefault="00AB3891" w:rsidP="00AB3891">
      <w:pPr>
        <w:pStyle w:val="BodytextHQSC"/>
      </w:pPr>
      <w:r w:rsidRPr="006A2BA0">
        <w:t xml:space="preserve">The policy does state that, alongside the part B, providers will submit an anonymised final report highlighting the system learning opportunities and actions. While the Commission has strongly encouraged this, the culture has yet to be embedded, and most part B reports </w:t>
      </w:r>
      <w:r w:rsidRPr="006A2BA0">
        <w:rPr>
          <w:spacing w:val="-2"/>
        </w:rPr>
        <w:t>submitted do not have a corresponding anonymised final report. During the randomised selection process, we noted that in many instances either the learning opportunity boxes were not completed or the provider noted that the full report should be referred to for these, meaning that using the part Bs alone would not identify the learning opportunities. We therefore limited randomisation to the 317 events for which a full anonymised report was submitte</w:t>
      </w:r>
      <w:r w:rsidRPr="006A2BA0">
        <w:t>d.</w:t>
      </w:r>
      <w:r w:rsidR="00344A17" w:rsidRPr="006A2BA0">
        <w:t xml:space="preserve"> </w:t>
      </w:r>
    </w:p>
    <w:p w14:paraId="3B8D0188" w14:textId="77777777" w:rsidR="00542CA3" w:rsidRPr="006A2BA0" w:rsidRDefault="00542CA3" w:rsidP="004A5421">
      <w:pPr>
        <w:pStyle w:val="TablecaptionHQSC"/>
      </w:pPr>
      <w:bookmarkStart w:id="13" w:name="_Toc230249438"/>
      <w:r w:rsidRPr="006A2BA0">
        <w:t>Table 1: Number of SAC 1 and 2 harm events by type</w:t>
      </w:r>
      <w:bookmarkEnd w:id="13"/>
      <w:r w:rsidRPr="006A2BA0">
        <w:t xml:space="preserve">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254"/>
        <w:gridCol w:w="2254"/>
        <w:gridCol w:w="2254"/>
        <w:gridCol w:w="2254"/>
      </w:tblGrid>
      <w:tr w:rsidR="00542CA3" w:rsidRPr="006A2BA0" w14:paraId="724460D6" w14:textId="77777777" w:rsidTr="00314940">
        <w:tc>
          <w:tcPr>
            <w:tcW w:w="2254" w:type="dxa"/>
            <w:shd w:val="clear" w:color="auto" w:fill="F2F2F2" w:themeFill="background1" w:themeFillShade="F2"/>
          </w:tcPr>
          <w:p w14:paraId="2B80A549" w14:textId="77777777" w:rsidR="00542CA3" w:rsidRPr="006A2BA0" w:rsidRDefault="00542CA3" w:rsidP="00542CA3">
            <w:pPr>
              <w:pStyle w:val="TablecolumnheadingHQSC"/>
            </w:pPr>
            <w:r w:rsidRPr="006A2BA0">
              <w:t>Type of event</w:t>
            </w:r>
          </w:p>
        </w:tc>
        <w:tc>
          <w:tcPr>
            <w:tcW w:w="2254" w:type="dxa"/>
            <w:shd w:val="clear" w:color="auto" w:fill="F2F2F2" w:themeFill="background1" w:themeFillShade="F2"/>
          </w:tcPr>
          <w:p w14:paraId="0151A40F" w14:textId="77777777" w:rsidR="00542CA3" w:rsidRPr="006A2BA0" w:rsidRDefault="00542CA3" w:rsidP="001664F4">
            <w:pPr>
              <w:pStyle w:val="TablecolumnheadingHQSC"/>
              <w:jc w:val="right"/>
            </w:pPr>
            <w:r w:rsidRPr="006A2BA0">
              <w:t>SAC 1</w:t>
            </w:r>
          </w:p>
        </w:tc>
        <w:tc>
          <w:tcPr>
            <w:tcW w:w="2254" w:type="dxa"/>
            <w:shd w:val="clear" w:color="auto" w:fill="F2F2F2" w:themeFill="background1" w:themeFillShade="F2"/>
          </w:tcPr>
          <w:p w14:paraId="340F9251" w14:textId="77777777" w:rsidR="00542CA3" w:rsidRPr="006A2BA0" w:rsidRDefault="00542CA3" w:rsidP="001664F4">
            <w:pPr>
              <w:pStyle w:val="TablecolumnheadingHQSC"/>
              <w:jc w:val="right"/>
            </w:pPr>
            <w:r w:rsidRPr="006A2BA0">
              <w:t xml:space="preserve">SAC 2 </w:t>
            </w:r>
          </w:p>
        </w:tc>
        <w:tc>
          <w:tcPr>
            <w:tcW w:w="2254" w:type="dxa"/>
            <w:shd w:val="clear" w:color="auto" w:fill="F2F2F2" w:themeFill="background1" w:themeFillShade="F2"/>
          </w:tcPr>
          <w:p w14:paraId="546CF01D" w14:textId="77777777" w:rsidR="00542CA3" w:rsidRPr="006A2BA0" w:rsidRDefault="00542CA3" w:rsidP="001664F4">
            <w:pPr>
              <w:pStyle w:val="TablecolumnheadingHQSC"/>
              <w:jc w:val="right"/>
            </w:pPr>
            <w:r w:rsidRPr="006A2BA0">
              <w:t>Total</w:t>
            </w:r>
          </w:p>
        </w:tc>
      </w:tr>
      <w:tr w:rsidR="00542CA3" w:rsidRPr="006A2BA0" w14:paraId="534F57B9" w14:textId="77777777" w:rsidTr="00314940">
        <w:tc>
          <w:tcPr>
            <w:tcW w:w="2254" w:type="dxa"/>
          </w:tcPr>
          <w:p w14:paraId="4443E13C" w14:textId="77777777" w:rsidR="00542CA3" w:rsidRPr="006A2BA0" w:rsidRDefault="00542CA3" w:rsidP="00542CA3">
            <w:pPr>
              <w:pStyle w:val="TabletextHQSC"/>
            </w:pPr>
            <w:r w:rsidRPr="006A2BA0">
              <w:t>Fall</w:t>
            </w:r>
          </w:p>
        </w:tc>
        <w:tc>
          <w:tcPr>
            <w:tcW w:w="2254" w:type="dxa"/>
          </w:tcPr>
          <w:p w14:paraId="7B249F6C" w14:textId="77777777" w:rsidR="00542CA3" w:rsidRPr="006A2BA0" w:rsidRDefault="00542CA3" w:rsidP="001664F4">
            <w:pPr>
              <w:pStyle w:val="TabletextHQSC"/>
              <w:jc w:val="right"/>
            </w:pPr>
            <w:r w:rsidRPr="006A2BA0">
              <w:t>6</w:t>
            </w:r>
          </w:p>
        </w:tc>
        <w:tc>
          <w:tcPr>
            <w:tcW w:w="2254" w:type="dxa"/>
          </w:tcPr>
          <w:p w14:paraId="4704F043" w14:textId="77777777" w:rsidR="00542CA3" w:rsidRPr="006A2BA0" w:rsidRDefault="00542CA3" w:rsidP="001664F4">
            <w:pPr>
              <w:pStyle w:val="TabletextHQSC"/>
              <w:jc w:val="right"/>
            </w:pPr>
            <w:r w:rsidRPr="006A2BA0">
              <w:t>15</w:t>
            </w:r>
          </w:p>
        </w:tc>
        <w:tc>
          <w:tcPr>
            <w:tcW w:w="2254" w:type="dxa"/>
          </w:tcPr>
          <w:p w14:paraId="23822843" w14:textId="77777777" w:rsidR="00542CA3" w:rsidRPr="006A2BA0" w:rsidRDefault="00542CA3" w:rsidP="001664F4">
            <w:pPr>
              <w:pStyle w:val="TabletextHQSC"/>
              <w:jc w:val="right"/>
            </w:pPr>
            <w:r w:rsidRPr="006A2BA0">
              <w:t>21</w:t>
            </w:r>
          </w:p>
        </w:tc>
      </w:tr>
      <w:tr w:rsidR="00542CA3" w:rsidRPr="006A2BA0" w14:paraId="518B8A22" w14:textId="77777777" w:rsidTr="00314940">
        <w:tc>
          <w:tcPr>
            <w:tcW w:w="2254" w:type="dxa"/>
          </w:tcPr>
          <w:p w14:paraId="25E535B1" w14:textId="77777777" w:rsidR="00542CA3" w:rsidRPr="006A2BA0" w:rsidRDefault="00542CA3" w:rsidP="00542CA3">
            <w:pPr>
              <w:pStyle w:val="TabletextHQSC"/>
            </w:pPr>
            <w:r w:rsidRPr="006A2BA0">
              <w:t>Pressure injury</w:t>
            </w:r>
          </w:p>
        </w:tc>
        <w:tc>
          <w:tcPr>
            <w:tcW w:w="2254" w:type="dxa"/>
          </w:tcPr>
          <w:p w14:paraId="654986D7" w14:textId="77777777" w:rsidR="00542CA3" w:rsidRPr="006A2BA0" w:rsidRDefault="00542CA3" w:rsidP="001664F4">
            <w:pPr>
              <w:pStyle w:val="TabletextHQSC"/>
              <w:jc w:val="right"/>
            </w:pPr>
          </w:p>
        </w:tc>
        <w:tc>
          <w:tcPr>
            <w:tcW w:w="2254" w:type="dxa"/>
          </w:tcPr>
          <w:p w14:paraId="50C6C125" w14:textId="77777777" w:rsidR="00542CA3" w:rsidRPr="006A2BA0" w:rsidRDefault="00542CA3" w:rsidP="001664F4">
            <w:pPr>
              <w:pStyle w:val="TabletextHQSC"/>
              <w:jc w:val="right"/>
            </w:pPr>
            <w:r w:rsidRPr="006A2BA0">
              <w:t>9</w:t>
            </w:r>
          </w:p>
        </w:tc>
        <w:tc>
          <w:tcPr>
            <w:tcW w:w="2254" w:type="dxa"/>
          </w:tcPr>
          <w:p w14:paraId="73EC7684" w14:textId="77777777" w:rsidR="00542CA3" w:rsidRPr="006A2BA0" w:rsidRDefault="00542CA3" w:rsidP="001664F4">
            <w:pPr>
              <w:pStyle w:val="TabletextHQSC"/>
              <w:jc w:val="right"/>
            </w:pPr>
            <w:r w:rsidRPr="006A2BA0">
              <w:t>9</w:t>
            </w:r>
          </w:p>
        </w:tc>
      </w:tr>
      <w:tr w:rsidR="00542CA3" w:rsidRPr="006A2BA0" w14:paraId="4215408C" w14:textId="77777777" w:rsidTr="00314940">
        <w:tc>
          <w:tcPr>
            <w:tcW w:w="2254" w:type="dxa"/>
          </w:tcPr>
          <w:p w14:paraId="713F0EA5" w14:textId="77777777" w:rsidR="00542CA3" w:rsidRPr="006A2BA0" w:rsidRDefault="00542CA3" w:rsidP="00542CA3">
            <w:pPr>
              <w:pStyle w:val="TabletextHQSC"/>
            </w:pPr>
            <w:r w:rsidRPr="006A2BA0">
              <w:t>Other</w:t>
            </w:r>
          </w:p>
        </w:tc>
        <w:tc>
          <w:tcPr>
            <w:tcW w:w="2254" w:type="dxa"/>
          </w:tcPr>
          <w:p w14:paraId="1B21B70C" w14:textId="77777777" w:rsidR="00542CA3" w:rsidRPr="006A2BA0" w:rsidRDefault="00542CA3" w:rsidP="001664F4">
            <w:pPr>
              <w:pStyle w:val="TabletextHQSC"/>
              <w:jc w:val="right"/>
            </w:pPr>
            <w:r w:rsidRPr="006A2BA0">
              <w:t xml:space="preserve">1 </w:t>
            </w:r>
          </w:p>
        </w:tc>
        <w:tc>
          <w:tcPr>
            <w:tcW w:w="2254" w:type="dxa"/>
          </w:tcPr>
          <w:p w14:paraId="7777F86F" w14:textId="77777777" w:rsidR="00542CA3" w:rsidRPr="006A2BA0" w:rsidRDefault="00542CA3" w:rsidP="001664F4">
            <w:pPr>
              <w:pStyle w:val="TabletextHQSC"/>
              <w:jc w:val="right"/>
            </w:pPr>
          </w:p>
        </w:tc>
        <w:tc>
          <w:tcPr>
            <w:tcW w:w="2254" w:type="dxa"/>
          </w:tcPr>
          <w:p w14:paraId="5082B98D" w14:textId="77777777" w:rsidR="00542CA3" w:rsidRPr="006A2BA0" w:rsidRDefault="00542CA3" w:rsidP="001664F4">
            <w:pPr>
              <w:pStyle w:val="TabletextHQSC"/>
              <w:jc w:val="right"/>
            </w:pPr>
            <w:r w:rsidRPr="006A2BA0">
              <w:t>1</w:t>
            </w:r>
          </w:p>
        </w:tc>
      </w:tr>
      <w:tr w:rsidR="00542CA3" w:rsidRPr="006A2BA0" w14:paraId="0D06B33D" w14:textId="77777777" w:rsidTr="00314940">
        <w:tc>
          <w:tcPr>
            <w:tcW w:w="2254" w:type="dxa"/>
          </w:tcPr>
          <w:p w14:paraId="445A0B08" w14:textId="77777777" w:rsidR="00542CA3" w:rsidRPr="006A2BA0" w:rsidRDefault="00542CA3" w:rsidP="00542CA3">
            <w:pPr>
              <w:pStyle w:val="TabletextHQSC"/>
            </w:pPr>
          </w:p>
        </w:tc>
        <w:tc>
          <w:tcPr>
            <w:tcW w:w="2254" w:type="dxa"/>
          </w:tcPr>
          <w:p w14:paraId="4D661962" w14:textId="77777777" w:rsidR="00542CA3" w:rsidRPr="006A2BA0" w:rsidRDefault="00542CA3" w:rsidP="001664F4">
            <w:pPr>
              <w:pStyle w:val="TabletextHQSC"/>
              <w:jc w:val="right"/>
            </w:pPr>
          </w:p>
        </w:tc>
        <w:tc>
          <w:tcPr>
            <w:tcW w:w="2254" w:type="dxa"/>
          </w:tcPr>
          <w:p w14:paraId="60E89885" w14:textId="77777777" w:rsidR="00542CA3" w:rsidRPr="006A2BA0" w:rsidRDefault="00542CA3" w:rsidP="001664F4">
            <w:pPr>
              <w:pStyle w:val="TabletextHQSC"/>
              <w:jc w:val="right"/>
            </w:pPr>
          </w:p>
        </w:tc>
        <w:tc>
          <w:tcPr>
            <w:tcW w:w="2254" w:type="dxa"/>
          </w:tcPr>
          <w:p w14:paraId="563010F0" w14:textId="77777777" w:rsidR="00542CA3" w:rsidRPr="006A2BA0" w:rsidRDefault="00542CA3" w:rsidP="001664F4">
            <w:pPr>
              <w:pStyle w:val="TabletextHQSC"/>
              <w:jc w:val="right"/>
              <w:rPr>
                <w:b/>
                <w:bCs/>
              </w:rPr>
            </w:pPr>
            <w:r w:rsidRPr="006A2BA0">
              <w:rPr>
                <w:b/>
                <w:bCs/>
              </w:rPr>
              <w:t>31</w:t>
            </w:r>
          </w:p>
        </w:tc>
      </w:tr>
    </w:tbl>
    <w:p w14:paraId="1E9E8791" w14:textId="77777777" w:rsidR="00D0607C" w:rsidRPr="006A2BA0" w:rsidRDefault="00D0607C" w:rsidP="00D0607C">
      <w:pPr>
        <w:pStyle w:val="BodytextHQSC"/>
        <w:spacing w:before="240"/>
        <w:rPr>
          <w:szCs w:val="24"/>
        </w:rPr>
      </w:pPr>
      <w:r w:rsidRPr="006A2BA0">
        <w:rPr>
          <w:szCs w:val="24"/>
        </w:rPr>
        <w:t xml:space="preserve">We reviewed the anonymised reports and extracted the learning opportunities from these. We identified 124 learning opportunities from the 31 reports we reviewed. Six of the reports stated that the review had not identified any learning opportunities. </w:t>
      </w:r>
    </w:p>
    <w:p w14:paraId="42C39B2B" w14:textId="77777777" w:rsidR="00D0607C" w:rsidRPr="006A2BA0" w:rsidRDefault="00D0607C" w:rsidP="00D0607C">
      <w:pPr>
        <w:pStyle w:val="BodytextHQSC"/>
      </w:pPr>
      <w:r w:rsidRPr="006A2BA0">
        <w:t>Once extracted, we categorised the learning opportunities using the six dimensions of the work system from the SEIPS tool. The six dimensions are: person factors, technology and tools, task factors, work environment, organisation and external influences. Table 2 sets out how many learning opportunities were identified for each dimension.</w:t>
      </w:r>
    </w:p>
    <w:p w14:paraId="18A6D8DE" w14:textId="77777777" w:rsidR="004A5421" w:rsidRPr="006A2BA0" w:rsidRDefault="004A5421" w:rsidP="004A5421">
      <w:pPr>
        <w:pStyle w:val="TablecaptionHQSC"/>
      </w:pPr>
      <w:bookmarkStart w:id="14" w:name="_Toc230249439"/>
      <w:r w:rsidRPr="006A2BA0">
        <w:t>Table 2: Learning opportunities categorised using SEIPS</w:t>
      </w:r>
      <w:bookmarkEnd w:id="14"/>
    </w:p>
    <w:tbl>
      <w:tblPr>
        <w:tblStyle w:val="TableGrid"/>
        <w:tblW w:w="0" w:type="auto"/>
        <w:tblBorders>
          <w:left w:val="none" w:sz="0" w:space="0" w:color="auto"/>
          <w:right w:val="none" w:sz="0" w:space="0" w:color="auto"/>
        </w:tblBorders>
        <w:tblLook w:val="04A0" w:firstRow="1" w:lastRow="0" w:firstColumn="1" w:lastColumn="0" w:noHBand="0" w:noVBand="1"/>
      </w:tblPr>
      <w:tblGrid>
        <w:gridCol w:w="1120"/>
        <w:gridCol w:w="1082"/>
        <w:gridCol w:w="1451"/>
        <w:gridCol w:w="1077"/>
        <w:gridCol w:w="1537"/>
        <w:gridCol w:w="1573"/>
        <w:gridCol w:w="1230"/>
      </w:tblGrid>
      <w:tr w:rsidR="004A5421" w:rsidRPr="006A2BA0" w14:paraId="3C2E8D1B" w14:textId="77777777" w:rsidTr="00314940">
        <w:tc>
          <w:tcPr>
            <w:tcW w:w="1135" w:type="dxa"/>
            <w:shd w:val="clear" w:color="auto" w:fill="F2F2F2" w:themeFill="background1" w:themeFillShade="F2"/>
            <w:vAlign w:val="bottom"/>
          </w:tcPr>
          <w:p w14:paraId="7FB5BA27" w14:textId="77777777" w:rsidR="004A5421" w:rsidRPr="006A2BA0" w:rsidRDefault="004A5421" w:rsidP="004A5421">
            <w:pPr>
              <w:pStyle w:val="TablecolumnheadingHQSC"/>
            </w:pPr>
          </w:p>
        </w:tc>
        <w:tc>
          <w:tcPr>
            <w:tcW w:w="1168" w:type="dxa"/>
            <w:shd w:val="clear" w:color="auto" w:fill="F2F2F2" w:themeFill="background1" w:themeFillShade="F2"/>
            <w:vAlign w:val="bottom"/>
          </w:tcPr>
          <w:p w14:paraId="79B36DD0" w14:textId="77777777" w:rsidR="004A5421" w:rsidRPr="006A2BA0" w:rsidRDefault="004A5421" w:rsidP="00314940">
            <w:pPr>
              <w:pStyle w:val="TablecolumnheadingHQSC"/>
              <w:jc w:val="right"/>
              <w:rPr>
                <w:bCs/>
              </w:rPr>
            </w:pPr>
            <w:r w:rsidRPr="006A2BA0">
              <w:rPr>
                <w:bCs/>
              </w:rPr>
              <w:t>Person factors</w:t>
            </w:r>
          </w:p>
        </w:tc>
        <w:tc>
          <w:tcPr>
            <w:tcW w:w="1336" w:type="dxa"/>
            <w:shd w:val="clear" w:color="auto" w:fill="F2F2F2" w:themeFill="background1" w:themeFillShade="F2"/>
            <w:vAlign w:val="bottom"/>
          </w:tcPr>
          <w:p w14:paraId="7388CA4F" w14:textId="77777777" w:rsidR="004A5421" w:rsidRPr="006A2BA0" w:rsidRDefault="004A5421" w:rsidP="00314940">
            <w:pPr>
              <w:pStyle w:val="TablecolumnheadingHQSC"/>
              <w:jc w:val="right"/>
              <w:rPr>
                <w:bCs/>
              </w:rPr>
            </w:pPr>
            <w:r w:rsidRPr="006A2BA0">
              <w:rPr>
                <w:bCs/>
              </w:rPr>
              <w:t>Technology and tools</w:t>
            </w:r>
          </w:p>
        </w:tc>
        <w:tc>
          <w:tcPr>
            <w:tcW w:w="1168" w:type="dxa"/>
            <w:shd w:val="clear" w:color="auto" w:fill="F2F2F2" w:themeFill="background1" w:themeFillShade="F2"/>
            <w:vAlign w:val="bottom"/>
          </w:tcPr>
          <w:p w14:paraId="61C61B61" w14:textId="77777777" w:rsidR="004A5421" w:rsidRPr="006A2BA0" w:rsidRDefault="004A5421" w:rsidP="00314940">
            <w:pPr>
              <w:pStyle w:val="TablecolumnheadingHQSC"/>
              <w:jc w:val="right"/>
              <w:rPr>
                <w:bCs/>
              </w:rPr>
            </w:pPr>
            <w:r w:rsidRPr="006A2BA0">
              <w:rPr>
                <w:bCs/>
              </w:rPr>
              <w:t>Task factors</w:t>
            </w:r>
          </w:p>
        </w:tc>
        <w:tc>
          <w:tcPr>
            <w:tcW w:w="1479" w:type="dxa"/>
            <w:shd w:val="clear" w:color="auto" w:fill="F2F2F2" w:themeFill="background1" w:themeFillShade="F2"/>
            <w:vAlign w:val="bottom"/>
          </w:tcPr>
          <w:p w14:paraId="08153A9F" w14:textId="77777777" w:rsidR="004A5421" w:rsidRPr="006A2BA0" w:rsidRDefault="004A5421" w:rsidP="00314940">
            <w:pPr>
              <w:pStyle w:val="TablecolumnheadingHQSC"/>
              <w:jc w:val="right"/>
              <w:rPr>
                <w:bCs/>
              </w:rPr>
            </w:pPr>
            <w:r w:rsidRPr="006A2BA0">
              <w:rPr>
                <w:bCs/>
              </w:rPr>
              <w:t>Work environment</w:t>
            </w:r>
          </w:p>
        </w:tc>
        <w:tc>
          <w:tcPr>
            <w:tcW w:w="1465" w:type="dxa"/>
            <w:shd w:val="clear" w:color="auto" w:fill="F2F2F2" w:themeFill="background1" w:themeFillShade="F2"/>
            <w:vAlign w:val="bottom"/>
          </w:tcPr>
          <w:p w14:paraId="3176AC32" w14:textId="77777777" w:rsidR="004A5421" w:rsidRPr="006A2BA0" w:rsidRDefault="004A5421" w:rsidP="00314940">
            <w:pPr>
              <w:pStyle w:val="TablecolumnheadingHQSC"/>
              <w:jc w:val="right"/>
              <w:rPr>
                <w:bCs/>
              </w:rPr>
            </w:pPr>
            <w:r w:rsidRPr="006A2BA0">
              <w:rPr>
                <w:bCs/>
              </w:rPr>
              <w:t>Organisation</w:t>
            </w:r>
          </w:p>
        </w:tc>
        <w:tc>
          <w:tcPr>
            <w:tcW w:w="1265" w:type="dxa"/>
            <w:shd w:val="clear" w:color="auto" w:fill="F2F2F2" w:themeFill="background1" w:themeFillShade="F2"/>
            <w:vAlign w:val="bottom"/>
          </w:tcPr>
          <w:p w14:paraId="30B8CA1D" w14:textId="77777777" w:rsidR="004A5421" w:rsidRPr="006A2BA0" w:rsidRDefault="004A5421" w:rsidP="00314940">
            <w:pPr>
              <w:pStyle w:val="TablecolumnheadingHQSC"/>
              <w:jc w:val="right"/>
              <w:rPr>
                <w:bCs/>
              </w:rPr>
            </w:pPr>
            <w:r w:rsidRPr="006A2BA0">
              <w:rPr>
                <w:bCs/>
              </w:rPr>
              <w:t>External influence</w:t>
            </w:r>
          </w:p>
        </w:tc>
      </w:tr>
      <w:tr w:rsidR="004A5421" w:rsidRPr="006A2BA0" w14:paraId="154CA2D2" w14:textId="77777777" w:rsidTr="00314940">
        <w:tc>
          <w:tcPr>
            <w:tcW w:w="1135" w:type="dxa"/>
          </w:tcPr>
          <w:p w14:paraId="60E82517" w14:textId="77777777" w:rsidR="004A5421" w:rsidRPr="006A2BA0" w:rsidRDefault="004A5421" w:rsidP="004A5421">
            <w:pPr>
              <w:pStyle w:val="TabletextHQSC"/>
            </w:pPr>
            <w:r w:rsidRPr="006A2BA0">
              <w:t>Fall</w:t>
            </w:r>
          </w:p>
        </w:tc>
        <w:tc>
          <w:tcPr>
            <w:tcW w:w="1168" w:type="dxa"/>
          </w:tcPr>
          <w:p w14:paraId="44E3CCDB" w14:textId="77777777" w:rsidR="004A5421" w:rsidRPr="006A2BA0" w:rsidRDefault="004A5421" w:rsidP="00314940">
            <w:pPr>
              <w:pStyle w:val="TabletextHQSC"/>
              <w:jc w:val="right"/>
            </w:pPr>
            <w:r w:rsidRPr="006A2BA0">
              <w:t>39</w:t>
            </w:r>
          </w:p>
        </w:tc>
        <w:tc>
          <w:tcPr>
            <w:tcW w:w="1336" w:type="dxa"/>
          </w:tcPr>
          <w:p w14:paraId="7236BDCE" w14:textId="77777777" w:rsidR="004A5421" w:rsidRPr="006A2BA0" w:rsidRDefault="004A5421" w:rsidP="00314940">
            <w:pPr>
              <w:pStyle w:val="TabletextHQSC"/>
              <w:jc w:val="right"/>
            </w:pPr>
            <w:r w:rsidRPr="006A2BA0">
              <w:t>5</w:t>
            </w:r>
          </w:p>
        </w:tc>
        <w:tc>
          <w:tcPr>
            <w:tcW w:w="1168" w:type="dxa"/>
          </w:tcPr>
          <w:p w14:paraId="391C7648" w14:textId="77777777" w:rsidR="004A5421" w:rsidRPr="006A2BA0" w:rsidRDefault="004A5421" w:rsidP="00314940">
            <w:pPr>
              <w:pStyle w:val="TabletextHQSC"/>
              <w:jc w:val="right"/>
            </w:pPr>
            <w:r w:rsidRPr="006A2BA0">
              <w:t>27</w:t>
            </w:r>
          </w:p>
        </w:tc>
        <w:tc>
          <w:tcPr>
            <w:tcW w:w="1479" w:type="dxa"/>
          </w:tcPr>
          <w:p w14:paraId="13F2781C" w14:textId="77777777" w:rsidR="004A5421" w:rsidRPr="006A2BA0" w:rsidRDefault="004A5421" w:rsidP="00314940">
            <w:pPr>
              <w:pStyle w:val="TabletextHQSC"/>
              <w:jc w:val="right"/>
            </w:pPr>
            <w:r w:rsidRPr="006A2BA0">
              <w:t>3</w:t>
            </w:r>
          </w:p>
        </w:tc>
        <w:tc>
          <w:tcPr>
            <w:tcW w:w="1465" w:type="dxa"/>
          </w:tcPr>
          <w:p w14:paraId="57F67661" w14:textId="77777777" w:rsidR="004A5421" w:rsidRPr="006A2BA0" w:rsidRDefault="004A5421" w:rsidP="00314940">
            <w:pPr>
              <w:pStyle w:val="TabletextHQSC"/>
              <w:jc w:val="right"/>
            </w:pPr>
            <w:r w:rsidRPr="006A2BA0">
              <w:t>12</w:t>
            </w:r>
          </w:p>
        </w:tc>
        <w:tc>
          <w:tcPr>
            <w:tcW w:w="1265" w:type="dxa"/>
          </w:tcPr>
          <w:p w14:paraId="25284786" w14:textId="77777777" w:rsidR="004A5421" w:rsidRPr="006A2BA0" w:rsidRDefault="004A5421" w:rsidP="00314940">
            <w:pPr>
              <w:pStyle w:val="TabletextHQSC"/>
              <w:jc w:val="right"/>
            </w:pPr>
          </w:p>
        </w:tc>
      </w:tr>
      <w:tr w:rsidR="004A5421" w:rsidRPr="006A2BA0" w14:paraId="42631638" w14:textId="77777777" w:rsidTr="00314940">
        <w:tc>
          <w:tcPr>
            <w:tcW w:w="1135" w:type="dxa"/>
          </w:tcPr>
          <w:p w14:paraId="380EFC2D" w14:textId="77777777" w:rsidR="004A5421" w:rsidRPr="006A2BA0" w:rsidRDefault="004A5421" w:rsidP="004A5421">
            <w:pPr>
              <w:pStyle w:val="TabletextHQSC"/>
            </w:pPr>
            <w:r w:rsidRPr="006A2BA0">
              <w:t>Pressure injury</w:t>
            </w:r>
          </w:p>
        </w:tc>
        <w:tc>
          <w:tcPr>
            <w:tcW w:w="1168" w:type="dxa"/>
          </w:tcPr>
          <w:p w14:paraId="31ED126E" w14:textId="77777777" w:rsidR="004A5421" w:rsidRPr="006A2BA0" w:rsidRDefault="004A5421" w:rsidP="00314940">
            <w:pPr>
              <w:pStyle w:val="TabletextHQSC"/>
              <w:jc w:val="right"/>
            </w:pPr>
            <w:r w:rsidRPr="006A2BA0">
              <w:t>14</w:t>
            </w:r>
          </w:p>
        </w:tc>
        <w:tc>
          <w:tcPr>
            <w:tcW w:w="1336" w:type="dxa"/>
          </w:tcPr>
          <w:p w14:paraId="6EE8D5C2" w14:textId="77777777" w:rsidR="004A5421" w:rsidRPr="006A2BA0" w:rsidRDefault="004A5421" w:rsidP="00314940">
            <w:pPr>
              <w:pStyle w:val="TabletextHQSC"/>
              <w:jc w:val="right"/>
            </w:pPr>
            <w:r w:rsidRPr="006A2BA0">
              <w:t>7</w:t>
            </w:r>
          </w:p>
        </w:tc>
        <w:tc>
          <w:tcPr>
            <w:tcW w:w="1168" w:type="dxa"/>
          </w:tcPr>
          <w:p w14:paraId="755D5E79" w14:textId="77777777" w:rsidR="004A5421" w:rsidRPr="006A2BA0" w:rsidRDefault="004A5421" w:rsidP="00314940">
            <w:pPr>
              <w:pStyle w:val="TabletextHQSC"/>
              <w:jc w:val="right"/>
            </w:pPr>
            <w:r w:rsidRPr="006A2BA0">
              <w:t>13</w:t>
            </w:r>
          </w:p>
        </w:tc>
        <w:tc>
          <w:tcPr>
            <w:tcW w:w="1479" w:type="dxa"/>
          </w:tcPr>
          <w:p w14:paraId="19FE307C" w14:textId="77777777" w:rsidR="004A5421" w:rsidRPr="006A2BA0" w:rsidRDefault="004A5421" w:rsidP="00314940">
            <w:pPr>
              <w:pStyle w:val="TabletextHQSC"/>
              <w:jc w:val="right"/>
            </w:pPr>
          </w:p>
        </w:tc>
        <w:tc>
          <w:tcPr>
            <w:tcW w:w="1465" w:type="dxa"/>
          </w:tcPr>
          <w:p w14:paraId="4796C782" w14:textId="77777777" w:rsidR="004A5421" w:rsidRPr="006A2BA0" w:rsidRDefault="004A5421" w:rsidP="00314940">
            <w:pPr>
              <w:pStyle w:val="TabletextHQSC"/>
              <w:jc w:val="right"/>
            </w:pPr>
          </w:p>
        </w:tc>
        <w:tc>
          <w:tcPr>
            <w:tcW w:w="1265" w:type="dxa"/>
          </w:tcPr>
          <w:p w14:paraId="7E70A47C" w14:textId="77777777" w:rsidR="004A5421" w:rsidRPr="006A2BA0" w:rsidRDefault="004A5421" w:rsidP="00314940">
            <w:pPr>
              <w:pStyle w:val="TabletextHQSC"/>
              <w:jc w:val="right"/>
            </w:pPr>
          </w:p>
        </w:tc>
      </w:tr>
      <w:tr w:rsidR="004A5421" w:rsidRPr="006A2BA0" w14:paraId="7D9FCBD6" w14:textId="77777777" w:rsidTr="00314940">
        <w:tc>
          <w:tcPr>
            <w:tcW w:w="1135" w:type="dxa"/>
          </w:tcPr>
          <w:p w14:paraId="6E582ED8" w14:textId="77777777" w:rsidR="004A5421" w:rsidRPr="006A2BA0" w:rsidRDefault="004A5421" w:rsidP="004A5421">
            <w:pPr>
              <w:pStyle w:val="TabletextHQSC"/>
            </w:pPr>
            <w:r w:rsidRPr="006A2BA0">
              <w:t>Other</w:t>
            </w:r>
          </w:p>
        </w:tc>
        <w:tc>
          <w:tcPr>
            <w:tcW w:w="1168" w:type="dxa"/>
          </w:tcPr>
          <w:p w14:paraId="4809FFC4" w14:textId="77777777" w:rsidR="004A5421" w:rsidRPr="006A2BA0" w:rsidRDefault="004A5421" w:rsidP="00314940">
            <w:pPr>
              <w:pStyle w:val="TabletextHQSC"/>
              <w:jc w:val="right"/>
            </w:pPr>
          </w:p>
        </w:tc>
        <w:tc>
          <w:tcPr>
            <w:tcW w:w="1336" w:type="dxa"/>
          </w:tcPr>
          <w:p w14:paraId="42A5E03D" w14:textId="77777777" w:rsidR="004A5421" w:rsidRPr="006A2BA0" w:rsidRDefault="004A5421" w:rsidP="00314940">
            <w:pPr>
              <w:pStyle w:val="TabletextHQSC"/>
              <w:jc w:val="right"/>
            </w:pPr>
          </w:p>
        </w:tc>
        <w:tc>
          <w:tcPr>
            <w:tcW w:w="1168" w:type="dxa"/>
          </w:tcPr>
          <w:p w14:paraId="70985C6C" w14:textId="77777777" w:rsidR="004A5421" w:rsidRPr="006A2BA0" w:rsidRDefault="004A5421" w:rsidP="00314940">
            <w:pPr>
              <w:pStyle w:val="TabletextHQSC"/>
              <w:jc w:val="right"/>
            </w:pPr>
            <w:r w:rsidRPr="006A2BA0">
              <w:t>2</w:t>
            </w:r>
          </w:p>
        </w:tc>
        <w:tc>
          <w:tcPr>
            <w:tcW w:w="1479" w:type="dxa"/>
          </w:tcPr>
          <w:p w14:paraId="201E9A64" w14:textId="77777777" w:rsidR="004A5421" w:rsidRPr="006A2BA0" w:rsidRDefault="004A5421" w:rsidP="00314940">
            <w:pPr>
              <w:pStyle w:val="TabletextHQSC"/>
              <w:jc w:val="right"/>
            </w:pPr>
          </w:p>
        </w:tc>
        <w:tc>
          <w:tcPr>
            <w:tcW w:w="1465" w:type="dxa"/>
          </w:tcPr>
          <w:p w14:paraId="5115AB3E" w14:textId="77777777" w:rsidR="004A5421" w:rsidRPr="006A2BA0" w:rsidRDefault="004A5421" w:rsidP="00314940">
            <w:pPr>
              <w:pStyle w:val="TabletextHQSC"/>
              <w:jc w:val="right"/>
            </w:pPr>
            <w:r w:rsidRPr="006A2BA0">
              <w:t>2</w:t>
            </w:r>
          </w:p>
        </w:tc>
        <w:tc>
          <w:tcPr>
            <w:tcW w:w="1265" w:type="dxa"/>
          </w:tcPr>
          <w:p w14:paraId="47575D36" w14:textId="77777777" w:rsidR="004A5421" w:rsidRPr="006A2BA0" w:rsidRDefault="004A5421" w:rsidP="00314940">
            <w:pPr>
              <w:pStyle w:val="TabletextHQSC"/>
              <w:jc w:val="right"/>
            </w:pPr>
          </w:p>
        </w:tc>
      </w:tr>
      <w:tr w:rsidR="004A5421" w:rsidRPr="006A2BA0" w14:paraId="053EC466" w14:textId="77777777" w:rsidTr="00314940">
        <w:tc>
          <w:tcPr>
            <w:tcW w:w="1135" w:type="dxa"/>
          </w:tcPr>
          <w:p w14:paraId="765BCE2B" w14:textId="77777777" w:rsidR="004A5421" w:rsidRPr="006A2BA0" w:rsidRDefault="004A5421" w:rsidP="004A5421">
            <w:pPr>
              <w:pStyle w:val="TabletextHQSC"/>
            </w:pPr>
          </w:p>
        </w:tc>
        <w:tc>
          <w:tcPr>
            <w:tcW w:w="1168" w:type="dxa"/>
          </w:tcPr>
          <w:p w14:paraId="3B014A85" w14:textId="77777777" w:rsidR="004A5421" w:rsidRPr="006A2BA0" w:rsidRDefault="004A5421" w:rsidP="00314940">
            <w:pPr>
              <w:pStyle w:val="TabletextHQSC"/>
              <w:jc w:val="right"/>
              <w:rPr>
                <w:b/>
                <w:bCs/>
              </w:rPr>
            </w:pPr>
            <w:r w:rsidRPr="006A2BA0">
              <w:rPr>
                <w:b/>
                <w:bCs/>
              </w:rPr>
              <w:t>53</w:t>
            </w:r>
          </w:p>
        </w:tc>
        <w:tc>
          <w:tcPr>
            <w:tcW w:w="1336" w:type="dxa"/>
          </w:tcPr>
          <w:p w14:paraId="3B94B6BE" w14:textId="77777777" w:rsidR="004A5421" w:rsidRPr="006A2BA0" w:rsidRDefault="004A5421" w:rsidP="00314940">
            <w:pPr>
              <w:pStyle w:val="TabletextHQSC"/>
              <w:jc w:val="right"/>
              <w:rPr>
                <w:b/>
                <w:bCs/>
              </w:rPr>
            </w:pPr>
            <w:r w:rsidRPr="006A2BA0">
              <w:rPr>
                <w:b/>
                <w:bCs/>
              </w:rPr>
              <w:t>12</w:t>
            </w:r>
          </w:p>
        </w:tc>
        <w:tc>
          <w:tcPr>
            <w:tcW w:w="1168" w:type="dxa"/>
          </w:tcPr>
          <w:p w14:paraId="53337C7A" w14:textId="77777777" w:rsidR="004A5421" w:rsidRPr="006A2BA0" w:rsidRDefault="004A5421" w:rsidP="00314940">
            <w:pPr>
              <w:pStyle w:val="TabletextHQSC"/>
              <w:jc w:val="right"/>
              <w:rPr>
                <w:b/>
                <w:bCs/>
              </w:rPr>
            </w:pPr>
            <w:r w:rsidRPr="006A2BA0">
              <w:rPr>
                <w:b/>
                <w:bCs/>
              </w:rPr>
              <w:t>42</w:t>
            </w:r>
          </w:p>
        </w:tc>
        <w:tc>
          <w:tcPr>
            <w:tcW w:w="1479" w:type="dxa"/>
          </w:tcPr>
          <w:p w14:paraId="793B2BE9" w14:textId="77777777" w:rsidR="004A5421" w:rsidRPr="006A2BA0" w:rsidRDefault="004A5421" w:rsidP="00314940">
            <w:pPr>
              <w:pStyle w:val="TabletextHQSC"/>
              <w:jc w:val="right"/>
              <w:rPr>
                <w:b/>
                <w:bCs/>
              </w:rPr>
            </w:pPr>
            <w:r w:rsidRPr="006A2BA0">
              <w:rPr>
                <w:b/>
                <w:bCs/>
              </w:rPr>
              <w:t>3</w:t>
            </w:r>
          </w:p>
        </w:tc>
        <w:tc>
          <w:tcPr>
            <w:tcW w:w="1465" w:type="dxa"/>
          </w:tcPr>
          <w:p w14:paraId="6E107072" w14:textId="77777777" w:rsidR="004A5421" w:rsidRPr="006A2BA0" w:rsidRDefault="004A5421" w:rsidP="00314940">
            <w:pPr>
              <w:pStyle w:val="TabletextHQSC"/>
              <w:jc w:val="right"/>
              <w:rPr>
                <w:b/>
                <w:bCs/>
              </w:rPr>
            </w:pPr>
            <w:r w:rsidRPr="006A2BA0">
              <w:rPr>
                <w:b/>
                <w:bCs/>
              </w:rPr>
              <w:t>14</w:t>
            </w:r>
          </w:p>
        </w:tc>
        <w:tc>
          <w:tcPr>
            <w:tcW w:w="1265" w:type="dxa"/>
          </w:tcPr>
          <w:p w14:paraId="07B6A759" w14:textId="77777777" w:rsidR="004A5421" w:rsidRPr="006A2BA0" w:rsidRDefault="004A5421" w:rsidP="00314940">
            <w:pPr>
              <w:pStyle w:val="TabletextHQSC"/>
              <w:jc w:val="right"/>
              <w:rPr>
                <w:b/>
                <w:bCs/>
              </w:rPr>
            </w:pPr>
            <w:r w:rsidRPr="006A2BA0">
              <w:rPr>
                <w:b/>
                <w:bCs/>
              </w:rPr>
              <w:t>0</w:t>
            </w:r>
          </w:p>
        </w:tc>
      </w:tr>
    </w:tbl>
    <w:p w14:paraId="4A345FA9" w14:textId="77777777" w:rsidR="004A5421" w:rsidRPr="006A2BA0" w:rsidRDefault="004A5421" w:rsidP="004A5421">
      <w:pPr>
        <w:pStyle w:val="BodytextHQSC"/>
        <w:spacing w:before="240"/>
      </w:pPr>
      <w:r w:rsidRPr="006A2BA0">
        <w:t>Following categorisation, we reviewed each SEIPS dimension to consider which learning opportunities we could highlight to the sector for system-wide learning.</w:t>
      </w:r>
    </w:p>
    <w:p w14:paraId="5646A5D1" w14:textId="77777777" w:rsidR="004A5421" w:rsidRPr="006A2BA0" w:rsidRDefault="004A5421" w:rsidP="004A5421">
      <w:pPr>
        <w:pStyle w:val="BodytextHQSC"/>
      </w:pPr>
      <w:r w:rsidRPr="006A2BA0">
        <w:lastRenderedPageBreak/>
        <w:t>Concurrently, we noted what methodology the ARC provider had identified to review the harm event. Table 3 sets out these methodologies.</w:t>
      </w:r>
    </w:p>
    <w:p w14:paraId="6F543171" w14:textId="2D53F148" w:rsidR="004A5421" w:rsidRPr="006A2BA0" w:rsidRDefault="004A5421" w:rsidP="004A5421">
      <w:pPr>
        <w:pStyle w:val="TablecaptionHQSC"/>
      </w:pPr>
      <w:bookmarkStart w:id="15" w:name="_Toc230249440"/>
      <w:r w:rsidRPr="006A2BA0">
        <w:t>Table 3: Methodology used to review the harm event</w:t>
      </w:r>
      <w:bookmarkEnd w:id="15"/>
      <w:r w:rsidRPr="006A2BA0">
        <w:t xml:space="preserve">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4508"/>
        <w:gridCol w:w="4508"/>
      </w:tblGrid>
      <w:tr w:rsidR="004A5421" w:rsidRPr="006A2BA0" w14:paraId="2D232322" w14:textId="77777777" w:rsidTr="00314940">
        <w:tc>
          <w:tcPr>
            <w:tcW w:w="4508" w:type="dxa"/>
            <w:shd w:val="clear" w:color="auto" w:fill="F2F2F2" w:themeFill="background1" w:themeFillShade="F2"/>
          </w:tcPr>
          <w:p w14:paraId="0BF9B92F" w14:textId="77777777" w:rsidR="004A5421" w:rsidRPr="006A2BA0" w:rsidRDefault="004A5421" w:rsidP="004A5421">
            <w:pPr>
              <w:pStyle w:val="TablecolumnheadingHQSC"/>
            </w:pPr>
            <w:r w:rsidRPr="006A2BA0">
              <w:t>Methodology</w:t>
            </w:r>
          </w:p>
        </w:tc>
        <w:tc>
          <w:tcPr>
            <w:tcW w:w="4508" w:type="dxa"/>
            <w:shd w:val="clear" w:color="auto" w:fill="F2F2F2" w:themeFill="background1" w:themeFillShade="F2"/>
          </w:tcPr>
          <w:p w14:paraId="064200BE" w14:textId="77777777" w:rsidR="004A5421" w:rsidRPr="006A2BA0" w:rsidRDefault="004A5421" w:rsidP="004A5421">
            <w:pPr>
              <w:pStyle w:val="TablecolumnheadingHQSC"/>
            </w:pPr>
          </w:p>
        </w:tc>
      </w:tr>
      <w:tr w:rsidR="004A5421" w:rsidRPr="006A2BA0" w14:paraId="43DDF0C1" w14:textId="77777777" w:rsidTr="00314940">
        <w:tc>
          <w:tcPr>
            <w:tcW w:w="4508" w:type="dxa"/>
          </w:tcPr>
          <w:p w14:paraId="3807AC57" w14:textId="77777777" w:rsidR="004A5421" w:rsidRPr="006A2BA0" w:rsidRDefault="004A5421" w:rsidP="004A5421">
            <w:pPr>
              <w:pStyle w:val="TabletextHQSC"/>
            </w:pPr>
            <w:r w:rsidRPr="006A2BA0">
              <w:t>File review</w:t>
            </w:r>
          </w:p>
        </w:tc>
        <w:tc>
          <w:tcPr>
            <w:tcW w:w="4508" w:type="dxa"/>
          </w:tcPr>
          <w:p w14:paraId="196B490B" w14:textId="77777777" w:rsidR="004A5421" w:rsidRPr="006A2BA0" w:rsidRDefault="004A5421" w:rsidP="00314940">
            <w:pPr>
              <w:pStyle w:val="TabletextHQSC"/>
              <w:jc w:val="right"/>
            </w:pPr>
            <w:r w:rsidRPr="006A2BA0">
              <w:t>12</w:t>
            </w:r>
          </w:p>
        </w:tc>
      </w:tr>
      <w:tr w:rsidR="004A5421" w:rsidRPr="006A2BA0" w14:paraId="2DC88D71" w14:textId="77777777" w:rsidTr="00314940">
        <w:tc>
          <w:tcPr>
            <w:tcW w:w="4508" w:type="dxa"/>
          </w:tcPr>
          <w:p w14:paraId="3469FA13" w14:textId="77777777" w:rsidR="004A5421" w:rsidRPr="006A2BA0" w:rsidRDefault="004A5421" w:rsidP="004A5421">
            <w:pPr>
              <w:pStyle w:val="TabletextHQSC"/>
            </w:pPr>
            <w:r w:rsidRPr="006A2BA0">
              <w:t>Learning review</w:t>
            </w:r>
          </w:p>
        </w:tc>
        <w:tc>
          <w:tcPr>
            <w:tcW w:w="4508" w:type="dxa"/>
          </w:tcPr>
          <w:p w14:paraId="60AB7C33" w14:textId="77777777" w:rsidR="004A5421" w:rsidRPr="006A2BA0" w:rsidRDefault="004A5421" w:rsidP="00314940">
            <w:pPr>
              <w:pStyle w:val="TabletextHQSC"/>
              <w:jc w:val="right"/>
            </w:pPr>
            <w:r w:rsidRPr="006A2BA0">
              <w:t>7</w:t>
            </w:r>
          </w:p>
        </w:tc>
      </w:tr>
      <w:tr w:rsidR="004A5421" w:rsidRPr="006A2BA0" w14:paraId="61E437C0" w14:textId="77777777" w:rsidTr="00314940">
        <w:tc>
          <w:tcPr>
            <w:tcW w:w="4508" w:type="dxa"/>
          </w:tcPr>
          <w:p w14:paraId="01E6E486" w14:textId="77777777" w:rsidR="004A5421" w:rsidRPr="006A2BA0" w:rsidRDefault="004A5421" w:rsidP="004A5421">
            <w:pPr>
              <w:pStyle w:val="TabletextHQSC"/>
            </w:pPr>
            <w:r w:rsidRPr="006A2BA0">
              <w:t>Pressure injury template</w:t>
            </w:r>
          </w:p>
        </w:tc>
        <w:tc>
          <w:tcPr>
            <w:tcW w:w="4508" w:type="dxa"/>
          </w:tcPr>
          <w:p w14:paraId="11D98C33" w14:textId="77777777" w:rsidR="004A5421" w:rsidRPr="006A2BA0" w:rsidRDefault="004A5421" w:rsidP="00314940">
            <w:pPr>
              <w:pStyle w:val="TabletextHQSC"/>
              <w:jc w:val="right"/>
            </w:pPr>
            <w:r w:rsidRPr="006A2BA0">
              <w:t>2</w:t>
            </w:r>
          </w:p>
        </w:tc>
      </w:tr>
      <w:tr w:rsidR="004A5421" w:rsidRPr="006A2BA0" w14:paraId="546EAE31" w14:textId="77777777" w:rsidTr="00314940">
        <w:tc>
          <w:tcPr>
            <w:tcW w:w="4508" w:type="dxa"/>
          </w:tcPr>
          <w:p w14:paraId="0B3BAC93" w14:textId="77777777" w:rsidR="004A5421" w:rsidRPr="006A2BA0" w:rsidRDefault="004A5421" w:rsidP="004A5421">
            <w:pPr>
              <w:pStyle w:val="TabletextHQSC"/>
            </w:pPr>
            <w:r w:rsidRPr="006A2BA0">
              <w:t>Fall template</w:t>
            </w:r>
          </w:p>
        </w:tc>
        <w:tc>
          <w:tcPr>
            <w:tcW w:w="4508" w:type="dxa"/>
          </w:tcPr>
          <w:p w14:paraId="0B58457E" w14:textId="77777777" w:rsidR="004A5421" w:rsidRPr="006A2BA0" w:rsidRDefault="004A5421" w:rsidP="00314940">
            <w:pPr>
              <w:pStyle w:val="TabletextHQSC"/>
              <w:jc w:val="right"/>
            </w:pPr>
            <w:r w:rsidRPr="006A2BA0">
              <w:t>2</w:t>
            </w:r>
          </w:p>
        </w:tc>
      </w:tr>
      <w:tr w:rsidR="004A5421" w:rsidRPr="006A2BA0" w14:paraId="5291B058" w14:textId="77777777" w:rsidTr="00314940">
        <w:tc>
          <w:tcPr>
            <w:tcW w:w="4508" w:type="dxa"/>
          </w:tcPr>
          <w:p w14:paraId="351D6937" w14:textId="77777777" w:rsidR="004A5421" w:rsidRPr="006A2BA0" w:rsidRDefault="004A5421" w:rsidP="004A5421">
            <w:pPr>
              <w:pStyle w:val="TabletextHQSC"/>
            </w:pPr>
            <w:r w:rsidRPr="006A2BA0">
              <w:t>Ishikawa/Fishbone</w:t>
            </w:r>
          </w:p>
        </w:tc>
        <w:tc>
          <w:tcPr>
            <w:tcW w:w="4508" w:type="dxa"/>
          </w:tcPr>
          <w:p w14:paraId="445A2D89" w14:textId="77777777" w:rsidR="004A5421" w:rsidRPr="006A2BA0" w:rsidRDefault="004A5421" w:rsidP="00314940">
            <w:pPr>
              <w:pStyle w:val="TabletextHQSC"/>
              <w:jc w:val="right"/>
            </w:pPr>
            <w:r w:rsidRPr="006A2BA0">
              <w:t>1</w:t>
            </w:r>
          </w:p>
        </w:tc>
      </w:tr>
      <w:tr w:rsidR="004A5421" w:rsidRPr="006A2BA0" w14:paraId="278CD4DF" w14:textId="77777777" w:rsidTr="00314940">
        <w:tc>
          <w:tcPr>
            <w:tcW w:w="4508" w:type="dxa"/>
          </w:tcPr>
          <w:p w14:paraId="3A26F610" w14:textId="77777777" w:rsidR="004A5421" w:rsidRPr="006A2BA0" w:rsidRDefault="004A5421" w:rsidP="004A5421">
            <w:pPr>
              <w:pStyle w:val="TabletextHQSC"/>
            </w:pPr>
            <w:r w:rsidRPr="006A2BA0">
              <w:t>Not stated/unclear</w:t>
            </w:r>
          </w:p>
        </w:tc>
        <w:tc>
          <w:tcPr>
            <w:tcW w:w="4508" w:type="dxa"/>
          </w:tcPr>
          <w:p w14:paraId="03BA9257" w14:textId="77777777" w:rsidR="004A5421" w:rsidRPr="006A2BA0" w:rsidRDefault="004A5421" w:rsidP="00314940">
            <w:pPr>
              <w:pStyle w:val="TabletextHQSC"/>
              <w:jc w:val="right"/>
            </w:pPr>
            <w:r w:rsidRPr="006A2BA0">
              <w:t>7</w:t>
            </w:r>
          </w:p>
        </w:tc>
      </w:tr>
      <w:tr w:rsidR="004A5421" w:rsidRPr="006A2BA0" w14:paraId="089E2C53" w14:textId="77777777" w:rsidTr="00314940">
        <w:tc>
          <w:tcPr>
            <w:tcW w:w="4508" w:type="dxa"/>
          </w:tcPr>
          <w:p w14:paraId="60CF2A81" w14:textId="77777777" w:rsidR="004A5421" w:rsidRPr="006A2BA0" w:rsidRDefault="004A5421" w:rsidP="004A5421">
            <w:pPr>
              <w:pStyle w:val="TabletextHQSC"/>
            </w:pPr>
          </w:p>
        </w:tc>
        <w:tc>
          <w:tcPr>
            <w:tcW w:w="4508" w:type="dxa"/>
          </w:tcPr>
          <w:p w14:paraId="069E793F" w14:textId="77777777" w:rsidR="004A5421" w:rsidRPr="006A2BA0" w:rsidRDefault="004A5421" w:rsidP="00314940">
            <w:pPr>
              <w:pStyle w:val="TabletextHQSC"/>
              <w:jc w:val="right"/>
              <w:rPr>
                <w:b/>
                <w:bCs/>
              </w:rPr>
            </w:pPr>
            <w:r w:rsidRPr="006A2BA0">
              <w:rPr>
                <w:b/>
                <w:bCs/>
              </w:rPr>
              <w:t>31</w:t>
            </w:r>
          </w:p>
        </w:tc>
      </w:tr>
    </w:tbl>
    <w:p w14:paraId="32BBB0B6" w14:textId="59B8E636" w:rsidR="009756EA" w:rsidRPr="006A2BA0" w:rsidRDefault="009756EA" w:rsidP="009756EA">
      <w:pPr>
        <w:pStyle w:val="BodytextHQSC"/>
        <w:spacing w:before="240"/>
      </w:pPr>
      <w:r w:rsidRPr="006A2BA0">
        <w:t xml:space="preserve">The Commission teaches and recommends the application of the ‘learning review’ methodology by Prof Ivan </w:t>
      </w:r>
      <w:proofErr w:type="spellStart"/>
      <w:r w:rsidRPr="006A2BA0">
        <w:t>Pupulidy</w:t>
      </w:r>
      <w:proofErr w:type="spellEnd"/>
      <w:r w:rsidRPr="006A2BA0">
        <w:t xml:space="preserve"> (</w:t>
      </w:r>
      <w:proofErr w:type="spellStart"/>
      <w:r w:rsidRPr="006A2BA0">
        <w:t>Pupulidy</w:t>
      </w:r>
      <w:proofErr w:type="spellEnd"/>
      <w:r w:rsidRPr="006A2BA0">
        <w:t xml:space="preserve"> and Vesel 2017). We prefer this methodology as it takes a system-wide approach and has a focus on sustainable learning and change (</w:t>
      </w:r>
      <w:r w:rsidR="000C1412">
        <w:t>HQSC</w:t>
      </w:r>
      <w:r w:rsidRPr="006A2BA0">
        <w:t xml:space="preserve"> 2023). While seven of the 31 reports we reviewed identified that the provider had used the learning review methodology, on closer inspection we noted that key steps of the methodology were not followed, such as the use of focus groups, gathering information from all sources or using ‘network of influence’ maps. By missing these key steps, providers lost the opportunity for sense-making and identifying influences, making it difficult to formulate system-level learning opportunities. </w:t>
      </w:r>
    </w:p>
    <w:p w14:paraId="0BB59893" w14:textId="77777777" w:rsidR="00327526" w:rsidRPr="006A2BA0" w:rsidRDefault="00327526" w:rsidP="00327526">
      <w:pPr>
        <w:pStyle w:val="Heading2HQSC"/>
      </w:pPr>
      <w:bookmarkStart w:id="16" w:name="_Toc227753218"/>
      <w:bookmarkStart w:id="17" w:name="_Toc233881859"/>
      <w:r w:rsidRPr="006A2BA0">
        <w:t>Discussion</w:t>
      </w:r>
      <w:bookmarkEnd w:id="16"/>
      <w:bookmarkEnd w:id="17"/>
    </w:p>
    <w:p w14:paraId="50AB047D" w14:textId="77777777" w:rsidR="00327526" w:rsidRPr="006A2BA0" w:rsidRDefault="00327526" w:rsidP="00327526">
      <w:pPr>
        <w:pStyle w:val="BodytextHQSC"/>
      </w:pPr>
      <w:r w:rsidRPr="006A2BA0">
        <w:t>We considered each domain of the SEIPS tools after mapping the learning opportunities. These are discussed below.</w:t>
      </w:r>
    </w:p>
    <w:p w14:paraId="3A51AD20" w14:textId="77777777" w:rsidR="00327526" w:rsidRPr="006A2BA0" w:rsidRDefault="00327526" w:rsidP="00327526">
      <w:pPr>
        <w:pStyle w:val="Heading3HQSC"/>
      </w:pPr>
      <w:bookmarkStart w:id="18" w:name="_Toc227682013"/>
      <w:bookmarkStart w:id="19" w:name="_Toc227753219"/>
      <w:r w:rsidRPr="006A2BA0">
        <w:t>Person factors</w:t>
      </w:r>
      <w:bookmarkEnd w:id="18"/>
      <w:bookmarkEnd w:id="19"/>
    </w:p>
    <w:p w14:paraId="6A6B7CE3" w14:textId="093EBEF2" w:rsidR="00327526" w:rsidRPr="006A2BA0" w:rsidRDefault="00327526" w:rsidP="00327526">
      <w:pPr>
        <w:pStyle w:val="BodytextHQSC"/>
      </w:pPr>
      <w:r w:rsidRPr="006A2BA0">
        <w:t>We categorised 53 learning opportunities in the person-centred domain. This represents the</w:t>
      </w:r>
      <w:r w:rsidR="00314940" w:rsidRPr="006A2BA0">
        <w:t> </w:t>
      </w:r>
      <w:r w:rsidRPr="006A2BA0">
        <w:t xml:space="preserve">highest number of learning opportunities across the six domains. In events that included a fall, 39 were person factors, while for pressure injuries there were 14. ‘Person factors’ describes a learning opportunity involving people, inclusive of </w:t>
      </w:r>
      <w:r w:rsidR="00B21822">
        <w:t>residents</w:t>
      </w:r>
      <w:r w:rsidRPr="006A2BA0">
        <w:t xml:space="preserve">, health care workers and whānau (Holden et al 2013). Summarised examples from the reports include </w:t>
      </w:r>
      <w:r w:rsidRPr="006A2BA0">
        <w:rPr>
          <w:spacing w:val="-2"/>
        </w:rPr>
        <w:t>education sessions given to new staff members; regular training for fall prevention techniques</w:t>
      </w:r>
      <w:r w:rsidRPr="006A2BA0">
        <w:t xml:space="preserve">; a registered nurse being spoken to about the event and keeping family updated. </w:t>
      </w:r>
    </w:p>
    <w:p w14:paraId="38A30F9E" w14:textId="5400A7A5" w:rsidR="00327526" w:rsidRPr="006A2BA0" w:rsidRDefault="00327526" w:rsidP="00327526">
      <w:pPr>
        <w:pStyle w:val="BodytextHQSC"/>
      </w:pPr>
      <w:r w:rsidRPr="006A2BA0">
        <w:t>These person-factor learning opportunities were often targeted at individual health care workers or homogenised groups of health care workers (</w:t>
      </w:r>
      <w:r w:rsidR="00206E4F">
        <w:t>for example</w:t>
      </w:r>
      <w:r w:rsidRPr="006A2BA0">
        <w:t xml:space="preserve">, health care assistants or registered nurses) rather than considering all groups involved in the harm event. </w:t>
      </w:r>
      <w:r w:rsidRPr="00DD4C18">
        <w:t xml:space="preserve">Often missing were learning opportunities orientated towards a </w:t>
      </w:r>
      <w:r w:rsidR="00B21822">
        <w:t>resident</w:t>
      </w:r>
      <w:r w:rsidRPr="00DD4C18">
        <w:t xml:space="preserve"> and/or their whānau</w:t>
      </w:r>
      <w:r w:rsidR="00A834D5">
        <w:t xml:space="preserve"> –</w:t>
      </w:r>
      <w:r w:rsidR="00A563DD" w:rsidRPr="00DD4C18">
        <w:t xml:space="preserve"> most were focussed on </w:t>
      </w:r>
      <w:r w:rsidRPr="00DD4C18">
        <w:t xml:space="preserve">the action or inaction of health care workers. </w:t>
      </w:r>
      <w:r w:rsidR="001265AD" w:rsidRPr="00DD4C18">
        <w:t>For example,</w:t>
      </w:r>
      <w:r w:rsidR="001265AD">
        <w:t xml:space="preserve"> </w:t>
      </w:r>
      <w:r w:rsidR="00E370CA">
        <w:t>health</w:t>
      </w:r>
      <w:r w:rsidR="00A834D5">
        <w:t xml:space="preserve"> </w:t>
      </w:r>
      <w:r w:rsidR="00E370CA">
        <w:lastRenderedPageBreak/>
        <w:t xml:space="preserve">care workers needing to be extra vigilant to the risk of an absconding resident </w:t>
      </w:r>
      <w:r w:rsidR="00A6418E">
        <w:t xml:space="preserve">as opposed to </w:t>
      </w:r>
      <w:r w:rsidR="00F63110">
        <w:t xml:space="preserve">having </w:t>
      </w:r>
      <w:r w:rsidR="00C96F99">
        <w:t>the perimeter of the facility secured for the</w:t>
      </w:r>
      <w:r w:rsidR="00B6173D">
        <w:t xml:space="preserve"> resident’s</w:t>
      </w:r>
      <w:r w:rsidR="00C96F99">
        <w:t xml:space="preserve"> safety. </w:t>
      </w:r>
    </w:p>
    <w:p w14:paraId="629B039A" w14:textId="7E45A0CF" w:rsidR="00327526" w:rsidRPr="006A2BA0" w:rsidRDefault="00327526" w:rsidP="00327526">
      <w:pPr>
        <w:pStyle w:val="BodytextHQSC"/>
      </w:pPr>
      <w:r w:rsidRPr="006A2BA0">
        <w:t xml:space="preserve">Furthermore, the effectiveness of education sessions, reminders and/or training for health care workers should be reviewed </w:t>
      </w:r>
      <w:proofErr w:type="gramStart"/>
      <w:r w:rsidRPr="006A2BA0">
        <w:t>in light of</w:t>
      </w:r>
      <w:proofErr w:type="gramEnd"/>
      <w:r w:rsidRPr="006A2BA0">
        <w:t xml:space="preserve"> the Human Factors and Ergonomics-influenced Hierarchy of Intervention Effectiveness (Lan et al 2026). In this model, education and training is ranked as the lowest in the hierarchy of interventions and is considered a person-focused as opposed to </w:t>
      </w:r>
      <w:r w:rsidR="002B2293">
        <w:t xml:space="preserve">a </w:t>
      </w:r>
      <w:r w:rsidRPr="006A2BA0">
        <w:t>system-focused</w:t>
      </w:r>
      <w:r w:rsidR="002B2293" w:rsidRPr="002B2293">
        <w:t xml:space="preserve"> </w:t>
      </w:r>
      <w:r w:rsidR="002B2293" w:rsidRPr="006A2BA0">
        <w:t>tool</w:t>
      </w:r>
      <w:r w:rsidRPr="006A2BA0">
        <w:t>. Person-focused interventions limit the applicability of the</w:t>
      </w:r>
      <w:r w:rsidR="00314940" w:rsidRPr="006A2BA0">
        <w:t> </w:t>
      </w:r>
      <w:r w:rsidRPr="006A2BA0">
        <w:t xml:space="preserve">learning opportunities across the ARC sector compared </w:t>
      </w:r>
      <w:r w:rsidR="00A834D5">
        <w:t>with</w:t>
      </w:r>
      <w:r w:rsidRPr="006A2BA0">
        <w:t xml:space="preserve"> system-focused learning opportunities</w:t>
      </w:r>
      <w:r w:rsidR="00A834D5">
        <w:t>,</w:t>
      </w:r>
      <w:r w:rsidRPr="006A2BA0">
        <w:t xml:space="preserve"> which can be generalised with a broader application. </w:t>
      </w:r>
    </w:p>
    <w:p w14:paraId="6FE617AA" w14:textId="1D4410E1" w:rsidR="00327526" w:rsidRPr="006A2BA0" w:rsidRDefault="00327526" w:rsidP="00327526">
      <w:pPr>
        <w:pStyle w:val="BodytextHQSC"/>
      </w:pPr>
      <w:r w:rsidRPr="006A2BA0">
        <w:t>It is interesting to note that of the 53 learning opportunities overall for this domain, 39 involved falls. Falls, by their nature, are spontaneous, sudden and not always foreseeable. While health care workers must take preventative action to reduce the likelihood of falls occurring, the learning opportunities are heavily skewed toward person-factor (or health care</w:t>
      </w:r>
      <w:r w:rsidR="004D3817" w:rsidRPr="006A2BA0">
        <w:t> </w:t>
      </w:r>
      <w:r w:rsidRPr="006A2BA0">
        <w:t>worker) behavioural changes or a perceived knowledge deficit.</w:t>
      </w:r>
      <w:r w:rsidR="00344A17" w:rsidRPr="006A2BA0">
        <w:t xml:space="preserve"> </w:t>
      </w:r>
    </w:p>
    <w:p w14:paraId="7B3E3CD8" w14:textId="77777777" w:rsidR="00C16272" w:rsidRPr="006A2BA0" w:rsidRDefault="00C16272" w:rsidP="00C16272">
      <w:pPr>
        <w:pStyle w:val="Heading3HQSC"/>
      </w:pPr>
      <w:bookmarkStart w:id="20" w:name="_Toc227682014"/>
      <w:bookmarkStart w:id="21" w:name="_Toc227753220"/>
      <w:r w:rsidRPr="006A2BA0">
        <w:t>Tools and technology</w:t>
      </w:r>
      <w:bookmarkEnd w:id="20"/>
      <w:bookmarkEnd w:id="21"/>
    </w:p>
    <w:p w14:paraId="1DB11971" w14:textId="243E49B4" w:rsidR="00C16272" w:rsidRPr="006A2BA0" w:rsidRDefault="00C16272" w:rsidP="00C16272">
      <w:pPr>
        <w:pStyle w:val="BodytextHQSC"/>
      </w:pPr>
      <w:r w:rsidRPr="006A2BA0">
        <w:t>Twelve learning opportunities were identified involving the role of tools and technology. This domain concerns the objects that people use to do, or assist, their work (Holden et al 2013). In the ARC context, pressure-relieving mattresses, sensor mats, hip protectors and so on are</w:t>
      </w:r>
      <w:r w:rsidR="004D3817" w:rsidRPr="006A2BA0">
        <w:t> </w:t>
      </w:r>
      <w:r w:rsidRPr="006A2BA0">
        <w:t xml:space="preserve">widely used to prevent pressure injuries and falls. Summarised examples of the learning opportunities the reports identified include trial of an automated turning system, staff ensuring a sensor mat was in place and the use of security equipment. </w:t>
      </w:r>
    </w:p>
    <w:p w14:paraId="2E29B7FA" w14:textId="6EBDD757" w:rsidR="00C16272" w:rsidRPr="006A2BA0" w:rsidRDefault="00C16272" w:rsidP="00C16272">
      <w:pPr>
        <w:pStyle w:val="BodytextHQSC"/>
      </w:pPr>
      <w:r w:rsidRPr="006A2BA0">
        <w:t xml:space="preserve">The low number of learning opportunities in this domain seems to be indicative of inward-looking solutions in place of providers looking up and out to other possibilities or engaging with other system-wide learnings. Many new tools and technologies are emerging in this space: for example, wearable devices that can detect high impact sustained by the body, alerting health care workers to a fall and thermal imaging devices to detect the depth of pressure injuries, particularly for people with darker skin tones. None of the reports we analysed pointed towards exploration of new technologies or tools. </w:t>
      </w:r>
    </w:p>
    <w:p w14:paraId="1183C6F1" w14:textId="440E61C5" w:rsidR="00C16272" w:rsidRPr="006A2BA0" w:rsidRDefault="00C16272" w:rsidP="00C16272">
      <w:pPr>
        <w:pStyle w:val="BodytextHQSC"/>
      </w:pPr>
      <w:r w:rsidRPr="006A2BA0">
        <w:t>On the other hand, the reports appropriately identified a need not only to utilise the tools and</w:t>
      </w:r>
      <w:r w:rsidR="004D3817" w:rsidRPr="006A2BA0">
        <w:t> </w:t>
      </w:r>
      <w:r w:rsidRPr="006A2BA0">
        <w:t xml:space="preserve">technology that are already available in the facilities but also to utilise them at an earlier stage, where possible. For example, some reviews identified that earlier use of a pressure-relieving mattress may have prevented deterioration of a stage 1 pressure injury to a stage 3 injury. Of course, the key is to first identify the presence of the stage 1 pressure injury so an intervention can occur. </w:t>
      </w:r>
    </w:p>
    <w:p w14:paraId="0773CC38" w14:textId="698B5066" w:rsidR="00C16272" w:rsidRPr="006A2BA0" w:rsidRDefault="00C16272" w:rsidP="00C16272">
      <w:pPr>
        <w:pStyle w:val="BodytextHQSC"/>
      </w:pPr>
      <w:r w:rsidRPr="006A2BA0">
        <w:t>System</w:t>
      </w:r>
      <w:r w:rsidR="00827403">
        <w:t>-</w:t>
      </w:r>
      <w:r w:rsidRPr="006A2BA0">
        <w:t xml:space="preserve">learning opportunities were missed at the facility level in this domain too. Providers could be doing more to review their tools and technology to ensure that they are still meeting current needs: for example, consideration of whether the brakes on a low-frame walker are working and whether it is at the appropriate height for a particular </w:t>
      </w:r>
      <w:r w:rsidR="00B21822">
        <w:t>resident</w:t>
      </w:r>
      <w:r w:rsidRPr="006A2BA0">
        <w:t xml:space="preserve">. This also acts as a demonstration of interconnections between the person-factor domain and the tools-and-technology domain. </w:t>
      </w:r>
    </w:p>
    <w:p w14:paraId="1D5F8121" w14:textId="77777777" w:rsidR="00C16272" w:rsidRPr="006A2BA0" w:rsidRDefault="00C16272" w:rsidP="00C16272">
      <w:pPr>
        <w:pStyle w:val="Heading3HQSC"/>
      </w:pPr>
      <w:bookmarkStart w:id="22" w:name="_Toc227682015"/>
      <w:bookmarkStart w:id="23" w:name="_Toc227753221"/>
      <w:r w:rsidRPr="006A2BA0">
        <w:lastRenderedPageBreak/>
        <w:t>Task factors</w:t>
      </w:r>
      <w:bookmarkEnd w:id="22"/>
      <w:bookmarkEnd w:id="23"/>
    </w:p>
    <w:p w14:paraId="73E9926C" w14:textId="3F019178" w:rsidR="00C16272" w:rsidRPr="006A2BA0" w:rsidRDefault="00C16272" w:rsidP="00C16272">
      <w:pPr>
        <w:pStyle w:val="BodytextHQSC"/>
      </w:pPr>
      <w:r w:rsidRPr="006A2BA0">
        <w:t xml:space="preserve">We identified 42 learning opportunities as belonging to the task-factors domain. Task factors are attributes </w:t>
      </w:r>
      <w:r w:rsidR="00827403">
        <w:t>like</w:t>
      </w:r>
      <w:r w:rsidRPr="006A2BA0">
        <w:t xml:space="preserve"> the difficulty, complexity and sequence of the specific actions health care workers carry out in their work (Holden et al 2013). This was the second largest populated domain, with a proportionate spread across falls, pressure injuries and other events. Summarised examples of learning opportunities in this domain included earlier review of polypharmacy interactions, regular audits to track fall rates, earlier attendance to</w:t>
      </w:r>
      <w:r w:rsidR="00A45B99">
        <w:t> </w:t>
      </w:r>
      <w:r w:rsidRPr="006A2BA0">
        <w:t xml:space="preserve">incontinence, intentional </w:t>
      </w:r>
      <w:proofErr w:type="spellStart"/>
      <w:r w:rsidRPr="006A2BA0">
        <w:t>rounding</w:t>
      </w:r>
      <w:proofErr w:type="spellEnd"/>
      <w:r w:rsidRPr="006A2BA0">
        <w:t xml:space="preserve"> and encouragement of mobility.</w:t>
      </w:r>
    </w:p>
    <w:p w14:paraId="62A330DB" w14:textId="406C4FE1" w:rsidR="00C16272" w:rsidRPr="006A2BA0" w:rsidRDefault="00C16272" w:rsidP="00C16272">
      <w:pPr>
        <w:pStyle w:val="BodytextHQSC"/>
      </w:pPr>
      <w:r w:rsidRPr="006A2BA0">
        <w:t xml:space="preserve">The learning opportunities in this domain were focused on the health care worker ‘doing more of’ a task or ‘ensuring’ a task was done. Often, reviews did not </w:t>
      </w:r>
      <w:r w:rsidR="005B1B32">
        <w:t>consider</w:t>
      </w:r>
      <w:r w:rsidRPr="006A2BA0">
        <w:t xml:space="preserve"> why the task was not done, how the task was going to be performed in the context of all the</w:t>
      </w:r>
      <w:r w:rsidR="00A45B99">
        <w:t> </w:t>
      </w:r>
      <w:r w:rsidRPr="006A2BA0">
        <w:t>other tasks that need to be completed or how the task would be done at an increased frequency. More system-focused learning opportunities need to be considered in this domain, but these need to be grounded in ‘work-as-done’ as opposed to ‘work-as-imagined’ (Hollnagel 2017). Of note, providers did not comment in this context that further resourcing was required to achieve task completion or increased frequency. One provider stated that, as</w:t>
      </w:r>
      <w:r w:rsidR="004D3817" w:rsidRPr="006A2BA0">
        <w:t> </w:t>
      </w:r>
      <w:r w:rsidRPr="006A2BA0">
        <w:t>their staffing levels did not allow for increased supervision of the resident, a particular event had been unavoidable, and therefore no learning opportunities were present.</w:t>
      </w:r>
    </w:p>
    <w:p w14:paraId="29962E48" w14:textId="77777777" w:rsidR="00C16272" w:rsidRPr="006A2BA0" w:rsidRDefault="00C16272" w:rsidP="00C16272">
      <w:pPr>
        <w:pStyle w:val="Heading3HQSC"/>
      </w:pPr>
      <w:bookmarkStart w:id="24" w:name="_Toc227682016"/>
      <w:bookmarkStart w:id="25" w:name="_Toc227753222"/>
      <w:r w:rsidRPr="006A2BA0">
        <w:t>Work environment</w:t>
      </w:r>
      <w:bookmarkEnd w:id="24"/>
      <w:bookmarkEnd w:id="25"/>
    </w:p>
    <w:p w14:paraId="017A4924" w14:textId="03B0B482" w:rsidR="00C16272" w:rsidRPr="006A2BA0" w:rsidRDefault="00C16272" w:rsidP="00C16272">
      <w:pPr>
        <w:pStyle w:val="BodytextHQSC"/>
      </w:pPr>
      <w:r w:rsidRPr="006A2BA0">
        <w:t>We identified three learning opportunities as belonging to the work environment domain. In</w:t>
      </w:r>
      <w:r w:rsidR="004D3817" w:rsidRPr="006A2BA0">
        <w:t> </w:t>
      </w:r>
      <w:r w:rsidRPr="006A2BA0">
        <w:t>this context, the work environment means the physical environment, inclusive of lighting, noise, temperature, layout, space, vibrations</w:t>
      </w:r>
      <w:r w:rsidR="00F356FD">
        <w:t>,</w:t>
      </w:r>
      <w:r w:rsidRPr="006A2BA0">
        <w:t xml:space="preserve"> etc (Holden et al 2013). Unsurprisingly, these opportunities came from the reports where a fall was the harm experienced, where providers recognised the design and layout of the environment as a key contributing factor. Examples from reports that identified learning opportunities related to the work environment included a rubbish bin having been left in the bedroom and a toilet at reception that should have been disestablished as it was too small for residents to use with mobility aids. </w:t>
      </w:r>
    </w:p>
    <w:p w14:paraId="4B549A68" w14:textId="36E4FDB1" w:rsidR="00C16272" w:rsidRPr="006A2BA0" w:rsidRDefault="00C16272" w:rsidP="00C16272">
      <w:pPr>
        <w:pStyle w:val="BodytextHQSC"/>
      </w:pPr>
      <w:r w:rsidRPr="006A2BA0">
        <w:t>Given the amount of SAC 1 and 2 falls providers reported to the Commission for the reporting year, we had anticipated a higher number of learning opportunities related to the work environment. We note that it is important that residents of ARC facilities view facilities as their home, and that, accordingly, providers aim to maximise their sense of autonomy; this</w:t>
      </w:r>
      <w:r w:rsidR="004D3817" w:rsidRPr="006A2BA0">
        <w:t> </w:t>
      </w:r>
      <w:r w:rsidRPr="006A2BA0">
        <w:t xml:space="preserve">therefore does limit the extent to which providers can alter or control the physical environment. Even so, it is important for providers to consider shared (communal) and identified high-risk spaces, such as bathroom or toilet facilities, from the viewpoint of safety and the need to prevent falls. </w:t>
      </w:r>
    </w:p>
    <w:p w14:paraId="0E15D63E" w14:textId="77777777" w:rsidR="002F1042" w:rsidRPr="006A2BA0" w:rsidRDefault="002F1042" w:rsidP="002F1042">
      <w:pPr>
        <w:pStyle w:val="Heading3HQSC"/>
      </w:pPr>
      <w:bookmarkStart w:id="26" w:name="_Toc227682017"/>
      <w:bookmarkStart w:id="27" w:name="_Toc227753223"/>
      <w:r w:rsidRPr="006A2BA0">
        <w:t>Organisation</w:t>
      </w:r>
      <w:bookmarkEnd w:id="26"/>
      <w:bookmarkEnd w:id="27"/>
    </w:p>
    <w:p w14:paraId="76C8B1BB" w14:textId="6AC134FC" w:rsidR="002F1042" w:rsidRPr="006A2BA0" w:rsidRDefault="002F1042" w:rsidP="002F1042">
      <w:pPr>
        <w:pStyle w:val="BodytextHQSC"/>
      </w:pPr>
      <w:r w:rsidRPr="006A2BA0">
        <w:t xml:space="preserve">We identified 14 learning opportunities as belonging to the organisation domain. This domain concerns structures that are put in place or inform the work being undertaken within a particular facility (Holden et al 2013). This could include rosters, daily schedules, staffing </w:t>
      </w:r>
      <w:r w:rsidRPr="006A2BA0">
        <w:rPr>
          <w:spacing w:val="-2"/>
        </w:rPr>
        <w:t>levels, policies and procedures and organisational culture. Examples of learning opportunities</w:t>
      </w:r>
      <w:r w:rsidRPr="006A2BA0">
        <w:t xml:space="preserve"> identified in the reports included review of a falls management policy by physiotherapist, </w:t>
      </w:r>
      <w:r w:rsidRPr="006A2BA0">
        <w:lastRenderedPageBreak/>
        <w:t>guidelines for post-fall management, a review of policy and a reminder to staff to read the pressure injury policy.</w:t>
      </w:r>
      <w:r w:rsidR="00344A17" w:rsidRPr="006A2BA0">
        <w:t xml:space="preserve"> </w:t>
      </w:r>
    </w:p>
    <w:p w14:paraId="0C574F65" w14:textId="5DB7B2C8" w:rsidR="002F1042" w:rsidRPr="006A2BA0" w:rsidRDefault="002F1042" w:rsidP="002F1042">
      <w:pPr>
        <w:pStyle w:val="BodytextHQSC"/>
      </w:pPr>
      <w:r w:rsidRPr="006A2BA0">
        <w:t xml:space="preserve">In this context, providers emphasised the need to update or add to policies, procedures and guidelines. We note that this is not the only solution. Furthermore, providers should note the effectiveness of reviewing or modifying a policy </w:t>
      </w:r>
      <w:proofErr w:type="gramStart"/>
      <w:r w:rsidRPr="006A2BA0">
        <w:t>in light of</w:t>
      </w:r>
      <w:proofErr w:type="gramEnd"/>
      <w:r w:rsidRPr="006A2BA0">
        <w:t xml:space="preserve"> a harm event. Again, the Hierarchy of Intervention Effectiveness highlights that ‘rules and policies’ are less effective along with people-focused interventions as opposed to a more effective system-focused intervention (Lan et al 2026). We recommend that providers within the ARC sector look more broadly into</w:t>
      </w:r>
      <w:r w:rsidR="00F42F50" w:rsidRPr="006A2BA0">
        <w:t> </w:t>
      </w:r>
      <w:r w:rsidRPr="006A2BA0">
        <w:t>work patterns, rostering schedules and organisational culture to understand what the correlation is between these and harm events.</w:t>
      </w:r>
    </w:p>
    <w:p w14:paraId="2B24DBB2" w14:textId="77777777" w:rsidR="002F1042" w:rsidRPr="006A2BA0" w:rsidRDefault="002F1042" w:rsidP="002F1042">
      <w:pPr>
        <w:pStyle w:val="Heading3HQSC"/>
      </w:pPr>
      <w:bookmarkStart w:id="28" w:name="_Toc227682018"/>
      <w:bookmarkStart w:id="29" w:name="_Toc227753224"/>
      <w:r w:rsidRPr="006A2BA0">
        <w:t>External influence</w:t>
      </w:r>
      <w:bookmarkEnd w:id="28"/>
      <w:bookmarkEnd w:id="29"/>
    </w:p>
    <w:p w14:paraId="400CF309" w14:textId="05D766BE" w:rsidR="002F1042" w:rsidRPr="006A2BA0" w:rsidRDefault="002F1042" w:rsidP="002F1042">
      <w:pPr>
        <w:pStyle w:val="BodytextHQSC"/>
      </w:pPr>
      <w:r w:rsidRPr="006A2BA0">
        <w:t>No learning opportunities were identified within the external influence domain. This domain relates to the influence of national and international policy, government decisions, laws, regulation and professional bodies (Holden et al 2013). At times</w:t>
      </w:r>
      <w:r w:rsidR="00327B79">
        <w:t>,</w:t>
      </w:r>
      <w:r w:rsidRPr="006A2BA0">
        <w:t xml:space="preserve"> the relationship between external influences and a particular harm event can seem remote or, if it has been identified, insurmountable. However, these external influences do have a bearing on care delivery and represent an opportunity for escalation of concerns. </w:t>
      </w:r>
    </w:p>
    <w:p w14:paraId="32B36674" w14:textId="77777777" w:rsidR="002F1042" w:rsidRPr="006A2BA0" w:rsidRDefault="002F1042" w:rsidP="002F1042">
      <w:pPr>
        <w:pStyle w:val="Heading3HQSC"/>
      </w:pPr>
      <w:bookmarkStart w:id="30" w:name="_Toc227682019"/>
      <w:bookmarkStart w:id="31" w:name="_Toc227753225"/>
      <w:r w:rsidRPr="006A2BA0">
        <w:t>Interconnections between the domains</w:t>
      </w:r>
      <w:bookmarkEnd w:id="30"/>
      <w:bookmarkEnd w:id="31"/>
    </w:p>
    <w:p w14:paraId="276E51D9" w14:textId="338D3ED9" w:rsidR="002F1042" w:rsidRPr="006A2BA0" w:rsidRDefault="002F1042" w:rsidP="002F1042">
      <w:pPr>
        <w:pStyle w:val="BodytextHQSC"/>
      </w:pPr>
      <w:r w:rsidRPr="006A2BA0">
        <w:t xml:space="preserve">A key element of SEIPS is identifying interconnections across the domains, as Figure 1 above demonstrates. The domains interact with each other. By focusing on the interactions, an understanding about what is shaping the process or situation emerges (Holden et al 2013). There is fluidity involved in categorising aspects into </w:t>
      </w:r>
      <w:proofErr w:type="gramStart"/>
      <w:r w:rsidRPr="006A2BA0">
        <w:t>particular domains</w:t>
      </w:r>
      <w:proofErr w:type="gramEnd"/>
      <w:r w:rsidRPr="006A2BA0">
        <w:t xml:space="preserve"> because of these interconnections. While this review did not identify specific interconnections, as the reports we reviewed did not find them, we acknowledge that they are an important aspect when using the SEIPS tool. </w:t>
      </w:r>
    </w:p>
    <w:p w14:paraId="40E18D8D" w14:textId="77777777" w:rsidR="005B41D0" w:rsidRPr="006A2BA0" w:rsidRDefault="005B41D0" w:rsidP="005B41D0">
      <w:pPr>
        <w:pStyle w:val="BodytextHQSC"/>
      </w:pPr>
      <w:bookmarkStart w:id="32" w:name="_Toc227753226"/>
      <w:r w:rsidRPr="006A2BA0">
        <w:br w:type="page"/>
      </w:r>
    </w:p>
    <w:p w14:paraId="6101A0B7" w14:textId="044A12B8" w:rsidR="005B41D0" w:rsidRPr="006A2BA0" w:rsidRDefault="005B41D0" w:rsidP="005B41D0">
      <w:pPr>
        <w:pStyle w:val="Heading1"/>
      </w:pPr>
      <w:r w:rsidRPr="006A2BA0">
        <w:lastRenderedPageBreak/>
        <w:t>Next steps</w:t>
      </w:r>
      <w:bookmarkEnd w:id="32"/>
    </w:p>
    <w:p w14:paraId="167F74A2" w14:textId="68CA3297" w:rsidR="005B41D0" w:rsidRPr="006A2BA0" w:rsidRDefault="005B41D0" w:rsidP="005B41D0">
      <w:pPr>
        <w:pStyle w:val="BodytextHQSC"/>
      </w:pPr>
      <w:r w:rsidRPr="006A2BA0">
        <w:t>The Commission can support providers within the ARC sector to improve the quality and safety of services and meet the purpose of the policy (</w:t>
      </w:r>
      <w:r w:rsidR="000C1412">
        <w:t>HQSC</w:t>
      </w:r>
      <w:r w:rsidRPr="006A2BA0">
        <w:t xml:space="preserve"> 2023) in the following ways.</w:t>
      </w:r>
    </w:p>
    <w:p w14:paraId="32AA30C3" w14:textId="7A357E52" w:rsidR="005B41D0" w:rsidRPr="006A2BA0" w:rsidRDefault="005B41D0" w:rsidP="005B41D0">
      <w:pPr>
        <w:pStyle w:val="BulletsHQSC"/>
      </w:pPr>
      <w:r w:rsidRPr="006A2BA0">
        <w:t xml:space="preserve">Continue to build on the established robust reporting culture that is already present among ARC providers. While the Commission has received an encouraging </w:t>
      </w:r>
      <w:r w:rsidR="00510452">
        <w:t>number</w:t>
      </w:r>
      <w:r w:rsidRPr="006A2BA0">
        <w:t xml:space="preserve"> of part A reports, it is equally important that providers review the reported harm evidenced by the submission of a part B report, including the upload of the anonymised report into</w:t>
      </w:r>
      <w:r w:rsidR="00A45B99">
        <w:t> </w:t>
      </w:r>
      <w:r w:rsidRPr="006A2BA0">
        <w:t xml:space="preserve">the submission portal. The Commission is considering mandatory submission of review reports in the future so it can continue to build a rich database to support future qualitative analysis. </w:t>
      </w:r>
    </w:p>
    <w:p w14:paraId="461D6E60" w14:textId="088B81EF" w:rsidR="005B41D0" w:rsidRPr="006A2BA0" w:rsidRDefault="005B41D0" w:rsidP="005B41D0">
      <w:pPr>
        <w:pStyle w:val="BulletsHQSC"/>
      </w:pPr>
      <w:r w:rsidRPr="006A2BA0">
        <w:t>The Commission actively supports ARC providers in recognising and reporting clinical harm events beyond falls and pressure injuries, as outlined in the SAC guide for ARC (</w:t>
      </w:r>
      <w:r w:rsidR="000C1412">
        <w:t>HQSC</w:t>
      </w:r>
      <w:r w:rsidRPr="006A2BA0">
        <w:t xml:space="preserve"> 2024a).</w:t>
      </w:r>
    </w:p>
    <w:p w14:paraId="722021ED" w14:textId="49183862" w:rsidR="005B41D0" w:rsidRDefault="005B41D0" w:rsidP="005B41D0">
      <w:pPr>
        <w:pStyle w:val="BulletsHQSC"/>
      </w:pPr>
      <w:r w:rsidRPr="006A2BA0">
        <w:t>The Commission actively supports ARC providers in using the learning review methodology for SAC 1 and 2 harm events. This methodology is designed to review harm events from a system-level perspective and will assist in identifying learning opportunities at that level (rather than people-focused interventions). This includes promoting awareness of the templates on the Commission’s website for falls and pressure injuries (</w:t>
      </w:r>
      <w:r w:rsidR="000C1412">
        <w:t>HQSC</w:t>
      </w:r>
      <w:r w:rsidRPr="006A2BA0">
        <w:t xml:space="preserve"> 2024b, 2024c). The Commission designed those templates in line with the learning review principles and the policy. They are also informed by the SEIPS tool, which was applied in this analysis. </w:t>
      </w:r>
    </w:p>
    <w:p w14:paraId="1E89C54B" w14:textId="2B6970AF" w:rsidR="00C96AA9" w:rsidRDefault="003B7FF4" w:rsidP="003B7FF4">
      <w:pPr>
        <w:pStyle w:val="BulletsHQSC"/>
      </w:pPr>
      <w:r w:rsidRPr="006A2BA0">
        <w:t>The Commission will share</w:t>
      </w:r>
      <w:r w:rsidR="00865B7B">
        <w:t xml:space="preserve"> this analysis </w:t>
      </w:r>
      <w:r w:rsidR="0037160F">
        <w:t xml:space="preserve">and learnings </w:t>
      </w:r>
      <w:r w:rsidRPr="006A2BA0">
        <w:t>with the ARC sector at the ARC Quality Leaders forum.</w:t>
      </w:r>
    </w:p>
    <w:p w14:paraId="73120D00" w14:textId="77777777" w:rsidR="003B7FF4" w:rsidRDefault="003B7FF4" w:rsidP="003B7FF4">
      <w:pPr>
        <w:pStyle w:val="BulletsHQSC"/>
        <w:numPr>
          <w:ilvl w:val="0"/>
          <w:numId w:val="0"/>
        </w:numPr>
        <w:ind w:left="397" w:hanging="397"/>
      </w:pPr>
    </w:p>
    <w:p w14:paraId="0353085C" w14:textId="77777777" w:rsidR="003B7FF4" w:rsidRDefault="003B7FF4" w:rsidP="003B7FF4">
      <w:pPr>
        <w:pStyle w:val="BulletsHQSC"/>
        <w:numPr>
          <w:ilvl w:val="0"/>
          <w:numId w:val="0"/>
        </w:numPr>
        <w:ind w:left="397" w:hanging="397"/>
      </w:pPr>
    </w:p>
    <w:p w14:paraId="7A98264A" w14:textId="77777777" w:rsidR="003B7FF4" w:rsidRDefault="003B7FF4" w:rsidP="003B7FF4">
      <w:pPr>
        <w:pStyle w:val="BulletsHQSC"/>
        <w:numPr>
          <w:ilvl w:val="0"/>
          <w:numId w:val="0"/>
        </w:numPr>
        <w:ind w:left="397" w:hanging="397"/>
      </w:pPr>
    </w:p>
    <w:p w14:paraId="79F66054" w14:textId="77777777" w:rsidR="003B7FF4" w:rsidRDefault="003B7FF4" w:rsidP="003B7FF4">
      <w:pPr>
        <w:pStyle w:val="BulletsHQSC"/>
        <w:numPr>
          <w:ilvl w:val="0"/>
          <w:numId w:val="0"/>
        </w:numPr>
        <w:ind w:left="397" w:hanging="397"/>
      </w:pPr>
    </w:p>
    <w:p w14:paraId="7C2D83F0" w14:textId="77777777" w:rsidR="003B7FF4" w:rsidRDefault="003B7FF4" w:rsidP="003B7FF4">
      <w:pPr>
        <w:pStyle w:val="BulletsHQSC"/>
        <w:numPr>
          <w:ilvl w:val="0"/>
          <w:numId w:val="0"/>
        </w:numPr>
        <w:ind w:left="397" w:hanging="397"/>
      </w:pPr>
    </w:p>
    <w:p w14:paraId="10AFA20D" w14:textId="77777777" w:rsidR="003B7FF4" w:rsidRDefault="003B7FF4" w:rsidP="003B7FF4">
      <w:pPr>
        <w:pStyle w:val="BulletsHQSC"/>
        <w:numPr>
          <w:ilvl w:val="0"/>
          <w:numId w:val="0"/>
        </w:numPr>
        <w:ind w:left="397" w:hanging="397"/>
      </w:pPr>
    </w:p>
    <w:p w14:paraId="69906D70" w14:textId="77777777" w:rsidR="003B7FF4" w:rsidRDefault="003B7FF4" w:rsidP="003B7FF4">
      <w:pPr>
        <w:pStyle w:val="BulletsHQSC"/>
        <w:numPr>
          <w:ilvl w:val="0"/>
          <w:numId w:val="0"/>
        </w:numPr>
        <w:ind w:left="397" w:hanging="397"/>
      </w:pPr>
    </w:p>
    <w:p w14:paraId="3C661392" w14:textId="77777777" w:rsidR="003B7FF4" w:rsidRDefault="003B7FF4" w:rsidP="003B7FF4">
      <w:pPr>
        <w:pStyle w:val="BulletsHQSC"/>
        <w:numPr>
          <w:ilvl w:val="0"/>
          <w:numId w:val="0"/>
        </w:numPr>
        <w:ind w:left="397" w:hanging="397"/>
      </w:pPr>
    </w:p>
    <w:p w14:paraId="75D108C9" w14:textId="77777777" w:rsidR="003B7FF4" w:rsidRDefault="003B7FF4" w:rsidP="003B7FF4">
      <w:pPr>
        <w:pStyle w:val="BulletsHQSC"/>
        <w:numPr>
          <w:ilvl w:val="0"/>
          <w:numId w:val="0"/>
        </w:numPr>
        <w:ind w:left="397" w:hanging="397"/>
      </w:pPr>
    </w:p>
    <w:p w14:paraId="1E8A4484" w14:textId="77777777" w:rsidR="003B7FF4" w:rsidRDefault="003B7FF4" w:rsidP="003B7FF4">
      <w:pPr>
        <w:pStyle w:val="BulletsHQSC"/>
        <w:numPr>
          <w:ilvl w:val="0"/>
          <w:numId w:val="0"/>
        </w:numPr>
        <w:ind w:left="397" w:hanging="397"/>
      </w:pPr>
    </w:p>
    <w:p w14:paraId="07D76198" w14:textId="77777777" w:rsidR="003B7FF4" w:rsidRDefault="003B7FF4" w:rsidP="003B7FF4">
      <w:pPr>
        <w:pStyle w:val="BulletsHQSC"/>
        <w:numPr>
          <w:ilvl w:val="0"/>
          <w:numId w:val="0"/>
        </w:numPr>
        <w:ind w:left="397" w:hanging="397"/>
      </w:pPr>
    </w:p>
    <w:p w14:paraId="722E095A" w14:textId="77777777" w:rsidR="003B7FF4" w:rsidRPr="003B7FF4" w:rsidRDefault="003B7FF4" w:rsidP="003B7FF4">
      <w:pPr>
        <w:pStyle w:val="BulletsHQSC"/>
        <w:numPr>
          <w:ilvl w:val="0"/>
          <w:numId w:val="0"/>
        </w:numPr>
        <w:ind w:left="397" w:hanging="397"/>
      </w:pPr>
    </w:p>
    <w:p w14:paraId="5304AA1F" w14:textId="77777777" w:rsidR="00C96AA9" w:rsidRPr="006A2BA0" w:rsidRDefault="00C96AA9" w:rsidP="00C96AA9">
      <w:pPr>
        <w:pStyle w:val="Heading1"/>
      </w:pPr>
      <w:bookmarkStart w:id="33" w:name="_Toc227753227"/>
      <w:r w:rsidRPr="006A2BA0">
        <w:lastRenderedPageBreak/>
        <w:t>Conclusion</w:t>
      </w:r>
      <w:bookmarkEnd w:id="33"/>
    </w:p>
    <w:p w14:paraId="1645B338" w14:textId="2D9FD233" w:rsidR="00966F6A" w:rsidRDefault="00C96AA9" w:rsidP="00C96AA9">
      <w:pPr>
        <w:pStyle w:val="BodytextHQSC"/>
      </w:pPr>
      <w:r w:rsidRPr="006A2BA0">
        <w:t>This report provides an analysis of ARC providers’ first year of reporting harm events to the</w:t>
      </w:r>
      <w:r w:rsidR="00344A17" w:rsidRPr="006A2BA0">
        <w:t> </w:t>
      </w:r>
      <w:r w:rsidRPr="006A2BA0">
        <w:t xml:space="preserve">Commission. </w:t>
      </w:r>
      <w:r w:rsidR="00682F4B">
        <w:t>ARC</w:t>
      </w:r>
      <w:r w:rsidRPr="006A2BA0">
        <w:t xml:space="preserve"> providers were familiar with reporting pressure injuries to </w:t>
      </w:r>
      <w:proofErr w:type="spellStart"/>
      <w:r w:rsidRPr="006A2BA0">
        <w:t>HealthCERT</w:t>
      </w:r>
      <w:proofErr w:type="spellEnd"/>
      <w:r w:rsidRPr="006A2BA0">
        <w:t xml:space="preserve"> </w:t>
      </w:r>
      <w:r w:rsidR="00943F2B">
        <w:t>before</w:t>
      </w:r>
      <w:r w:rsidRPr="006A2BA0">
        <w:t xml:space="preserve"> this; that familiarity is demonstrated by the high number of reports the Commission received. The Commission encourages the ARC sector to widen its perspective on harm, to give transparency to harm events beyond pressure injuries and falls (</w:t>
      </w:r>
      <w:r w:rsidR="00966F6A">
        <w:t>for example</w:t>
      </w:r>
      <w:r w:rsidRPr="006A2BA0">
        <w:t>, medication administration, transitions of care). This report has identified that there is scope for improvement in develop</w:t>
      </w:r>
      <w:r w:rsidR="00966F6A">
        <w:t>ing</w:t>
      </w:r>
      <w:r w:rsidRPr="006A2BA0">
        <w:t xml:space="preserve"> learning opportunities from reviews that focus on system learning rather than person</w:t>
      </w:r>
      <w:r w:rsidR="00966F6A">
        <w:t>-</w:t>
      </w:r>
      <w:r w:rsidRPr="006A2BA0">
        <w:t xml:space="preserve">focused improvement. </w:t>
      </w:r>
    </w:p>
    <w:p w14:paraId="74FF5375" w14:textId="491A6FF4" w:rsidR="00C96AA9" w:rsidRPr="006A2BA0" w:rsidRDefault="00C96AA9" w:rsidP="00C96AA9">
      <w:pPr>
        <w:pStyle w:val="BodytextHQSC"/>
      </w:pPr>
      <w:r w:rsidRPr="006A2BA0">
        <w:t xml:space="preserve">Such a change in focus will bring about sustainable and systemic change that will further enhance the quality and safety of care our older population receives and support the committed health workforce who care for them. </w:t>
      </w:r>
    </w:p>
    <w:p w14:paraId="063FA75F" w14:textId="42B38DA4" w:rsidR="00C96AA9" w:rsidRPr="006A2BA0" w:rsidRDefault="00C96AA9">
      <w:pPr>
        <w:spacing w:after="200"/>
        <w:rPr>
          <w:rFonts w:cs="Arial"/>
        </w:rPr>
      </w:pPr>
      <w:r w:rsidRPr="006A2BA0">
        <w:br w:type="page"/>
      </w:r>
    </w:p>
    <w:p w14:paraId="4D0999B1" w14:textId="77777777" w:rsidR="00A5038A" w:rsidRPr="006A2BA0" w:rsidRDefault="00A5038A" w:rsidP="00A5038A">
      <w:pPr>
        <w:pStyle w:val="Heading1"/>
      </w:pPr>
      <w:r w:rsidRPr="006A2BA0">
        <w:lastRenderedPageBreak/>
        <w:t>References</w:t>
      </w:r>
    </w:p>
    <w:p w14:paraId="045A01F5" w14:textId="77777777" w:rsidR="00A5038A" w:rsidRPr="006A2BA0" w:rsidRDefault="00A5038A" w:rsidP="00A5038A">
      <w:pPr>
        <w:pStyle w:val="BodytextHQSC"/>
      </w:pPr>
      <w:r w:rsidRPr="006A2BA0">
        <w:t xml:space="preserve">Ervin K, Finlayson S, Cross M. 2012. The management of behavioural problems associated with dementia in rural aged care. </w:t>
      </w:r>
      <w:r w:rsidRPr="006A2BA0">
        <w:rPr>
          <w:i/>
          <w:iCs/>
        </w:rPr>
        <w:t xml:space="preserve">Collegian </w:t>
      </w:r>
      <w:r w:rsidRPr="006A2BA0">
        <w:t xml:space="preserve">19(2). </w:t>
      </w:r>
    </w:p>
    <w:p w14:paraId="522E0718" w14:textId="77777777" w:rsidR="000C1412" w:rsidRPr="006A2BA0" w:rsidRDefault="000C1412" w:rsidP="000C1412">
      <w:pPr>
        <w:pStyle w:val="BodytextHQSC"/>
      </w:pPr>
      <w:r w:rsidRPr="006A2BA0">
        <w:t xml:space="preserve">Holden R, </w:t>
      </w:r>
      <w:proofErr w:type="spellStart"/>
      <w:r w:rsidRPr="006A2BA0">
        <w:t>Carayon</w:t>
      </w:r>
      <w:proofErr w:type="spellEnd"/>
      <w:r w:rsidRPr="006A2BA0">
        <w:t xml:space="preserve"> P, </w:t>
      </w:r>
      <w:proofErr w:type="spellStart"/>
      <w:r w:rsidRPr="006A2BA0">
        <w:t>Gurses</w:t>
      </w:r>
      <w:proofErr w:type="spellEnd"/>
      <w:r w:rsidRPr="006A2BA0">
        <w:t xml:space="preserve"> A, et al. 2013. SEIPS 2.0: A human factors framework for studying and improving the work of healthcare professionals and patients. </w:t>
      </w:r>
      <w:r w:rsidRPr="006A2BA0">
        <w:rPr>
          <w:i/>
        </w:rPr>
        <w:t>Ergonomics</w:t>
      </w:r>
      <w:r w:rsidRPr="006A2BA0">
        <w:t xml:space="preserve"> </w:t>
      </w:r>
      <w:r w:rsidRPr="006A2BA0">
        <w:rPr>
          <w:iCs/>
        </w:rPr>
        <w:t>56</w:t>
      </w:r>
      <w:r w:rsidRPr="006A2BA0">
        <w:t xml:space="preserve">(11): 30. </w:t>
      </w:r>
    </w:p>
    <w:p w14:paraId="4AD2F983" w14:textId="77777777" w:rsidR="000C1412" w:rsidRPr="006A2BA0" w:rsidRDefault="000C1412" w:rsidP="000C1412">
      <w:pPr>
        <w:pStyle w:val="BodytextHQSC"/>
      </w:pPr>
      <w:r w:rsidRPr="006A2BA0">
        <w:t>Hollnagel E</w:t>
      </w:r>
      <w:r w:rsidRPr="006A2BA0">
        <w:rPr>
          <w:i/>
          <w:iCs/>
        </w:rPr>
        <w:t xml:space="preserve">. </w:t>
      </w:r>
      <w:r w:rsidRPr="006A2BA0">
        <w:t xml:space="preserve">2017. Can we ever imagine how work is done? </w:t>
      </w:r>
      <w:proofErr w:type="spellStart"/>
      <w:r w:rsidRPr="006A2BA0">
        <w:rPr>
          <w:i/>
          <w:iCs/>
        </w:rPr>
        <w:t>HindSight</w:t>
      </w:r>
      <w:proofErr w:type="spellEnd"/>
      <w:r w:rsidRPr="006A2BA0">
        <w:t xml:space="preserve"> 25. </w:t>
      </w:r>
    </w:p>
    <w:p w14:paraId="0C09C1A4" w14:textId="59BDA17A" w:rsidR="00A5038A" w:rsidRPr="006A2BA0" w:rsidRDefault="000C1412" w:rsidP="008B0DE1">
      <w:pPr>
        <w:pStyle w:val="BodytextHQSC"/>
      </w:pPr>
      <w:r>
        <w:t>HQSC</w:t>
      </w:r>
      <w:r w:rsidR="00A5038A" w:rsidRPr="006A2BA0">
        <w:t xml:space="preserve">. 2023. </w:t>
      </w:r>
      <w:r w:rsidR="00A5038A" w:rsidRPr="006A2BA0">
        <w:rPr>
          <w:i/>
          <w:iCs/>
        </w:rPr>
        <w:t xml:space="preserve">Healing, learning and improving from harm: National adverse events policy 2023 | Te </w:t>
      </w:r>
      <w:proofErr w:type="spellStart"/>
      <w:r w:rsidR="00A5038A" w:rsidRPr="006A2BA0">
        <w:rPr>
          <w:i/>
          <w:iCs/>
        </w:rPr>
        <w:t>whakaora</w:t>
      </w:r>
      <w:proofErr w:type="spellEnd"/>
      <w:r w:rsidR="00A5038A" w:rsidRPr="006A2BA0">
        <w:rPr>
          <w:i/>
          <w:iCs/>
        </w:rPr>
        <w:t xml:space="preserve">, </w:t>
      </w:r>
      <w:proofErr w:type="spellStart"/>
      <w:r w:rsidR="00A5038A" w:rsidRPr="006A2BA0">
        <w:rPr>
          <w:i/>
          <w:iCs/>
        </w:rPr>
        <w:t>te</w:t>
      </w:r>
      <w:proofErr w:type="spellEnd"/>
      <w:r w:rsidR="00A5038A" w:rsidRPr="006A2BA0">
        <w:rPr>
          <w:i/>
          <w:iCs/>
        </w:rPr>
        <w:t xml:space="preserve"> </w:t>
      </w:r>
      <w:proofErr w:type="spellStart"/>
      <w:r w:rsidR="00A5038A" w:rsidRPr="006A2BA0">
        <w:rPr>
          <w:i/>
          <w:iCs/>
        </w:rPr>
        <w:t>ako</w:t>
      </w:r>
      <w:proofErr w:type="spellEnd"/>
      <w:r w:rsidR="00A5038A" w:rsidRPr="006A2BA0">
        <w:rPr>
          <w:i/>
          <w:iCs/>
        </w:rPr>
        <w:t xml:space="preserve"> me </w:t>
      </w:r>
      <w:proofErr w:type="spellStart"/>
      <w:r w:rsidR="00A5038A" w:rsidRPr="006A2BA0">
        <w:rPr>
          <w:i/>
          <w:iCs/>
        </w:rPr>
        <w:t>te</w:t>
      </w:r>
      <w:proofErr w:type="spellEnd"/>
      <w:r w:rsidR="00A5038A" w:rsidRPr="006A2BA0">
        <w:rPr>
          <w:i/>
          <w:iCs/>
        </w:rPr>
        <w:t xml:space="preserve"> </w:t>
      </w:r>
      <w:proofErr w:type="spellStart"/>
      <w:r w:rsidR="00A5038A" w:rsidRPr="006A2BA0">
        <w:rPr>
          <w:i/>
          <w:iCs/>
        </w:rPr>
        <w:t>whakapai</w:t>
      </w:r>
      <w:proofErr w:type="spellEnd"/>
      <w:r w:rsidR="00A5038A" w:rsidRPr="006A2BA0">
        <w:rPr>
          <w:i/>
          <w:iCs/>
        </w:rPr>
        <w:t xml:space="preserve"> </w:t>
      </w:r>
      <w:proofErr w:type="spellStart"/>
      <w:r w:rsidR="00A5038A" w:rsidRPr="006A2BA0">
        <w:rPr>
          <w:i/>
          <w:iCs/>
        </w:rPr>
        <w:t>ake</w:t>
      </w:r>
      <w:proofErr w:type="spellEnd"/>
      <w:r w:rsidR="00A5038A" w:rsidRPr="006A2BA0">
        <w:rPr>
          <w:i/>
          <w:iCs/>
        </w:rPr>
        <w:t xml:space="preserve"> </w:t>
      </w:r>
      <w:proofErr w:type="spellStart"/>
      <w:r w:rsidR="00A5038A" w:rsidRPr="006A2BA0">
        <w:rPr>
          <w:i/>
          <w:iCs/>
        </w:rPr>
        <w:t>i</w:t>
      </w:r>
      <w:proofErr w:type="spellEnd"/>
      <w:r w:rsidR="00A5038A" w:rsidRPr="006A2BA0">
        <w:rPr>
          <w:i/>
          <w:iCs/>
        </w:rPr>
        <w:t xml:space="preserve"> </w:t>
      </w:r>
      <w:proofErr w:type="spellStart"/>
      <w:r w:rsidR="00A5038A" w:rsidRPr="006A2BA0">
        <w:rPr>
          <w:i/>
          <w:iCs/>
        </w:rPr>
        <w:t>te</w:t>
      </w:r>
      <w:proofErr w:type="spellEnd"/>
      <w:r w:rsidR="00A5038A" w:rsidRPr="006A2BA0">
        <w:rPr>
          <w:i/>
          <w:iCs/>
        </w:rPr>
        <w:t xml:space="preserve"> kino: Te </w:t>
      </w:r>
      <w:proofErr w:type="spellStart"/>
      <w:r w:rsidR="00A5038A" w:rsidRPr="006A2BA0">
        <w:rPr>
          <w:i/>
          <w:iCs/>
        </w:rPr>
        <w:t>kaupapa</w:t>
      </w:r>
      <w:proofErr w:type="spellEnd"/>
      <w:r w:rsidR="00A5038A" w:rsidRPr="006A2BA0">
        <w:rPr>
          <w:i/>
          <w:iCs/>
        </w:rPr>
        <w:t xml:space="preserve"> here ā-motu </w:t>
      </w:r>
      <w:proofErr w:type="spellStart"/>
      <w:r w:rsidR="00A5038A" w:rsidRPr="006A2BA0">
        <w:rPr>
          <w:i/>
          <w:iCs/>
        </w:rPr>
        <w:t>mō</w:t>
      </w:r>
      <w:proofErr w:type="spellEnd"/>
      <w:r w:rsidR="00A5038A" w:rsidRPr="006A2BA0">
        <w:rPr>
          <w:i/>
          <w:iCs/>
        </w:rPr>
        <w:t xml:space="preserve"> </w:t>
      </w:r>
      <w:proofErr w:type="spellStart"/>
      <w:r w:rsidR="00A5038A" w:rsidRPr="006A2BA0">
        <w:rPr>
          <w:i/>
          <w:iCs/>
        </w:rPr>
        <w:t>ngā</w:t>
      </w:r>
      <w:proofErr w:type="spellEnd"/>
      <w:r w:rsidR="00A5038A" w:rsidRPr="006A2BA0">
        <w:rPr>
          <w:i/>
          <w:iCs/>
        </w:rPr>
        <w:t xml:space="preserve"> mahi </w:t>
      </w:r>
      <w:proofErr w:type="spellStart"/>
      <w:r w:rsidR="00A5038A" w:rsidRPr="006A2BA0">
        <w:rPr>
          <w:i/>
          <w:iCs/>
        </w:rPr>
        <w:t>tūkino</w:t>
      </w:r>
      <w:proofErr w:type="spellEnd"/>
      <w:r w:rsidR="00A5038A" w:rsidRPr="006A2BA0">
        <w:rPr>
          <w:i/>
          <w:iCs/>
        </w:rPr>
        <w:t xml:space="preserve"> 2023</w:t>
      </w:r>
      <w:r w:rsidR="00A5038A" w:rsidRPr="006A2BA0">
        <w:t>. Wellington: Health Quality &amp; Safety Commission</w:t>
      </w:r>
      <w:r w:rsidRPr="000C1412">
        <w:t xml:space="preserve"> </w:t>
      </w:r>
      <w:r w:rsidRPr="006A2BA0">
        <w:t>Te Tāhū Hauora</w:t>
      </w:r>
      <w:r>
        <w:t xml:space="preserve"> (HQSC)</w:t>
      </w:r>
      <w:r w:rsidR="00A5038A" w:rsidRPr="006A2BA0">
        <w:t>.</w:t>
      </w:r>
    </w:p>
    <w:p w14:paraId="6D565571" w14:textId="2962E251" w:rsidR="00A5038A" w:rsidRPr="006A2BA0" w:rsidRDefault="000C1412" w:rsidP="000E43C5">
      <w:pPr>
        <w:pStyle w:val="BodytextHQSC"/>
      </w:pPr>
      <w:r>
        <w:t>HQSC</w:t>
      </w:r>
      <w:r w:rsidR="00A5038A" w:rsidRPr="006A2BA0">
        <w:t xml:space="preserve">. 2024a. </w:t>
      </w:r>
      <w:r w:rsidR="00A5038A" w:rsidRPr="006A2BA0">
        <w:rPr>
          <w:i/>
          <w:iCs/>
        </w:rPr>
        <w:t xml:space="preserve">Aged residential care Severity Assessment Code (SAC) examples. </w:t>
      </w:r>
      <w:r w:rsidRPr="006A2BA0">
        <w:t>Wellington: Health Quality &amp; Safety Commission</w:t>
      </w:r>
      <w:r w:rsidRPr="000C1412">
        <w:t xml:space="preserve"> </w:t>
      </w:r>
      <w:r w:rsidRPr="006A2BA0">
        <w:t>Te Tāhū Hauora</w:t>
      </w:r>
      <w:r>
        <w:t xml:space="preserve"> (HQSC). </w:t>
      </w:r>
      <w:r w:rsidR="00A5038A" w:rsidRPr="006A2BA0">
        <w:t>URL:</w:t>
      </w:r>
      <w:r w:rsidR="00A5038A" w:rsidRPr="006A2BA0">
        <w:rPr>
          <w:i/>
          <w:iCs/>
        </w:rPr>
        <w:t xml:space="preserve"> </w:t>
      </w:r>
      <w:hyperlink r:id="rId22" w:history="1">
        <w:r w:rsidR="00A5038A" w:rsidRPr="006A2BA0">
          <w:rPr>
            <w:rStyle w:val="Hyperlink"/>
          </w:rPr>
          <w:t>hqsc.govt.nz/assets/Our-work/System-safety/Adverse-events/Publications-resources/SAC-examples-for-ARC.pdf</w:t>
        </w:r>
      </w:hyperlink>
      <w:r w:rsidR="00A5038A" w:rsidRPr="006A2BA0">
        <w:rPr>
          <w:rStyle w:val="Hyperlink"/>
        </w:rPr>
        <w:t xml:space="preserve"> </w:t>
      </w:r>
      <w:r w:rsidR="00A5038A" w:rsidRPr="006A2BA0">
        <w:t>(accessed 7 May 2026).</w:t>
      </w:r>
    </w:p>
    <w:p w14:paraId="2418B7FA" w14:textId="66C67949" w:rsidR="00A5038A" w:rsidRPr="006A2BA0" w:rsidRDefault="000C1412" w:rsidP="000E43C5">
      <w:pPr>
        <w:pStyle w:val="BodytextHQSC"/>
      </w:pPr>
      <w:r>
        <w:t>HQSC</w:t>
      </w:r>
      <w:r w:rsidR="00A5038A" w:rsidRPr="006A2BA0">
        <w:t xml:space="preserve">. 2024b. Fall template. </w:t>
      </w:r>
      <w:r w:rsidRPr="006A2BA0">
        <w:t>Wellington: Health Quality &amp; Safety Commission</w:t>
      </w:r>
      <w:r w:rsidRPr="000C1412">
        <w:t xml:space="preserve"> </w:t>
      </w:r>
      <w:r w:rsidRPr="006A2BA0">
        <w:t>Te Tāhū Hauora</w:t>
      </w:r>
      <w:r>
        <w:t xml:space="preserve"> (HQSC). </w:t>
      </w:r>
      <w:r w:rsidR="00A5038A" w:rsidRPr="006A2BA0">
        <w:t xml:space="preserve">URL: </w:t>
      </w:r>
      <w:hyperlink r:id="rId23" w:history="1">
        <w:r w:rsidR="00A5038A" w:rsidRPr="006A2BA0">
          <w:rPr>
            <w:rStyle w:val="Hyperlink"/>
          </w:rPr>
          <w:t>hqsc.govt.nz/assets/Our-work/System-safety/Adverse-events/Publications-resources/Falls-Template-2024.pdf</w:t>
        </w:r>
      </w:hyperlink>
      <w:r w:rsidR="00A5038A" w:rsidRPr="006A2BA0">
        <w:t xml:space="preserve"> (accessed 7 May 2026).</w:t>
      </w:r>
    </w:p>
    <w:p w14:paraId="6356C943" w14:textId="3E7A3377" w:rsidR="00A5038A" w:rsidRPr="006A2BA0" w:rsidRDefault="000C1412" w:rsidP="000E43C5">
      <w:pPr>
        <w:pStyle w:val="BodytextHQSC"/>
      </w:pPr>
      <w:r>
        <w:t>HQSC</w:t>
      </w:r>
      <w:r w:rsidR="00A5038A" w:rsidRPr="006A2BA0">
        <w:t xml:space="preserve">. 2024c. Pressure injury template. </w:t>
      </w:r>
      <w:r w:rsidRPr="006A2BA0">
        <w:t>Wellington: Health Quality &amp; Safety Commission</w:t>
      </w:r>
      <w:r w:rsidRPr="000C1412">
        <w:t xml:space="preserve"> </w:t>
      </w:r>
      <w:r w:rsidRPr="006A2BA0">
        <w:t>Te Tāhū Hauora</w:t>
      </w:r>
      <w:r>
        <w:t xml:space="preserve"> (HQSC). </w:t>
      </w:r>
      <w:r w:rsidR="00A5038A" w:rsidRPr="006A2BA0">
        <w:t xml:space="preserve">URL: </w:t>
      </w:r>
      <w:hyperlink r:id="rId24" w:history="1">
        <w:r w:rsidR="00A5038A" w:rsidRPr="006A2BA0">
          <w:rPr>
            <w:rStyle w:val="Hyperlink"/>
          </w:rPr>
          <w:t>hqsc.govt.nz/assets/Our-work/System-safety/Adverse-events/Publications-resources/Pressure-Injury-Template-2024.pdf</w:t>
        </w:r>
      </w:hyperlink>
      <w:r w:rsidR="00A5038A" w:rsidRPr="006A2BA0">
        <w:t xml:space="preserve"> (accessed 7 May 2026).</w:t>
      </w:r>
    </w:p>
    <w:p w14:paraId="1373E835" w14:textId="5E963038" w:rsidR="00A5038A" w:rsidRPr="006A2BA0" w:rsidRDefault="000C1412" w:rsidP="000E43C5">
      <w:pPr>
        <w:pStyle w:val="BodytextHQSC"/>
      </w:pPr>
      <w:r>
        <w:t>HQSC</w:t>
      </w:r>
      <w:r w:rsidR="00A5038A" w:rsidRPr="006A2BA0">
        <w:t xml:space="preserve">. 2024d. </w:t>
      </w:r>
      <w:r w:rsidR="00A5038A" w:rsidRPr="006A2BA0">
        <w:rPr>
          <w:i/>
          <w:iCs/>
        </w:rPr>
        <w:t>Severity Assessment Code</w:t>
      </w:r>
      <w:r w:rsidR="000240BD" w:rsidRPr="006A2BA0">
        <w:rPr>
          <w:i/>
          <w:iCs/>
        </w:rPr>
        <w:t> </w:t>
      </w:r>
      <w:r w:rsidR="00A5038A" w:rsidRPr="006A2BA0">
        <w:rPr>
          <w:i/>
          <w:iCs/>
        </w:rPr>
        <w:t xml:space="preserve">rating and process tool for Healing, learning and improving from harm. </w:t>
      </w:r>
      <w:r w:rsidRPr="006A2BA0">
        <w:t>Wellington: Health Quality &amp; Safety Commission</w:t>
      </w:r>
      <w:r w:rsidRPr="000C1412">
        <w:t xml:space="preserve"> </w:t>
      </w:r>
      <w:r w:rsidRPr="006A2BA0">
        <w:t>Te Tāhū Hauora</w:t>
      </w:r>
      <w:r>
        <w:t xml:space="preserve"> (HQSC). </w:t>
      </w:r>
      <w:r w:rsidR="00A5038A" w:rsidRPr="006A2BA0">
        <w:t xml:space="preserve">URL: </w:t>
      </w:r>
      <w:hyperlink r:id="rId25" w:history="1">
        <w:r w:rsidR="00A5038A" w:rsidRPr="006A2BA0">
          <w:rPr>
            <w:rStyle w:val="Hyperlink"/>
          </w:rPr>
          <w:t>hqsc.govt.nz/assets/Our-work/System-safety/Adverse-events/Publications-resources/HLIH_poster_SAC_A3_March2024_final_web.pdf</w:t>
        </w:r>
      </w:hyperlink>
      <w:r w:rsidR="00A5038A" w:rsidRPr="006A2BA0">
        <w:t xml:space="preserve"> (accessed 7 May 2026).</w:t>
      </w:r>
    </w:p>
    <w:p w14:paraId="73A6A6DC" w14:textId="02148402" w:rsidR="00A5038A" w:rsidRPr="006A2BA0" w:rsidRDefault="00A5038A" w:rsidP="000E43C5">
      <w:pPr>
        <w:pStyle w:val="BodytextHQSC"/>
      </w:pPr>
      <w:r w:rsidRPr="006A2BA0">
        <w:t>Lan M, Weatherby H, Pozzobon, D. 2026. Using the hierarchy of intervention effectiveness to</w:t>
      </w:r>
      <w:r w:rsidR="000240BD" w:rsidRPr="006A2BA0">
        <w:t> </w:t>
      </w:r>
      <w:r w:rsidRPr="006A2BA0">
        <w:t xml:space="preserve">improve the quality of recommendations developed during critical patient safety incident reviews. </w:t>
      </w:r>
      <w:r w:rsidRPr="006A2BA0">
        <w:rPr>
          <w:i/>
          <w:iCs/>
        </w:rPr>
        <w:t xml:space="preserve">Healthcare Management Forum </w:t>
      </w:r>
      <w:r w:rsidRPr="006A2BA0">
        <w:t xml:space="preserve">39(1). </w:t>
      </w:r>
    </w:p>
    <w:p w14:paraId="5B5C3F87" w14:textId="1B79B8FD" w:rsidR="00A5038A" w:rsidRPr="006A2BA0" w:rsidRDefault="00A5038A" w:rsidP="000E43C5">
      <w:pPr>
        <w:pStyle w:val="BodytextHQSC"/>
      </w:pPr>
      <w:proofErr w:type="spellStart"/>
      <w:r w:rsidRPr="006A2BA0">
        <w:t>Pupulidy</w:t>
      </w:r>
      <w:proofErr w:type="spellEnd"/>
      <w:r w:rsidRPr="006A2BA0">
        <w:t xml:space="preserve"> I, Vesel C. 2017. The learning review: adding to the accident investigation toolbox. In: </w:t>
      </w:r>
      <w:r w:rsidRPr="006A2BA0">
        <w:rPr>
          <w:i/>
          <w:iCs/>
        </w:rPr>
        <w:t xml:space="preserve">Proceedings of the 53rd </w:t>
      </w:r>
      <w:proofErr w:type="spellStart"/>
      <w:r w:rsidRPr="006A2BA0">
        <w:rPr>
          <w:i/>
          <w:iCs/>
        </w:rPr>
        <w:t>ESReDA</w:t>
      </w:r>
      <w:proofErr w:type="spellEnd"/>
      <w:r w:rsidRPr="006A2BA0">
        <w:rPr>
          <w:i/>
          <w:iCs/>
        </w:rPr>
        <w:t xml:space="preserve"> seminar, Ispra, Italy</w:t>
      </w:r>
      <w:r w:rsidRPr="006A2BA0">
        <w:t xml:space="preserve">. European Commission Joint Research Centre. (pp 255–61). URL: </w:t>
      </w:r>
      <w:hyperlink r:id="rId26" w:history="1">
        <w:r w:rsidR="000240BD" w:rsidRPr="006A2BA0">
          <w:rPr>
            <w:rStyle w:val="Hyperlink"/>
          </w:rPr>
          <w:t>www.safetydifferently.com/wp-content/uploads/2018/08/171024TheLearningReview.pdf</w:t>
        </w:r>
      </w:hyperlink>
      <w:r w:rsidRPr="006A2BA0">
        <w:t xml:space="preserve"> (accessed 7 May 2026).</w:t>
      </w:r>
    </w:p>
    <w:p w14:paraId="7CFE16C0" w14:textId="77777777" w:rsidR="00A5038A" w:rsidRPr="006A2BA0" w:rsidRDefault="00A5038A" w:rsidP="000E43C5">
      <w:pPr>
        <w:pStyle w:val="BodytextHQSC"/>
      </w:pPr>
      <w:r w:rsidRPr="006A2BA0">
        <w:t xml:space="preserve">Stephens C, Szabo A, Breheny M. 2022. Social inequalities over the </w:t>
      </w:r>
      <w:proofErr w:type="spellStart"/>
      <w:r w:rsidRPr="006A2BA0">
        <w:t>lifecourse</w:t>
      </w:r>
      <w:proofErr w:type="spellEnd"/>
      <w:r w:rsidRPr="006A2BA0">
        <w:t xml:space="preserve"> and healthy ageing in Aotearoa/New Zealand: differences by Māori ethnicity and gender. </w:t>
      </w:r>
      <w:r w:rsidRPr="006A2BA0">
        <w:rPr>
          <w:i/>
          <w:iCs/>
        </w:rPr>
        <w:t xml:space="preserve">Ageing and Society Cambridge </w:t>
      </w:r>
      <w:r w:rsidRPr="006A2BA0">
        <w:t xml:space="preserve">42(4). </w:t>
      </w:r>
    </w:p>
    <w:p w14:paraId="75959033" w14:textId="77777777" w:rsidR="000E43C5" w:rsidRPr="006A2BA0" w:rsidRDefault="000E43C5" w:rsidP="000E43C5">
      <w:pPr>
        <w:pStyle w:val="BodytextHQSC"/>
      </w:pPr>
    </w:p>
    <w:sectPr w:rsidR="000E43C5" w:rsidRPr="006A2BA0" w:rsidSect="0017350C">
      <w:headerReference w:type="even" r:id="rId27"/>
      <w:headerReference w:type="default" r:id="rId28"/>
      <w:footerReference w:type="even" r:id="rId29"/>
      <w:footerReference w:type="default" r:id="rId30"/>
      <w:pgSz w:w="11906" w:h="16838" w:code="9"/>
      <w:pgMar w:top="1418" w:right="1418" w:bottom="1418" w:left="1418"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21F0C3" w14:textId="77777777" w:rsidR="001508FD" w:rsidRDefault="001508FD" w:rsidP="003C45E1">
      <w:pPr>
        <w:spacing w:after="0" w:line="240" w:lineRule="auto"/>
      </w:pPr>
      <w:r>
        <w:separator/>
      </w:r>
    </w:p>
  </w:endnote>
  <w:endnote w:type="continuationSeparator" w:id="0">
    <w:p w14:paraId="56930836" w14:textId="77777777" w:rsidR="001508FD" w:rsidRDefault="001508FD" w:rsidP="003C45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0"/>
      <w:gridCol w:w="3020"/>
      <w:gridCol w:w="3020"/>
    </w:tblGrid>
    <w:tr w:rsidR="02279334" w14:paraId="2F13AA89" w14:textId="77777777" w:rsidTr="02279334">
      <w:trPr>
        <w:trHeight w:val="300"/>
      </w:trPr>
      <w:tc>
        <w:tcPr>
          <w:tcW w:w="3020" w:type="dxa"/>
        </w:tcPr>
        <w:p w14:paraId="5A62C867" w14:textId="3FFE5EE9" w:rsidR="02279334" w:rsidRDefault="02279334" w:rsidP="02279334">
          <w:pPr>
            <w:pStyle w:val="Header"/>
            <w:ind w:left="-115"/>
          </w:pPr>
        </w:p>
      </w:tc>
      <w:tc>
        <w:tcPr>
          <w:tcW w:w="3020" w:type="dxa"/>
        </w:tcPr>
        <w:p w14:paraId="2A679F56" w14:textId="3963AC48" w:rsidR="02279334" w:rsidRDefault="02279334" w:rsidP="02279334">
          <w:pPr>
            <w:pStyle w:val="Header"/>
            <w:jc w:val="center"/>
          </w:pPr>
        </w:p>
      </w:tc>
      <w:tc>
        <w:tcPr>
          <w:tcW w:w="3020" w:type="dxa"/>
        </w:tcPr>
        <w:p w14:paraId="4A91DFD9" w14:textId="3D4DAFF0" w:rsidR="02279334" w:rsidRDefault="02279334" w:rsidP="02279334">
          <w:pPr>
            <w:pStyle w:val="Header"/>
            <w:ind w:right="-115"/>
            <w:jc w:val="right"/>
          </w:pPr>
        </w:p>
      </w:tc>
    </w:tr>
  </w:tbl>
  <w:p w14:paraId="119BF219" w14:textId="0E27D0B1" w:rsidR="02279334" w:rsidRDefault="02279334" w:rsidP="022793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8779842"/>
      <w:docPartObj>
        <w:docPartGallery w:val="Page Numbers (Bottom of Page)"/>
        <w:docPartUnique/>
      </w:docPartObj>
    </w:sdtPr>
    <w:sdtContent>
      <w:sdt>
        <w:sdtPr>
          <w:id w:val="-1769616900"/>
          <w:docPartObj>
            <w:docPartGallery w:val="Page Numbers (Top of Page)"/>
            <w:docPartUnique/>
          </w:docPartObj>
        </w:sdtPr>
        <w:sdtContent>
          <w:p w14:paraId="00AE74B3" w14:textId="77777777" w:rsidR="004907D7" w:rsidRPr="00314261" w:rsidRDefault="00314261" w:rsidP="0017350C">
            <w:pPr>
              <w:pStyle w:val="Footer"/>
            </w:pPr>
            <w:r w:rsidRPr="00314261">
              <w:t>[Title of document]</w:t>
            </w:r>
            <w:r w:rsidRPr="00314261">
              <w:tab/>
            </w:r>
            <w:r w:rsidRPr="00314261">
              <w:tab/>
            </w:r>
            <w:r w:rsidRPr="00314261">
              <w:fldChar w:fldCharType="begin"/>
            </w:r>
            <w:r w:rsidRPr="00314261">
              <w:instrText xml:space="preserve"> PAGE </w:instrText>
            </w:r>
            <w:r w:rsidRPr="00314261">
              <w:fldChar w:fldCharType="separate"/>
            </w:r>
            <w:r w:rsidRPr="00314261">
              <w:rPr>
                <w:noProof/>
              </w:rPr>
              <w:t>2</w:t>
            </w:r>
            <w:r w:rsidRPr="00314261">
              <w:fldChar w:fldCharType="end"/>
            </w:r>
            <w:r w:rsidRPr="00314261">
              <w:t xml:space="preserve"> of </w:t>
            </w:r>
            <w:r>
              <w:fldChar w:fldCharType="begin"/>
            </w:r>
            <w:r>
              <w:instrText>NUMPAGES</w:instrText>
            </w:r>
            <w:r>
              <w:fldChar w:fldCharType="separate"/>
            </w:r>
            <w:r w:rsidRPr="00314261">
              <w:rPr>
                <w:noProof/>
              </w:rPr>
              <w:t>2</w:t>
            </w:r>
            <w: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F2085" w14:textId="63F3CCE6" w:rsidR="0017350C" w:rsidRDefault="0017350C" w:rsidP="0017350C">
    <w:pPr>
      <w:pStyle w:val="Footer"/>
    </w:pPr>
    <w:r w:rsidRPr="00314261">
      <w:fldChar w:fldCharType="begin"/>
    </w:r>
    <w:r w:rsidRPr="00314261">
      <w:instrText xml:space="preserve"> PAGE </w:instrText>
    </w:r>
    <w:r w:rsidRPr="00314261">
      <w:fldChar w:fldCharType="separate"/>
    </w:r>
    <w:r>
      <w:t>3</w:t>
    </w:r>
    <w:r w:rsidRPr="00314261">
      <w:fldChar w:fldCharType="end"/>
    </w:r>
    <w:r w:rsidRPr="00314261">
      <w:t xml:space="preserve"> of </w:t>
    </w:r>
    <w:r>
      <w:fldChar w:fldCharType="begin"/>
    </w:r>
    <w:r>
      <w:instrText>NUMPAGES</w:instrText>
    </w:r>
    <w:r>
      <w:fldChar w:fldCharType="separate"/>
    </w:r>
    <w:r>
      <w:t>4</w:t>
    </w:r>
    <w:r>
      <w:fldChar w:fldCharType="end"/>
    </w:r>
    <w:r>
      <w:tab/>
    </w:r>
    <w:sdt>
      <w:sdtPr>
        <w:id w:val="-1067563459"/>
        <w:docPartObj>
          <w:docPartGallery w:val="Page Numbers (Top of Page)"/>
          <w:docPartUnique/>
        </w:docPartObj>
      </w:sdtPr>
      <w:sdtContent>
        <w:sdt>
          <w:sdtPr>
            <w:id w:val="-1514757209"/>
            <w:docPartObj>
              <w:docPartGallery w:val="Page Numbers (Bottom of Page)"/>
              <w:docPartUnique/>
            </w:docPartObj>
          </w:sdtPr>
          <w:sdtContent>
            <w:sdt>
              <w:sdtPr>
                <w:id w:val="-1415397103"/>
                <w:docPartObj>
                  <w:docPartGallery w:val="Page Numbers (Top of Page)"/>
                  <w:docPartUnique/>
                </w:docPartObj>
              </w:sdtPr>
              <w:sdtContent>
                <w:r w:rsidR="001664F4">
                  <w:t xml:space="preserve">Aged residential care analysis of harm (adverse) events: </w:t>
                </w:r>
              </w:sdtContent>
            </w:sdt>
          </w:sdtContent>
        </w:sdt>
        <w:r w:rsidR="001664F4">
          <w:t>1 July 2024</w:t>
        </w:r>
        <w:r w:rsidR="00C32BEC">
          <w:t xml:space="preserve"> to </w:t>
        </w:r>
        <w:r w:rsidR="001664F4">
          <w:t>30 June 2025</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690E8" w14:textId="0F12083D" w:rsidR="0017350C" w:rsidRPr="00314261" w:rsidRDefault="00000000" w:rsidP="00C22FDD">
    <w:pPr>
      <w:pStyle w:val="Footer"/>
    </w:pPr>
    <w:sdt>
      <w:sdtPr>
        <w:id w:val="1955210856"/>
        <w:docPartObj>
          <w:docPartGallery w:val="Page Numbers (Bottom of Page)"/>
          <w:docPartUnique/>
        </w:docPartObj>
      </w:sdtPr>
      <w:sdtContent>
        <w:sdt>
          <w:sdtPr>
            <w:id w:val="-1312715153"/>
            <w:docPartObj>
              <w:docPartGallery w:val="Page Numbers (Top of Page)"/>
              <w:docPartUnique/>
            </w:docPartObj>
          </w:sdtPr>
          <w:sdtContent>
            <w:r w:rsidR="00C22FDD">
              <w:t xml:space="preserve">Aged residential care analysis of harm (adverse) events: </w:t>
            </w:r>
          </w:sdtContent>
        </w:sdt>
      </w:sdtContent>
    </w:sdt>
    <w:r w:rsidR="00C22FDD">
      <w:t>1 July 2024</w:t>
    </w:r>
    <w:r w:rsidR="00C32BEC">
      <w:t xml:space="preserve"> to </w:t>
    </w:r>
    <w:r w:rsidR="00C22FDD">
      <w:t>30 June 2025</w:t>
    </w:r>
    <w:r w:rsidR="0017350C">
      <w:tab/>
    </w:r>
    <w:r w:rsidR="0017350C" w:rsidRPr="00314261">
      <w:fldChar w:fldCharType="begin"/>
    </w:r>
    <w:r w:rsidR="0017350C" w:rsidRPr="00314261">
      <w:instrText xml:space="preserve"> PAGE </w:instrText>
    </w:r>
    <w:r w:rsidR="0017350C" w:rsidRPr="00314261">
      <w:fldChar w:fldCharType="separate"/>
    </w:r>
    <w:r w:rsidR="0017350C">
      <w:t>3</w:t>
    </w:r>
    <w:r w:rsidR="0017350C" w:rsidRPr="00314261">
      <w:fldChar w:fldCharType="end"/>
    </w:r>
    <w:r w:rsidR="0017350C" w:rsidRPr="00314261">
      <w:t xml:space="preserve"> of </w:t>
    </w:r>
    <w:r>
      <w:fldChar w:fldCharType="begin"/>
    </w:r>
    <w:r>
      <w:instrText>NUMPAGES</w:instrText>
    </w:r>
    <w:r>
      <w:fldChar w:fldCharType="separate"/>
    </w:r>
    <w:r w:rsidR="0017350C">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BDB99D" w14:textId="77777777" w:rsidR="001508FD" w:rsidRDefault="001508FD" w:rsidP="003C45E1">
      <w:pPr>
        <w:spacing w:after="0" w:line="240" w:lineRule="auto"/>
      </w:pPr>
      <w:r>
        <w:separator/>
      </w:r>
    </w:p>
  </w:footnote>
  <w:footnote w:type="continuationSeparator" w:id="0">
    <w:p w14:paraId="5C7FD001" w14:textId="77777777" w:rsidR="001508FD" w:rsidRDefault="001508FD" w:rsidP="003C45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0"/>
      <w:gridCol w:w="3020"/>
      <w:gridCol w:w="3020"/>
    </w:tblGrid>
    <w:tr w:rsidR="02279334" w14:paraId="532D228E" w14:textId="77777777" w:rsidTr="02279334">
      <w:trPr>
        <w:trHeight w:val="300"/>
      </w:trPr>
      <w:tc>
        <w:tcPr>
          <w:tcW w:w="3020" w:type="dxa"/>
        </w:tcPr>
        <w:p w14:paraId="358CE271" w14:textId="51971CDE" w:rsidR="02279334" w:rsidRDefault="02279334" w:rsidP="02279334">
          <w:pPr>
            <w:pStyle w:val="Header"/>
            <w:ind w:left="-115"/>
          </w:pPr>
        </w:p>
      </w:tc>
      <w:tc>
        <w:tcPr>
          <w:tcW w:w="3020" w:type="dxa"/>
        </w:tcPr>
        <w:p w14:paraId="7AC6C9AD" w14:textId="437F3433" w:rsidR="02279334" w:rsidRDefault="02279334" w:rsidP="02279334">
          <w:pPr>
            <w:pStyle w:val="Header"/>
            <w:jc w:val="center"/>
          </w:pPr>
        </w:p>
      </w:tc>
      <w:tc>
        <w:tcPr>
          <w:tcW w:w="3020" w:type="dxa"/>
        </w:tcPr>
        <w:p w14:paraId="3A3057D1" w14:textId="7343AA21" w:rsidR="02279334" w:rsidRDefault="02279334" w:rsidP="02279334">
          <w:pPr>
            <w:pStyle w:val="Header"/>
            <w:ind w:right="-115"/>
            <w:jc w:val="right"/>
          </w:pPr>
        </w:p>
      </w:tc>
    </w:tr>
  </w:tbl>
  <w:p w14:paraId="069C4102" w14:textId="0C4BFF01" w:rsidR="02279334" w:rsidRDefault="02279334" w:rsidP="022793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0"/>
      <w:gridCol w:w="3020"/>
      <w:gridCol w:w="3020"/>
    </w:tblGrid>
    <w:tr w:rsidR="02279334" w14:paraId="0B18296A" w14:textId="77777777" w:rsidTr="02279334">
      <w:trPr>
        <w:trHeight w:val="300"/>
      </w:trPr>
      <w:tc>
        <w:tcPr>
          <w:tcW w:w="3020" w:type="dxa"/>
        </w:tcPr>
        <w:p w14:paraId="79555784" w14:textId="6171035F" w:rsidR="02279334" w:rsidRDefault="02279334" w:rsidP="02279334">
          <w:pPr>
            <w:pStyle w:val="Header"/>
            <w:ind w:left="-115"/>
          </w:pPr>
        </w:p>
      </w:tc>
      <w:tc>
        <w:tcPr>
          <w:tcW w:w="3020" w:type="dxa"/>
        </w:tcPr>
        <w:p w14:paraId="7DB0C85E" w14:textId="41497623" w:rsidR="02279334" w:rsidRDefault="02279334" w:rsidP="02279334">
          <w:pPr>
            <w:pStyle w:val="Header"/>
            <w:jc w:val="center"/>
          </w:pPr>
        </w:p>
      </w:tc>
      <w:tc>
        <w:tcPr>
          <w:tcW w:w="3020" w:type="dxa"/>
        </w:tcPr>
        <w:p w14:paraId="42825DC4" w14:textId="527266A2" w:rsidR="02279334" w:rsidRDefault="02279334" w:rsidP="02279334">
          <w:pPr>
            <w:pStyle w:val="Header"/>
            <w:ind w:right="-115"/>
            <w:jc w:val="right"/>
          </w:pPr>
        </w:p>
      </w:tc>
    </w:tr>
  </w:tbl>
  <w:p w14:paraId="102F5240" w14:textId="3EDF3C5E" w:rsidR="02279334" w:rsidRDefault="02279334" w:rsidP="022793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0"/>
      <w:gridCol w:w="3020"/>
      <w:gridCol w:w="3020"/>
    </w:tblGrid>
    <w:tr w:rsidR="02279334" w14:paraId="6FAF7FFD" w14:textId="77777777" w:rsidTr="02279334">
      <w:trPr>
        <w:trHeight w:val="300"/>
      </w:trPr>
      <w:tc>
        <w:tcPr>
          <w:tcW w:w="3020" w:type="dxa"/>
        </w:tcPr>
        <w:p w14:paraId="31824031" w14:textId="7EAFD57E" w:rsidR="02279334" w:rsidRDefault="02279334" w:rsidP="02279334">
          <w:pPr>
            <w:pStyle w:val="Header"/>
            <w:ind w:left="-115"/>
          </w:pPr>
        </w:p>
      </w:tc>
      <w:tc>
        <w:tcPr>
          <w:tcW w:w="3020" w:type="dxa"/>
        </w:tcPr>
        <w:p w14:paraId="302BA6F9" w14:textId="11547798" w:rsidR="02279334" w:rsidRDefault="02279334" w:rsidP="02279334">
          <w:pPr>
            <w:pStyle w:val="Header"/>
            <w:jc w:val="center"/>
          </w:pPr>
        </w:p>
      </w:tc>
      <w:tc>
        <w:tcPr>
          <w:tcW w:w="3020" w:type="dxa"/>
        </w:tcPr>
        <w:p w14:paraId="3D2FC04B" w14:textId="5121C500" w:rsidR="02279334" w:rsidRDefault="02279334" w:rsidP="02279334">
          <w:pPr>
            <w:pStyle w:val="Header"/>
            <w:ind w:right="-115"/>
            <w:jc w:val="right"/>
          </w:pPr>
        </w:p>
      </w:tc>
    </w:tr>
  </w:tbl>
  <w:p w14:paraId="764837AD" w14:textId="0568F3FF" w:rsidR="02279334" w:rsidRDefault="02279334" w:rsidP="0227933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0"/>
      <w:gridCol w:w="3020"/>
      <w:gridCol w:w="3020"/>
    </w:tblGrid>
    <w:tr w:rsidR="02279334" w14:paraId="3856E804" w14:textId="77777777" w:rsidTr="02279334">
      <w:trPr>
        <w:trHeight w:val="300"/>
      </w:trPr>
      <w:tc>
        <w:tcPr>
          <w:tcW w:w="3020" w:type="dxa"/>
        </w:tcPr>
        <w:p w14:paraId="4F39C627" w14:textId="117FCF7D" w:rsidR="02279334" w:rsidRDefault="02279334" w:rsidP="02279334">
          <w:pPr>
            <w:pStyle w:val="Header"/>
            <w:ind w:left="-115"/>
          </w:pPr>
        </w:p>
      </w:tc>
      <w:tc>
        <w:tcPr>
          <w:tcW w:w="3020" w:type="dxa"/>
        </w:tcPr>
        <w:p w14:paraId="0FE9EA5F" w14:textId="059384B2" w:rsidR="02279334" w:rsidRDefault="02279334" w:rsidP="02279334">
          <w:pPr>
            <w:pStyle w:val="Header"/>
            <w:jc w:val="center"/>
          </w:pPr>
        </w:p>
      </w:tc>
      <w:tc>
        <w:tcPr>
          <w:tcW w:w="3020" w:type="dxa"/>
        </w:tcPr>
        <w:p w14:paraId="5234AAB0" w14:textId="6738A8C7" w:rsidR="02279334" w:rsidRDefault="02279334" w:rsidP="02279334">
          <w:pPr>
            <w:pStyle w:val="Header"/>
            <w:ind w:right="-115"/>
            <w:jc w:val="right"/>
          </w:pPr>
        </w:p>
      </w:tc>
    </w:tr>
  </w:tbl>
  <w:p w14:paraId="17D8724D" w14:textId="5BE983EC" w:rsidR="02279334" w:rsidRDefault="02279334" w:rsidP="022793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48A0D3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E9AC264C"/>
    <w:lvl w:ilvl="0">
      <w:start w:val="1"/>
      <w:numFmt w:val="bullet"/>
      <w:lvlText w:val=""/>
      <w:lvlJc w:val="left"/>
      <w:pPr>
        <w:ind w:left="360" w:hanging="360"/>
      </w:pPr>
      <w:rPr>
        <w:rFonts w:ascii="Symbol" w:hAnsi="Symbol" w:hint="default"/>
        <w:b w:val="0"/>
        <w:bCs w:val="0"/>
        <w:i w:val="0"/>
        <w:iCs w:val="0"/>
        <w:color w:val="auto"/>
        <w:w w:val="100"/>
        <w:sz w:val="22"/>
        <w:szCs w:val="22"/>
      </w:rPr>
    </w:lvl>
  </w:abstractNum>
  <w:abstractNum w:abstractNumId="2" w15:restartNumberingAfterBreak="0">
    <w:nsid w:val="02134035"/>
    <w:multiLevelType w:val="multilevel"/>
    <w:tmpl w:val="2090BD38"/>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EA90D44"/>
    <w:multiLevelType w:val="hybridMultilevel"/>
    <w:tmpl w:val="F808FC2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1B87844"/>
    <w:multiLevelType w:val="hybridMultilevel"/>
    <w:tmpl w:val="7C86928C"/>
    <w:lvl w:ilvl="0" w:tplc="6CB2829E">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6A906E0"/>
    <w:multiLevelType w:val="hybridMultilevel"/>
    <w:tmpl w:val="E6D63B6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B8E3E3A"/>
    <w:multiLevelType w:val="hybridMultilevel"/>
    <w:tmpl w:val="D74617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3E361D1"/>
    <w:multiLevelType w:val="hybridMultilevel"/>
    <w:tmpl w:val="390AAC1A"/>
    <w:lvl w:ilvl="0" w:tplc="14090001">
      <w:start w:val="1"/>
      <w:numFmt w:val="bullet"/>
      <w:lvlText w:val=""/>
      <w:lvlJc w:val="left"/>
      <w:pPr>
        <w:ind w:left="720" w:hanging="360"/>
      </w:pPr>
      <w:rPr>
        <w:rFonts w:ascii="Symbol" w:hAnsi="Symbol" w:hint="default"/>
      </w:rPr>
    </w:lvl>
    <w:lvl w:ilvl="1" w:tplc="107CD3DE">
      <w:numFmt w:val="bullet"/>
      <w:lvlText w:val="•"/>
      <w:lvlJc w:val="left"/>
      <w:pPr>
        <w:ind w:left="1440" w:hanging="360"/>
      </w:pPr>
      <w:rPr>
        <w:rFonts w:ascii="Calibri" w:eastAsiaTheme="minorHAnsi" w:hAnsi="Calibri" w:cstheme="minorBid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30033B0"/>
    <w:multiLevelType w:val="hybridMultilevel"/>
    <w:tmpl w:val="2F8EC7B2"/>
    <w:lvl w:ilvl="0" w:tplc="A028B4EC">
      <w:numFmt w:val="bullet"/>
      <w:lvlText w:val=""/>
      <w:lvlJc w:val="left"/>
      <w:pPr>
        <w:ind w:left="720" w:hanging="360"/>
      </w:pPr>
      <w:rPr>
        <w:rFonts w:ascii="Symbol" w:eastAsiaTheme="minorHAnsi" w:hAnsi="Symbo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C0C5BAA"/>
    <w:multiLevelType w:val="hybridMultilevel"/>
    <w:tmpl w:val="BC9C4A48"/>
    <w:lvl w:ilvl="0" w:tplc="28B88E20">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D29109C"/>
    <w:multiLevelType w:val="hybridMultilevel"/>
    <w:tmpl w:val="CC4AF280"/>
    <w:styleLink w:val="Dash"/>
    <w:lvl w:ilvl="0" w:tplc="A5D216C6">
      <w:start w:val="1"/>
      <w:numFmt w:val="bullet"/>
      <w:lvlText w:val="-"/>
      <w:lvlJc w:val="left"/>
      <w:pPr>
        <w:ind w:left="2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64A48DA">
      <w:start w:val="1"/>
      <w:numFmt w:val="bullet"/>
      <w:lvlText w:val="-"/>
      <w:lvlJc w:val="left"/>
      <w:pPr>
        <w:ind w:left="4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8FA2A36">
      <w:start w:val="1"/>
      <w:numFmt w:val="bullet"/>
      <w:lvlText w:val="-"/>
      <w:lvlJc w:val="left"/>
      <w:pPr>
        <w:ind w:left="7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B002358">
      <w:start w:val="1"/>
      <w:numFmt w:val="bullet"/>
      <w:lvlText w:val="-"/>
      <w:lvlJc w:val="left"/>
      <w:pPr>
        <w:ind w:left="9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DD21FE0">
      <w:start w:val="1"/>
      <w:numFmt w:val="bullet"/>
      <w:lvlText w:val="-"/>
      <w:lvlJc w:val="left"/>
      <w:pPr>
        <w:ind w:left="120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C70F854">
      <w:start w:val="1"/>
      <w:numFmt w:val="bullet"/>
      <w:lvlText w:val="-"/>
      <w:lvlJc w:val="left"/>
      <w:pPr>
        <w:ind w:left="14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B05962">
      <w:start w:val="1"/>
      <w:numFmt w:val="bullet"/>
      <w:lvlText w:val="-"/>
      <w:lvlJc w:val="left"/>
      <w:pPr>
        <w:ind w:left="16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A4DEF6">
      <w:start w:val="1"/>
      <w:numFmt w:val="bullet"/>
      <w:lvlText w:val="-"/>
      <w:lvlJc w:val="left"/>
      <w:pPr>
        <w:ind w:left="19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442160">
      <w:start w:val="1"/>
      <w:numFmt w:val="bullet"/>
      <w:lvlText w:val="-"/>
      <w:lvlJc w:val="left"/>
      <w:pPr>
        <w:ind w:left="21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3D465A16"/>
    <w:multiLevelType w:val="multilevel"/>
    <w:tmpl w:val="7024B24E"/>
    <w:lvl w:ilvl="0">
      <w:start w:val="1"/>
      <w:numFmt w:val="bullet"/>
      <w:pStyle w:val="Bullet"/>
      <w:lvlText w:val=""/>
      <w:lvlJc w:val="left"/>
      <w:pPr>
        <w:tabs>
          <w:tab w:val="num" w:pos="397"/>
        </w:tabs>
        <w:ind w:left="397" w:hanging="397"/>
      </w:pPr>
      <w:rPr>
        <w:rFonts w:ascii="Symbol" w:hAnsi="Symbol" w:hint="default"/>
        <w:color w:val="auto"/>
        <w:sz w:val="22"/>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27701FB"/>
    <w:multiLevelType w:val="multilevel"/>
    <w:tmpl w:val="F012ABEA"/>
    <w:lvl w:ilvl="0">
      <w:start w:val="1"/>
      <w:numFmt w:val="bullet"/>
      <w:pStyle w:val="Sub-bulletHQSC"/>
      <w:lvlText w:val=""/>
      <w:lvlJc w:val="left"/>
      <w:pPr>
        <w:tabs>
          <w:tab w:val="num" w:pos="397"/>
        </w:tabs>
        <w:ind w:left="794"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4B4637"/>
    <w:multiLevelType w:val="hybridMultilevel"/>
    <w:tmpl w:val="DC24D8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CF758FD"/>
    <w:multiLevelType w:val="multilevel"/>
    <w:tmpl w:val="2090BD38"/>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501453E9"/>
    <w:multiLevelType w:val="hybridMultilevel"/>
    <w:tmpl w:val="D42E7B0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56DF5E6B"/>
    <w:multiLevelType w:val="multilevel"/>
    <w:tmpl w:val="E9AC264C"/>
    <w:styleLink w:val="Style1"/>
    <w:lvl w:ilvl="0">
      <w:start w:val="1"/>
      <w:numFmt w:val="bullet"/>
      <w:lvlText w:val=""/>
      <w:lvlJc w:val="left"/>
      <w:pPr>
        <w:ind w:left="360" w:hanging="360"/>
      </w:pPr>
      <w:rPr>
        <w:rFonts w:ascii="Symbol" w:hAnsi="Symbol" w:hint="default"/>
        <w:b w:val="0"/>
        <w:bCs w:val="0"/>
        <w:i w:val="0"/>
        <w:iCs w:val="0"/>
        <w:color w:val="auto"/>
        <w:w w:val="100"/>
        <w:sz w:val="22"/>
        <w:szCs w:val="22"/>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7" w15:restartNumberingAfterBreak="0">
    <w:nsid w:val="5E30230B"/>
    <w:multiLevelType w:val="hybridMultilevel"/>
    <w:tmpl w:val="50AC4CE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66CF5ACB"/>
    <w:multiLevelType w:val="hybridMultilevel"/>
    <w:tmpl w:val="B17420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A201C7D"/>
    <w:multiLevelType w:val="multilevel"/>
    <w:tmpl w:val="3C061A30"/>
    <w:lvl w:ilvl="0">
      <w:start w:val="1"/>
      <w:numFmt w:val="bullet"/>
      <w:pStyle w:val="TeThHauorabullets"/>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6D9C3B95"/>
    <w:multiLevelType w:val="hybridMultilevel"/>
    <w:tmpl w:val="FB6014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74437056"/>
    <w:multiLevelType w:val="hybridMultilevel"/>
    <w:tmpl w:val="D35028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86B6656"/>
    <w:multiLevelType w:val="hybridMultilevel"/>
    <w:tmpl w:val="600ADAA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340813112">
    <w:abstractNumId w:val="7"/>
  </w:num>
  <w:num w:numId="2" w16cid:durableId="1664695360">
    <w:abstractNumId w:val="13"/>
  </w:num>
  <w:num w:numId="3" w16cid:durableId="86075489">
    <w:abstractNumId w:val="17"/>
  </w:num>
  <w:num w:numId="4" w16cid:durableId="961226629">
    <w:abstractNumId w:val="14"/>
  </w:num>
  <w:num w:numId="5" w16cid:durableId="810247892">
    <w:abstractNumId w:val="18"/>
  </w:num>
  <w:num w:numId="6" w16cid:durableId="199098544">
    <w:abstractNumId w:val="10"/>
  </w:num>
  <w:num w:numId="7" w16cid:durableId="1829781319">
    <w:abstractNumId w:val="22"/>
  </w:num>
  <w:num w:numId="8" w16cid:durableId="534579980">
    <w:abstractNumId w:val="15"/>
  </w:num>
  <w:num w:numId="9" w16cid:durableId="1863742993">
    <w:abstractNumId w:val="6"/>
  </w:num>
  <w:num w:numId="10" w16cid:durableId="50538599">
    <w:abstractNumId w:val="5"/>
  </w:num>
  <w:num w:numId="11" w16cid:durableId="1131828693">
    <w:abstractNumId w:val="3"/>
  </w:num>
  <w:num w:numId="12" w16cid:durableId="1093433892">
    <w:abstractNumId w:val="21"/>
  </w:num>
  <w:num w:numId="13" w16cid:durableId="272787516">
    <w:abstractNumId w:val="20"/>
  </w:num>
  <w:num w:numId="14" w16cid:durableId="1390617373">
    <w:abstractNumId w:val="4"/>
  </w:num>
  <w:num w:numId="15" w16cid:durableId="761143986">
    <w:abstractNumId w:val="2"/>
  </w:num>
  <w:num w:numId="16" w16cid:durableId="1515728625">
    <w:abstractNumId w:val="1"/>
  </w:num>
  <w:num w:numId="17" w16cid:durableId="999843847">
    <w:abstractNumId w:val="0"/>
  </w:num>
  <w:num w:numId="18" w16cid:durableId="1301568591">
    <w:abstractNumId w:val="0"/>
    <w:lvlOverride w:ilvl="0">
      <w:startOverride w:val="1"/>
    </w:lvlOverride>
  </w:num>
  <w:num w:numId="19" w16cid:durableId="1164591683">
    <w:abstractNumId w:val="9"/>
  </w:num>
  <w:num w:numId="20" w16cid:durableId="68894586">
    <w:abstractNumId w:val="16"/>
  </w:num>
  <w:num w:numId="21" w16cid:durableId="1016423024">
    <w:abstractNumId w:val="11"/>
  </w:num>
  <w:num w:numId="22" w16cid:durableId="519121977">
    <w:abstractNumId w:val="12"/>
  </w:num>
  <w:num w:numId="23" w16cid:durableId="743644284">
    <w:abstractNumId w:val="19"/>
  </w:num>
  <w:num w:numId="24" w16cid:durableId="560020208">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E53"/>
    <w:rsid w:val="00000224"/>
    <w:rsid w:val="00003978"/>
    <w:rsid w:val="0000445C"/>
    <w:rsid w:val="00005986"/>
    <w:rsid w:val="000072B5"/>
    <w:rsid w:val="00012CD3"/>
    <w:rsid w:val="00014481"/>
    <w:rsid w:val="00014BDF"/>
    <w:rsid w:val="000154D5"/>
    <w:rsid w:val="00015F44"/>
    <w:rsid w:val="00017216"/>
    <w:rsid w:val="00021A1A"/>
    <w:rsid w:val="000235D4"/>
    <w:rsid w:val="000240BD"/>
    <w:rsid w:val="00024845"/>
    <w:rsid w:val="000257A9"/>
    <w:rsid w:val="000257D7"/>
    <w:rsid w:val="00026401"/>
    <w:rsid w:val="00026CF6"/>
    <w:rsid w:val="00027510"/>
    <w:rsid w:val="0003438B"/>
    <w:rsid w:val="00043083"/>
    <w:rsid w:val="00047E9A"/>
    <w:rsid w:val="000513FA"/>
    <w:rsid w:val="00051CC0"/>
    <w:rsid w:val="0005287A"/>
    <w:rsid w:val="00052B4C"/>
    <w:rsid w:val="0005504C"/>
    <w:rsid w:val="00057F11"/>
    <w:rsid w:val="00062B82"/>
    <w:rsid w:val="000660B2"/>
    <w:rsid w:val="00071CE6"/>
    <w:rsid w:val="00072B90"/>
    <w:rsid w:val="00073068"/>
    <w:rsid w:val="00081167"/>
    <w:rsid w:val="00081524"/>
    <w:rsid w:val="00081E3B"/>
    <w:rsid w:val="0008208F"/>
    <w:rsid w:val="00083D25"/>
    <w:rsid w:val="0008726B"/>
    <w:rsid w:val="0009269F"/>
    <w:rsid w:val="00092A37"/>
    <w:rsid w:val="00094BFA"/>
    <w:rsid w:val="00096C19"/>
    <w:rsid w:val="000A33FA"/>
    <w:rsid w:val="000A35AD"/>
    <w:rsid w:val="000A52CE"/>
    <w:rsid w:val="000A5622"/>
    <w:rsid w:val="000B0889"/>
    <w:rsid w:val="000B111C"/>
    <w:rsid w:val="000C1227"/>
    <w:rsid w:val="000C1412"/>
    <w:rsid w:val="000C3BEE"/>
    <w:rsid w:val="000C71F5"/>
    <w:rsid w:val="000D7E4B"/>
    <w:rsid w:val="000D7F9E"/>
    <w:rsid w:val="000E43C5"/>
    <w:rsid w:val="000E5B30"/>
    <w:rsid w:val="000F32D0"/>
    <w:rsid w:val="000F3D49"/>
    <w:rsid w:val="000F4A2E"/>
    <w:rsid w:val="000F7471"/>
    <w:rsid w:val="00101302"/>
    <w:rsid w:val="00104BBC"/>
    <w:rsid w:val="00105E23"/>
    <w:rsid w:val="00106ECE"/>
    <w:rsid w:val="001111D6"/>
    <w:rsid w:val="001123E1"/>
    <w:rsid w:val="00115489"/>
    <w:rsid w:val="00115AEB"/>
    <w:rsid w:val="001249E2"/>
    <w:rsid w:val="001265AD"/>
    <w:rsid w:val="0013118C"/>
    <w:rsid w:val="00131E3D"/>
    <w:rsid w:val="00133F6A"/>
    <w:rsid w:val="00134F5C"/>
    <w:rsid w:val="001378CA"/>
    <w:rsid w:val="00140AAC"/>
    <w:rsid w:val="00145428"/>
    <w:rsid w:val="0014547B"/>
    <w:rsid w:val="00145DD2"/>
    <w:rsid w:val="00147145"/>
    <w:rsid w:val="001508FD"/>
    <w:rsid w:val="00150EC1"/>
    <w:rsid w:val="00150EE7"/>
    <w:rsid w:val="00150F2F"/>
    <w:rsid w:val="00152016"/>
    <w:rsid w:val="00153C73"/>
    <w:rsid w:val="001639FA"/>
    <w:rsid w:val="00164036"/>
    <w:rsid w:val="00165B6D"/>
    <w:rsid w:val="001664F4"/>
    <w:rsid w:val="0017350C"/>
    <w:rsid w:val="00173B88"/>
    <w:rsid w:val="00183219"/>
    <w:rsid w:val="00183F98"/>
    <w:rsid w:val="001855EA"/>
    <w:rsid w:val="00185F52"/>
    <w:rsid w:val="00193951"/>
    <w:rsid w:val="0019407B"/>
    <w:rsid w:val="00196007"/>
    <w:rsid w:val="001A02AD"/>
    <w:rsid w:val="001A132C"/>
    <w:rsid w:val="001A1E96"/>
    <w:rsid w:val="001A44E7"/>
    <w:rsid w:val="001A6553"/>
    <w:rsid w:val="001B161C"/>
    <w:rsid w:val="001B599E"/>
    <w:rsid w:val="001B6AEC"/>
    <w:rsid w:val="001C2409"/>
    <w:rsid w:val="001D0822"/>
    <w:rsid w:val="001D6A39"/>
    <w:rsid w:val="001D6AAD"/>
    <w:rsid w:val="001E06DF"/>
    <w:rsid w:val="001E0B57"/>
    <w:rsid w:val="001E5EE7"/>
    <w:rsid w:val="001E6A9F"/>
    <w:rsid w:val="001F1896"/>
    <w:rsid w:val="001F3461"/>
    <w:rsid w:val="001F63A1"/>
    <w:rsid w:val="0020107E"/>
    <w:rsid w:val="00203EA2"/>
    <w:rsid w:val="00205657"/>
    <w:rsid w:val="00205AD6"/>
    <w:rsid w:val="00206E4F"/>
    <w:rsid w:val="002078C0"/>
    <w:rsid w:val="00207D95"/>
    <w:rsid w:val="002121B9"/>
    <w:rsid w:val="0021261B"/>
    <w:rsid w:val="00216F8D"/>
    <w:rsid w:val="00217705"/>
    <w:rsid w:val="002201B7"/>
    <w:rsid w:val="00225BC0"/>
    <w:rsid w:val="00225E3E"/>
    <w:rsid w:val="0023054B"/>
    <w:rsid w:val="002339EA"/>
    <w:rsid w:val="002371B4"/>
    <w:rsid w:val="00237533"/>
    <w:rsid w:val="002418E1"/>
    <w:rsid w:val="00244839"/>
    <w:rsid w:val="00245178"/>
    <w:rsid w:val="00245B70"/>
    <w:rsid w:val="002514A1"/>
    <w:rsid w:val="00252B7B"/>
    <w:rsid w:val="0025513C"/>
    <w:rsid w:val="002665C5"/>
    <w:rsid w:val="0027152B"/>
    <w:rsid w:val="00272AA4"/>
    <w:rsid w:val="00280BED"/>
    <w:rsid w:val="00284CDD"/>
    <w:rsid w:val="00287D53"/>
    <w:rsid w:val="0029029C"/>
    <w:rsid w:val="0029076C"/>
    <w:rsid w:val="00291E66"/>
    <w:rsid w:val="0029676C"/>
    <w:rsid w:val="002969D8"/>
    <w:rsid w:val="00297582"/>
    <w:rsid w:val="00297676"/>
    <w:rsid w:val="00297B4B"/>
    <w:rsid w:val="002A10F1"/>
    <w:rsid w:val="002A1776"/>
    <w:rsid w:val="002A3410"/>
    <w:rsid w:val="002B2293"/>
    <w:rsid w:val="002B2557"/>
    <w:rsid w:val="002B4FF6"/>
    <w:rsid w:val="002B7954"/>
    <w:rsid w:val="002C79E3"/>
    <w:rsid w:val="002D1E1F"/>
    <w:rsid w:val="002D22C7"/>
    <w:rsid w:val="002D25E8"/>
    <w:rsid w:val="002D418A"/>
    <w:rsid w:val="002E1666"/>
    <w:rsid w:val="002E2CCF"/>
    <w:rsid w:val="002E547C"/>
    <w:rsid w:val="002E7831"/>
    <w:rsid w:val="002F005C"/>
    <w:rsid w:val="002F1042"/>
    <w:rsid w:val="002F6704"/>
    <w:rsid w:val="00300830"/>
    <w:rsid w:val="0030109F"/>
    <w:rsid w:val="00301AB6"/>
    <w:rsid w:val="003028A4"/>
    <w:rsid w:val="00303EF1"/>
    <w:rsid w:val="00310A90"/>
    <w:rsid w:val="003136EF"/>
    <w:rsid w:val="00314261"/>
    <w:rsid w:val="00314940"/>
    <w:rsid w:val="00316108"/>
    <w:rsid w:val="00327526"/>
    <w:rsid w:val="00327B79"/>
    <w:rsid w:val="00331D2C"/>
    <w:rsid w:val="003357FE"/>
    <w:rsid w:val="003362F8"/>
    <w:rsid w:val="00340841"/>
    <w:rsid w:val="0034255E"/>
    <w:rsid w:val="00344A17"/>
    <w:rsid w:val="003451B3"/>
    <w:rsid w:val="00345201"/>
    <w:rsid w:val="00345ACC"/>
    <w:rsid w:val="003470AA"/>
    <w:rsid w:val="00350934"/>
    <w:rsid w:val="00351FFF"/>
    <w:rsid w:val="003557A9"/>
    <w:rsid w:val="003558C2"/>
    <w:rsid w:val="00356454"/>
    <w:rsid w:val="0035680A"/>
    <w:rsid w:val="0036225A"/>
    <w:rsid w:val="00370C0F"/>
    <w:rsid w:val="0037160F"/>
    <w:rsid w:val="003720D9"/>
    <w:rsid w:val="00372989"/>
    <w:rsid w:val="00374EB2"/>
    <w:rsid w:val="00375146"/>
    <w:rsid w:val="003751B1"/>
    <w:rsid w:val="00380044"/>
    <w:rsid w:val="0038042C"/>
    <w:rsid w:val="00381282"/>
    <w:rsid w:val="00386712"/>
    <w:rsid w:val="00390A08"/>
    <w:rsid w:val="00392C96"/>
    <w:rsid w:val="003A1838"/>
    <w:rsid w:val="003A3D1C"/>
    <w:rsid w:val="003B13D7"/>
    <w:rsid w:val="003B2535"/>
    <w:rsid w:val="003B6C8D"/>
    <w:rsid w:val="003B784D"/>
    <w:rsid w:val="003B7FF4"/>
    <w:rsid w:val="003C45E1"/>
    <w:rsid w:val="003C52B9"/>
    <w:rsid w:val="003D19E6"/>
    <w:rsid w:val="003D2FD4"/>
    <w:rsid w:val="003E1978"/>
    <w:rsid w:val="003E2238"/>
    <w:rsid w:val="003E38E3"/>
    <w:rsid w:val="003E52D6"/>
    <w:rsid w:val="003F028C"/>
    <w:rsid w:val="003F0791"/>
    <w:rsid w:val="003F5A26"/>
    <w:rsid w:val="00402A50"/>
    <w:rsid w:val="0040657D"/>
    <w:rsid w:val="00407CA8"/>
    <w:rsid w:val="00410D2D"/>
    <w:rsid w:val="004114BA"/>
    <w:rsid w:val="00411BBC"/>
    <w:rsid w:val="00414D45"/>
    <w:rsid w:val="00416629"/>
    <w:rsid w:val="004201E0"/>
    <w:rsid w:val="004241B9"/>
    <w:rsid w:val="00424970"/>
    <w:rsid w:val="004258F9"/>
    <w:rsid w:val="00425AA0"/>
    <w:rsid w:val="0042690E"/>
    <w:rsid w:val="00427E39"/>
    <w:rsid w:val="00432DE0"/>
    <w:rsid w:val="00433D6F"/>
    <w:rsid w:val="004363F2"/>
    <w:rsid w:val="0043743D"/>
    <w:rsid w:val="00442889"/>
    <w:rsid w:val="00444364"/>
    <w:rsid w:val="00445137"/>
    <w:rsid w:val="004458DE"/>
    <w:rsid w:val="004466EF"/>
    <w:rsid w:val="00447327"/>
    <w:rsid w:val="0045000E"/>
    <w:rsid w:val="00456C14"/>
    <w:rsid w:val="0045730F"/>
    <w:rsid w:val="00461A9A"/>
    <w:rsid w:val="00461AE6"/>
    <w:rsid w:val="004628B0"/>
    <w:rsid w:val="00462D7A"/>
    <w:rsid w:val="004639D3"/>
    <w:rsid w:val="00470861"/>
    <w:rsid w:val="0047638D"/>
    <w:rsid w:val="0047654C"/>
    <w:rsid w:val="00480365"/>
    <w:rsid w:val="0048247F"/>
    <w:rsid w:val="00484240"/>
    <w:rsid w:val="004846B0"/>
    <w:rsid w:val="004857E1"/>
    <w:rsid w:val="004907D7"/>
    <w:rsid w:val="004947A0"/>
    <w:rsid w:val="0049681B"/>
    <w:rsid w:val="004968AD"/>
    <w:rsid w:val="004A0DE8"/>
    <w:rsid w:val="004A182F"/>
    <w:rsid w:val="004A1ACA"/>
    <w:rsid w:val="004A1E32"/>
    <w:rsid w:val="004A5421"/>
    <w:rsid w:val="004A54CE"/>
    <w:rsid w:val="004A6075"/>
    <w:rsid w:val="004B0E7D"/>
    <w:rsid w:val="004B387A"/>
    <w:rsid w:val="004B7369"/>
    <w:rsid w:val="004B7CE3"/>
    <w:rsid w:val="004C24CF"/>
    <w:rsid w:val="004C4B0B"/>
    <w:rsid w:val="004C6CC9"/>
    <w:rsid w:val="004D0AD0"/>
    <w:rsid w:val="004D0AD2"/>
    <w:rsid w:val="004D1DEB"/>
    <w:rsid w:val="004D3817"/>
    <w:rsid w:val="004D441C"/>
    <w:rsid w:val="004D50FF"/>
    <w:rsid w:val="004D6696"/>
    <w:rsid w:val="004E0317"/>
    <w:rsid w:val="004E04D9"/>
    <w:rsid w:val="004E1DD4"/>
    <w:rsid w:val="004E4BE9"/>
    <w:rsid w:val="004E6CE7"/>
    <w:rsid w:val="004F0C22"/>
    <w:rsid w:val="004F0CFB"/>
    <w:rsid w:val="004F513A"/>
    <w:rsid w:val="004F6871"/>
    <w:rsid w:val="005025A1"/>
    <w:rsid w:val="005035FE"/>
    <w:rsid w:val="00503784"/>
    <w:rsid w:val="005046F1"/>
    <w:rsid w:val="00505999"/>
    <w:rsid w:val="00510452"/>
    <w:rsid w:val="00511FFC"/>
    <w:rsid w:val="005166FD"/>
    <w:rsid w:val="005240E9"/>
    <w:rsid w:val="005267A2"/>
    <w:rsid w:val="00530F66"/>
    <w:rsid w:val="00533F38"/>
    <w:rsid w:val="00534094"/>
    <w:rsid w:val="005351ED"/>
    <w:rsid w:val="0053624F"/>
    <w:rsid w:val="005369FF"/>
    <w:rsid w:val="00540003"/>
    <w:rsid w:val="00542CA3"/>
    <w:rsid w:val="00551DD8"/>
    <w:rsid w:val="005557C1"/>
    <w:rsid w:val="00555C13"/>
    <w:rsid w:val="00561028"/>
    <w:rsid w:val="00561BFF"/>
    <w:rsid w:val="00566A3D"/>
    <w:rsid w:val="00572C53"/>
    <w:rsid w:val="00580F29"/>
    <w:rsid w:val="00581C21"/>
    <w:rsid w:val="005820DB"/>
    <w:rsid w:val="005825AC"/>
    <w:rsid w:val="0058260A"/>
    <w:rsid w:val="0058455D"/>
    <w:rsid w:val="00584623"/>
    <w:rsid w:val="00586540"/>
    <w:rsid w:val="005932A3"/>
    <w:rsid w:val="00594523"/>
    <w:rsid w:val="005A41F1"/>
    <w:rsid w:val="005A4781"/>
    <w:rsid w:val="005A5B29"/>
    <w:rsid w:val="005A6D47"/>
    <w:rsid w:val="005B033F"/>
    <w:rsid w:val="005B1B32"/>
    <w:rsid w:val="005B1D3D"/>
    <w:rsid w:val="005B41D0"/>
    <w:rsid w:val="005B59BC"/>
    <w:rsid w:val="005B68AE"/>
    <w:rsid w:val="005C48F2"/>
    <w:rsid w:val="005C5699"/>
    <w:rsid w:val="005C7846"/>
    <w:rsid w:val="005D1C46"/>
    <w:rsid w:val="005D2BCB"/>
    <w:rsid w:val="005E1C29"/>
    <w:rsid w:val="005E3A56"/>
    <w:rsid w:val="005F2B44"/>
    <w:rsid w:val="005F4F38"/>
    <w:rsid w:val="00602F25"/>
    <w:rsid w:val="00606E99"/>
    <w:rsid w:val="006107EF"/>
    <w:rsid w:val="0062308A"/>
    <w:rsid w:val="00630927"/>
    <w:rsid w:val="00630A1A"/>
    <w:rsid w:val="00630B79"/>
    <w:rsid w:val="00632295"/>
    <w:rsid w:val="00632461"/>
    <w:rsid w:val="00635F6B"/>
    <w:rsid w:val="00640803"/>
    <w:rsid w:val="00640F2D"/>
    <w:rsid w:val="0064198B"/>
    <w:rsid w:val="00641AC2"/>
    <w:rsid w:val="00643DF2"/>
    <w:rsid w:val="006469DF"/>
    <w:rsid w:val="00646AB1"/>
    <w:rsid w:val="006501CA"/>
    <w:rsid w:val="00651EE8"/>
    <w:rsid w:val="0065374E"/>
    <w:rsid w:val="0065535B"/>
    <w:rsid w:val="00657A5A"/>
    <w:rsid w:val="00662F45"/>
    <w:rsid w:val="006657D7"/>
    <w:rsid w:val="00665D22"/>
    <w:rsid w:val="00667365"/>
    <w:rsid w:val="00670D47"/>
    <w:rsid w:val="00672126"/>
    <w:rsid w:val="0067432D"/>
    <w:rsid w:val="00675B7E"/>
    <w:rsid w:val="00677DF6"/>
    <w:rsid w:val="00680240"/>
    <w:rsid w:val="006821D2"/>
    <w:rsid w:val="00682F4B"/>
    <w:rsid w:val="0068435B"/>
    <w:rsid w:val="0069060A"/>
    <w:rsid w:val="006907DA"/>
    <w:rsid w:val="00691F5B"/>
    <w:rsid w:val="00695C2D"/>
    <w:rsid w:val="00696DEB"/>
    <w:rsid w:val="00697C79"/>
    <w:rsid w:val="006A2A46"/>
    <w:rsid w:val="006A2BA0"/>
    <w:rsid w:val="006A3910"/>
    <w:rsid w:val="006A473A"/>
    <w:rsid w:val="006A4E3B"/>
    <w:rsid w:val="006A6F8D"/>
    <w:rsid w:val="006A7E69"/>
    <w:rsid w:val="006B2F4A"/>
    <w:rsid w:val="006B4B65"/>
    <w:rsid w:val="006B4E4A"/>
    <w:rsid w:val="006B61D0"/>
    <w:rsid w:val="006B7508"/>
    <w:rsid w:val="006C6809"/>
    <w:rsid w:val="006D0698"/>
    <w:rsid w:val="006D2995"/>
    <w:rsid w:val="006D341B"/>
    <w:rsid w:val="006D3D27"/>
    <w:rsid w:val="006D4188"/>
    <w:rsid w:val="006D4BD1"/>
    <w:rsid w:val="006D666D"/>
    <w:rsid w:val="006E00EE"/>
    <w:rsid w:val="006E0CBC"/>
    <w:rsid w:val="006E1EC2"/>
    <w:rsid w:val="006E3D7B"/>
    <w:rsid w:val="006E4525"/>
    <w:rsid w:val="006E5039"/>
    <w:rsid w:val="006E706A"/>
    <w:rsid w:val="006E7A40"/>
    <w:rsid w:val="006F4F4B"/>
    <w:rsid w:val="00702438"/>
    <w:rsid w:val="00703375"/>
    <w:rsid w:val="007078BC"/>
    <w:rsid w:val="00707E7B"/>
    <w:rsid w:val="00716634"/>
    <w:rsid w:val="00722C09"/>
    <w:rsid w:val="007248A2"/>
    <w:rsid w:val="00732FBC"/>
    <w:rsid w:val="007347F0"/>
    <w:rsid w:val="007351D5"/>
    <w:rsid w:val="007415A2"/>
    <w:rsid w:val="00752144"/>
    <w:rsid w:val="00757FD8"/>
    <w:rsid w:val="00760894"/>
    <w:rsid w:val="00762438"/>
    <w:rsid w:val="00763701"/>
    <w:rsid w:val="00763715"/>
    <w:rsid w:val="00764327"/>
    <w:rsid w:val="00764E9F"/>
    <w:rsid w:val="007658AC"/>
    <w:rsid w:val="00770D2E"/>
    <w:rsid w:val="00771E61"/>
    <w:rsid w:val="00777261"/>
    <w:rsid w:val="00782AF7"/>
    <w:rsid w:val="007852F8"/>
    <w:rsid w:val="00786552"/>
    <w:rsid w:val="00790B45"/>
    <w:rsid w:val="00791EC5"/>
    <w:rsid w:val="007922E7"/>
    <w:rsid w:val="00792BD4"/>
    <w:rsid w:val="00792E41"/>
    <w:rsid w:val="00792E4C"/>
    <w:rsid w:val="00797213"/>
    <w:rsid w:val="007A0445"/>
    <w:rsid w:val="007A13D0"/>
    <w:rsid w:val="007A3B1C"/>
    <w:rsid w:val="007A570B"/>
    <w:rsid w:val="007B151D"/>
    <w:rsid w:val="007B2E6E"/>
    <w:rsid w:val="007B78B1"/>
    <w:rsid w:val="007C13AC"/>
    <w:rsid w:val="007C2E58"/>
    <w:rsid w:val="007C3522"/>
    <w:rsid w:val="007C454E"/>
    <w:rsid w:val="007C4613"/>
    <w:rsid w:val="007C7ED1"/>
    <w:rsid w:val="007D219A"/>
    <w:rsid w:val="007D2D9A"/>
    <w:rsid w:val="007D34AD"/>
    <w:rsid w:val="007E0634"/>
    <w:rsid w:val="007E2912"/>
    <w:rsid w:val="007E5241"/>
    <w:rsid w:val="007F2D3B"/>
    <w:rsid w:val="007F694F"/>
    <w:rsid w:val="007F7612"/>
    <w:rsid w:val="007F79FC"/>
    <w:rsid w:val="00801A1F"/>
    <w:rsid w:val="0080238B"/>
    <w:rsid w:val="00802A41"/>
    <w:rsid w:val="00803339"/>
    <w:rsid w:val="008036BA"/>
    <w:rsid w:val="0080549C"/>
    <w:rsid w:val="00806A50"/>
    <w:rsid w:val="00811357"/>
    <w:rsid w:val="008115CF"/>
    <w:rsid w:val="008131B0"/>
    <w:rsid w:val="00816A83"/>
    <w:rsid w:val="00823D37"/>
    <w:rsid w:val="00827403"/>
    <w:rsid w:val="00830ADB"/>
    <w:rsid w:val="008332F5"/>
    <w:rsid w:val="00833405"/>
    <w:rsid w:val="00833922"/>
    <w:rsid w:val="00836C24"/>
    <w:rsid w:val="00837EAA"/>
    <w:rsid w:val="00841260"/>
    <w:rsid w:val="0084292E"/>
    <w:rsid w:val="00845529"/>
    <w:rsid w:val="00845F20"/>
    <w:rsid w:val="0084633E"/>
    <w:rsid w:val="00846C16"/>
    <w:rsid w:val="0085071D"/>
    <w:rsid w:val="008508B8"/>
    <w:rsid w:val="00851905"/>
    <w:rsid w:val="008524E1"/>
    <w:rsid w:val="0085597F"/>
    <w:rsid w:val="008601B0"/>
    <w:rsid w:val="00861C08"/>
    <w:rsid w:val="00863CDD"/>
    <w:rsid w:val="00865172"/>
    <w:rsid w:val="00865B7B"/>
    <w:rsid w:val="0087040B"/>
    <w:rsid w:val="008739C8"/>
    <w:rsid w:val="00875747"/>
    <w:rsid w:val="00881869"/>
    <w:rsid w:val="00882706"/>
    <w:rsid w:val="008917AD"/>
    <w:rsid w:val="008946E7"/>
    <w:rsid w:val="008960B0"/>
    <w:rsid w:val="008A60AE"/>
    <w:rsid w:val="008B0DE1"/>
    <w:rsid w:val="008B0E06"/>
    <w:rsid w:val="008B4E25"/>
    <w:rsid w:val="008C329A"/>
    <w:rsid w:val="008C4218"/>
    <w:rsid w:val="008C5E97"/>
    <w:rsid w:val="008D1E6C"/>
    <w:rsid w:val="008D2A95"/>
    <w:rsid w:val="008D7ACA"/>
    <w:rsid w:val="008D7B48"/>
    <w:rsid w:val="008E1024"/>
    <w:rsid w:val="008F0563"/>
    <w:rsid w:val="008F12DC"/>
    <w:rsid w:val="008F6B3D"/>
    <w:rsid w:val="008F6ECF"/>
    <w:rsid w:val="008F749A"/>
    <w:rsid w:val="008F7E81"/>
    <w:rsid w:val="00900AFF"/>
    <w:rsid w:val="00905630"/>
    <w:rsid w:val="00906793"/>
    <w:rsid w:val="00910421"/>
    <w:rsid w:val="00911920"/>
    <w:rsid w:val="0091319F"/>
    <w:rsid w:val="00914500"/>
    <w:rsid w:val="00915D2C"/>
    <w:rsid w:val="009175DD"/>
    <w:rsid w:val="009200C0"/>
    <w:rsid w:val="0092294D"/>
    <w:rsid w:val="00923481"/>
    <w:rsid w:val="009302C8"/>
    <w:rsid w:val="00930B7A"/>
    <w:rsid w:val="00930BF3"/>
    <w:rsid w:val="00931915"/>
    <w:rsid w:val="009350E4"/>
    <w:rsid w:val="0094131A"/>
    <w:rsid w:val="00943F2B"/>
    <w:rsid w:val="00944659"/>
    <w:rsid w:val="00951121"/>
    <w:rsid w:val="009522ED"/>
    <w:rsid w:val="00952FE6"/>
    <w:rsid w:val="009538DA"/>
    <w:rsid w:val="00960486"/>
    <w:rsid w:val="0096081E"/>
    <w:rsid w:val="00962138"/>
    <w:rsid w:val="009622A5"/>
    <w:rsid w:val="009669C1"/>
    <w:rsid w:val="00966F6A"/>
    <w:rsid w:val="009727E5"/>
    <w:rsid w:val="00972DC4"/>
    <w:rsid w:val="009740A1"/>
    <w:rsid w:val="009756EA"/>
    <w:rsid w:val="0097679C"/>
    <w:rsid w:val="00980E85"/>
    <w:rsid w:val="009842B2"/>
    <w:rsid w:val="009860B1"/>
    <w:rsid w:val="00987573"/>
    <w:rsid w:val="00987D1B"/>
    <w:rsid w:val="00991FC7"/>
    <w:rsid w:val="00992D7B"/>
    <w:rsid w:val="00994889"/>
    <w:rsid w:val="00995BAE"/>
    <w:rsid w:val="009A0136"/>
    <w:rsid w:val="009A02FD"/>
    <w:rsid w:val="009A0EF7"/>
    <w:rsid w:val="009A0EFC"/>
    <w:rsid w:val="009A15FC"/>
    <w:rsid w:val="009A270D"/>
    <w:rsid w:val="009A3092"/>
    <w:rsid w:val="009A3E9A"/>
    <w:rsid w:val="009A4F53"/>
    <w:rsid w:val="009A5930"/>
    <w:rsid w:val="009A65BA"/>
    <w:rsid w:val="009A70C6"/>
    <w:rsid w:val="009A7126"/>
    <w:rsid w:val="009B0A87"/>
    <w:rsid w:val="009B1229"/>
    <w:rsid w:val="009B25F5"/>
    <w:rsid w:val="009B4E57"/>
    <w:rsid w:val="009B5C4F"/>
    <w:rsid w:val="009B60E1"/>
    <w:rsid w:val="009B6390"/>
    <w:rsid w:val="009B6DBE"/>
    <w:rsid w:val="009B6F56"/>
    <w:rsid w:val="009C107F"/>
    <w:rsid w:val="009C22A0"/>
    <w:rsid w:val="009D2342"/>
    <w:rsid w:val="009D4AF8"/>
    <w:rsid w:val="009D56D9"/>
    <w:rsid w:val="009D622E"/>
    <w:rsid w:val="009D79CD"/>
    <w:rsid w:val="009E1ED9"/>
    <w:rsid w:val="009E2620"/>
    <w:rsid w:val="009E3CCD"/>
    <w:rsid w:val="009E4CC9"/>
    <w:rsid w:val="009E52B6"/>
    <w:rsid w:val="009E5551"/>
    <w:rsid w:val="009E5660"/>
    <w:rsid w:val="009F152D"/>
    <w:rsid w:val="009F5ADB"/>
    <w:rsid w:val="009F713A"/>
    <w:rsid w:val="00A00662"/>
    <w:rsid w:val="00A03AF2"/>
    <w:rsid w:val="00A0512B"/>
    <w:rsid w:val="00A052F6"/>
    <w:rsid w:val="00A06B6D"/>
    <w:rsid w:val="00A13A94"/>
    <w:rsid w:val="00A203DB"/>
    <w:rsid w:val="00A225AF"/>
    <w:rsid w:val="00A2381C"/>
    <w:rsid w:val="00A23F96"/>
    <w:rsid w:val="00A278C8"/>
    <w:rsid w:val="00A313E6"/>
    <w:rsid w:val="00A322BB"/>
    <w:rsid w:val="00A36C4E"/>
    <w:rsid w:val="00A41608"/>
    <w:rsid w:val="00A43932"/>
    <w:rsid w:val="00A45B99"/>
    <w:rsid w:val="00A5038A"/>
    <w:rsid w:val="00A53296"/>
    <w:rsid w:val="00A533FF"/>
    <w:rsid w:val="00A54C80"/>
    <w:rsid w:val="00A54CFC"/>
    <w:rsid w:val="00A563DD"/>
    <w:rsid w:val="00A56998"/>
    <w:rsid w:val="00A57261"/>
    <w:rsid w:val="00A6040B"/>
    <w:rsid w:val="00A627C3"/>
    <w:rsid w:val="00A6418E"/>
    <w:rsid w:val="00A64FAA"/>
    <w:rsid w:val="00A66C36"/>
    <w:rsid w:val="00A677E9"/>
    <w:rsid w:val="00A67C26"/>
    <w:rsid w:val="00A70B1C"/>
    <w:rsid w:val="00A7257A"/>
    <w:rsid w:val="00A7328E"/>
    <w:rsid w:val="00A75C6B"/>
    <w:rsid w:val="00A7698C"/>
    <w:rsid w:val="00A80094"/>
    <w:rsid w:val="00A834D5"/>
    <w:rsid w:val="00A87AEA"/>
    <w:rsid w:val="00A9188E"/>
    <w:rsid w:val="00A9198C"/>
    <w:rsid w:val="00A92C02"/>
    <w:rsid w:val="00A94A67"/>
    <w:rsid w:val="00A959BB"/>
    <w:rsid w:val="00A95C29"/>
    <w:rsid w:val="00A97B76"/>
    <w:rsid w:val="00AA4FB3"/>
    <w:rsid w:val="00AA7B43"/>
    <w:rsid w:val="00AB3321"/>
    <w:rsid w:val="00AB3891"/>
    <w:rsid w:val="00AB3BDC"/>
    <w:rsid w:val="00AB7496"/>
    <w:rsid w:val="00AB7832"/>
    <w:rsid w:val="00AC0387"/>
    <w:rsid w:val="00AC1F59"/>
    <w:rsid w:val="00AC3D8C"/>
    <w:rsid w:val="00AC637F"/>
    <w:rsid w:val="00AC7F6D"/>
    <w:rsid w:val="00AD52B8"/>
    <w:rsid w:val="00AE117F"/>
    <w:rsid w:val="00AE7F4C"/>
    <w:rsid w:val="00AF29E6"/>
    <w:rsid w:val="00AF4E33"/>
    <w:rsid w:val="00AF681D"/>
    <w:rsid w:val="00AF7ED3"/>
    <w:rsid w:val="00B0744F"/>
    <w:rsid w:val="00B10CC1"/>
    <w:rsid w:val="00B15399"/>
    <w:rsid w:val="00B16E9F"/>
    <w:rsid w:val="00B20E20"/>
    <w:rsid w:val="00B21822"/>
    <w:rsid w:val="00B23E77"/>
    <w:rsid w:val="00B23EF3"/>
    <w:rsid w:val="00B2634F"/>
    <w:rsid w:val="00B33B6D"/>
    <w:rsid w:val="00B347E2"/>
    <w:rsid w:val="00B36433"/>
    <w:rsid w:val="00B42FDE"/>
    <w:rsid w:val="00B43090"/>
    <w:rsid w:val="00B4731B"/>
    <w:rsid w:val="00B51A14"/>
    <w:rsid w:val="00B52435"/>
    <w:rsid w:val="00B57F3B"/>
    <w:rsid w:val="00B6173D"/>
    <w:rsid w:val="00B61DF2"/>
    <w:rsid w:val="00B63514"/>
    <w:rsid w:val="00B648E2"/>
    <w:rsid w:val="00B660B9"/>
    <w:rsid w:val="00B673CF"/>
    <w:rsid w:val="00B714C6"/>
    <w:rsid w:val="00B74276"/>
    <w:rsid w:val="00B7606A"/>
    <w:rsid w:val="00B86B40"/>
    <w:rsid w:val="00B92799"/>
    <w:rsid w:val="00B94E9E"/>
    <w:rsid w:val="00B96A41"/>
    <w:rsid w:val="00B96CA7"/>
    <w:rsid w:val="00B97AD4"/>
    <w:rsid w:val="00BA1ECC"/>
    <w:rsid w:val="00BA37BF"/>
    <w:rsid w:val="00BA3F77"/>
    <w:rsid w:val="00BA4CAD"/>
    <w:rsid w:val="00BA7FA4"/>
    <w:rsid w:val="00BB145B"/>
    <w:rsid w:val="00BB18D0"/>
    <w:rsid w:val="00BB51D5"/>
    <w:rsid w:val="00BB6388"/>
    <w:rsid w:val="00BB7084"/>
    <w:rsid w:val="00BB7FC7"/>
    <w:rsid w:val="00BC1F1C"/>
    <w:rsid w:val="00BD1AA4"/>
    <w:rsid w:val="00BD217B"/>
    <w:rsid w:val="00BD305F"/>
    <w:rsid w:val="00BD3899"/>
    <w:rsid w:val="00BD7F74"/>
    <w:rsid w:val="00BE162D"/>
    <w:rsid w:val="00BE2A2D"/>
    <w:rsid w:val="00BE3307"/>
    <w:rsid w:val="00BE52A6"/>
    <w:rsid w:val="00BF08F7"/>
    <w:rsid w:val="00BF4607"/>
    <w:rsid w:val="00C07928"/>
    <w:rsid w:val="00C109D3"/>
    <w:rsid w:val="00C11053"/>
    <w:rsid w:val="00C16272"/>
    <w:rsid w:val="00C1691A"/>
    <w:rsid w:val="00C1717A"/>
    <w:rsid w:val="00C1781F"/>
    <w:rsid w:val="00C22FDD"/>
    <w:rsid w:val="00C23346"/>
    <w:rsid w:val="00C2622C"/>
    <w:rsid w:val="00C27859"/>
    <w:rsid w:val="00C31730"/>
    <w:rsid w:val="00C32BEC"/>
    <w:rsid w:val="00C41617"/>
    <w:rsid w:val="00C42C55"/>
    <w:rsid w:val="00C51579"/>
    <w:rsid w:val="00C55DAB"/>
    <w:rsid w:val="00C61DB7"/>
    <w:rsid w:val="00C6752C"/>
    <w:rsid w:val="00C678D4"/>
    <w:rsid w:val="00C73020"/>
    <w:rsid w:val="00C73096"/>
    <w:rsid w:val="00C761F8"/>
    <w:rsid w:val="00C764B2"/>
    <w:rsid w:val="00C80988"/>
    <w:rsid w:val="00C83077"/>
    <w:rsid w:val="00C8315E"/>
    <w:rsid w:val="00C8455C"/>
    <w:rsid w:val="00C865CE"/>
    <w:rsid w:val="00C9095C"/>
    <w:rsid w:val="00C92BEA"/>
    <w:rsid w:val="00C954AC"/>
    <w:rsid w:val="00C96AA9"/>
    <w:rsid w:val="00C96F99"/>
    <w:rsid w:val="00CA34D7"/>
    <w:rsid w:val="00CA42F1"/>
    <w:rsid w:val="00CA4AD9"/>
    <w:rsid w:val="00CA7F3D"/>
    <w:rsid w:val="00CB02E0"/>
    <w:rsid w:val="00CB187D"/>
    <w:rsid w:val="00CC0B22"/>
    <w:rsid w:val="00CC30F0"/>
    <w:rsid w:val="00CC32F3"/>
    <w:rsid w:val="00CD1784"/>
    <w:rsid w:val="00CD1AAF"/>
    <w:rsid w:val="00CD3D63"/>
    <w:rsid w:val="00CD6333"/>
    <w:rsid w:val="00CD67A5"/>
    <w:rsid w:val="00CE0A9C"/>
    <w:rsid w:val="00CE0FC3"/>
    <w:rsid w:val="00CE13F7"/>
    <w:rsid w:val="00CE24F8"/>
    <w:rsid w:val="00CE468C"/>
    <w:rsid w:val="00D02530"/>
    <w:rsid w:val="00D02CC6"/>
    <w:rsid w:val="00D0607C"/>
    <w:rsid w:val="00D105CA"/>
    <w:rsid w:val="00D10D67"/>
    <w:rsid w:val="00D116BA"/>
    <w:rsid w:val="00D12FC1"/>
    <w:rsid w:val="00D132F2"/>
    <w:rsid w:val="00D16A30"/>
    <w:rsid w:val="00D20568"/>
    <w:rsid w:val="00D229A8"/>
    <w:rsid w:val="00D230FD"/>
    <w:rsid w:val="00D23541"/>
    <w:rsid w:val="00D23DEF"/>
    <w:rsid w:val="00D241F5"/>
    <w:rsid w:val="00D25A5D"/>
    <w:rsid w:val="00D271E6"/>
    <w:rsid w:val="00D37168"/>
    <w:rsid w:val="00D41B94"/>
    <w:rsid w:val="00D44EB1"/>
    <w:rsid w:val="00D50662"/>
    <w:rsid w:val="00D6260A"/>
    <w:rsid w:val="00D627A8"/>
    <w:rsid w:val="00D637B4"/>
    <w:rsid w:val="00D64D6E"/>
    <w:rsid w:val="00D6540B"/>
    <w:rsid w:val="00D66222"/>
    <w:rsid w:val="00D67A14"/>
    <w:rsid w:val="00D70D56"/>
    <w:rsid w:val="00D74DFB"/>
    <w:rsid w:val="00D76C8D"/>
    <w:rsid w:val="00D76D56"/>
    <w:rsid w:val="00D81314"/>
    <w:rsid w:val="00D81D1A"/>
    <w:rsid w:val="00D82520"/>
    <w:rsid w:val="00D83ACB"/>
    <w:rsid w:val="00D83DCB"/>
    <w:rsid w:val="00D83F43"/>
    <w:rsid w:val="00D86B58"/>
    <w:rsid w:val="00D923F9"/>
    <w:rsid w:val="00D927B8"/>
    <w:rsid w:val="00D931A7"/>
    <w:rsid w:val="00D933BC"/>
    <w:rsid w:val="00D97705"/>
    <w:rsid w:val="00DA60DF"/>
    <w:rsid w:val="00DB01F7"/>
    <w:rsid w:val="00DB10A5"/>
    <w:rsid w:val="00DB3901"/>
    <w:rsid w:val="00DB7060"/>
    <w:rsid w:val="00DB7F7B"/>
    <w:rsid w:val="00DC1D67"/>
    <w:rsid w:val="00DC47C0"/>
    <w:rsid w:val="00DC7BE6"/>
    <w:rsid w:val="00DD3430"/>
    <w:rsid w:val="00DD3D3C"/>
    <w:rsid w:val="00DD3F10"/>
    <w:rsid w:val="00DD4C18"/>
    <w:rsid w:val="00DD708A"/>
    <w:rsid w:val="00DE0E3A"/>
    <w:rsid w:val="00DE102A"/>
    <w:rsid w:val="00DE26FF"/>
    <w:rsid w:val="00DE2AD1"/>
    <w:rsid w:val="00DE3C40"/>
    <w:rsid w:val="00DF539A"/>
    <w:rsid w:val="00DF7671"/>
    <w:rsid w:val="00E01E56"/>
    <w:rsid w:val="00E0234F"/>
    <w:rsid w:val="00E03981"/>
    <w:rsid w:val="00E04D7E"/>
    <w:rsid w:val="00E07049"/>
    <w:rsid w:val="00E101AF"/>
    <w:rsid w:val="00E11A1F"/>
    <w:rsid w:val="00E1323D"/>
    <w:rsid w:val="00E16359"/>
    <w:rsid w:val="00E34D4A"/>
    <w:rsid w:val="00E355BB"/>
    <w:rsid w:val="00E36E61"/>
    <w:rsid w:val="00E36FF7"/>
    <w:rsid w:val="00E370CA"/>
    <w:rsid w:val="00E426BD"/>
    <w:rsid w:val="00E4339E"/>
    <w:rsid w:val="00E462D4"/>
    <w:rsid w:val="00E5420C"/>
    <w:rsid w:val="00E54CD1"/>
    <w:rsid w:val="00E56485"/>
    <w:rsid w:val="00E60914"/>
    <w:rsid w:val="00E6119D"/>
    <w:rsid w:val="00E642B7"/>
    <w:rsid w:val="00E64D91"/>
    <w:rsid w:val="00E65439"/>
    <w:rsid w:val="00E6626F"/>
    <w:rsid w:val="00E66736"/>
    <w:rsid w:val="00E66F97"/>
    <w:rsid w:val="00E83591"/>
    <w:rsid w:val="00E959DC"/>
    <w:rsid w:val="00E95A46"/>
    <w:rsid w:val="00EA1FEE"/>
    <w:rsid w:val="00EA3D4F"/>
    <w:rsid w:val="00EA564E"/>
    <w:rsid w:val="00EA5F51"/>
    <w:rsid w:val="00EA6F68"/>
    <w:rsid w:val="00EA7E48"/>
    <w:rsid w:val="00EB026B"/>
    <w:rsid w:val="00EB21BE"/>
    <w:rsid w:val="00EB21E0"/>
    <w:rsid w:val="00EB25CD"/>
    <w:rsid w:val="00EB2B83"/>
    <w:rsid w:val="00EB367F"/>
    <w:rsid w:val="00EB4528"/>
    <w:rsid w:val="00EB47ED"/>
    <w:rsid w:val="00EB5095"/>
    <w:rsid w:val="00EB5FDA"/>
    <w:rsid w:val="00EB6194"/>
    <w:rsid w:val="00EB6D9B"/>
    <w:rsid w:val="00EC12F2"/>
    <w:rsid w:val="00EC2147"/>
    <w:rsid w:val="00EC4023"/>
    <w:rsid w:val="00EC4242"/>
    <w:rsid w:val="00EC6DCD"/>
    <w:rsid w:val="00ED72F9"/>
    <w:rsid w:val="00EE69F8"/>
    <w:rsid w:val="00EF2B11"/>
    <w:rsid w:val="00EF581A"/>
    <w:rsid w:val="00EF6E77"/>
    <w:rsid w:val="00EF7332"/>
    <w:rsid w:val="00F00CB3"/>
    <w:rsid w:val="00F0456A"/>
    <w:rsid w:val="00F078EB"/>
    <w:rsid w:val="00F13190"/>
    <w:rsid w:val="00F20B5F"/>
    <w:rsid w:val="00F211E5"/>
    <w:rsid w:val="00F22F32"/>
    <w:rsid w:val="00F23E5D"/>
    <w:rsid w:val="00F248BD"/>
    <w:rsid w:val="00F320C2"/>
    <w:rsid w:val="00F34739"/>
    <w:rsid w:val="00F356FD"/>
    <w:rsid w:val="00F408BF"/>
    <w:rsid w:val="00F42F50"/>
    <w:rsid w:val="00F43049"/>
    <w:rsid w:val="00F4325E"/>
    <w:rsid w:val="00F45D90"/>
    <w:rsid w:val="00F47A01"/>
    <w:rsid w:val="00F5137A"/>
    <w:rsid w:val="00F5417A"/>
    <w:rsid w:val="00F54480"/>
    <w:rsid w:val="00F56E9F"/>
    <w:rsid w:val="00F61D1E"/>
    <w:rsid w:val="00F63110"/>
    <w:rsid w:val="00F63852"/>
    <w:rsid w:val="00F63A38"/>
    <w:rsid w:val="00F64542"/>
    <w:rsid w:val="00F65321"/>
    <w:rsid w:val="00F65643"/>
    <w:rsid w:val="00F66DEF"/>
    <w:rsid w:val="00F67255"/>
    <w:rsid w:val="00F70ABE"/>
    <w:rsid w:val="00F7226A"/>
    <w:rsid w:val="00F73289"/>
    <w:rsid w:val="00F748D4"/>
    <w:rsid w:val="00F77A3D"/>
    <w:rsid w:val="00F8351C"/>
    <w:rsid w:val="00F83DB3"/>
    <w:rsid w:val="00F83FF6"/>
    <w:rsid w:val="00F85C21"/>
    <w:rsid w:val="00F87366"/>
    <w:rsid w:val="00F877C8"/>
    <w:rsid w:val="00F9215E"/>
    <w:rsid w:val="00F94DE8"/>
    <w:rsid w:val="00F96DAA"/>
    <w:rsid w:val="00F97891"/>
    <w:rsid w:val="00FA159A"/>
    <w:rsid w:val="00FA37F8"/>
    <w:rsid w:val="00FA437D"/>
    <w:rsid w:val="00FA50C7"/>
    <w:rsid w:val="00FA5A33"/>
    <w:rsid w:val="00FB5B33"/>
    <w:rsid w:val="00FB6846"/>
    <w:rsid w:val="00FC0E53"/>
    <w:rsid w:val="00FC10B7"/>
    <w:rsid w:val="00FD4119"/>
    <w:rsid w:val="00FD4C6D"/>
    <w:rsid w:val="00FD4CF3"/>
    <w:rsid w:val="00FD5821"/>
    <w:rsid w:val="00FD5DB7"/>
    <w:rsid w:val="00FD5E12"/>
    <w:rsid w:val="00FD5E21"/>
    <w:rsid w:val="00FD6772"/>
    <w:rsid w:val="00FE0228"/>
    <w:rsid w:val="00FE24DE"/>
    <w:rsid w:val="00FF109D"/>
    <w:rsid w:val="01A05894"/>
    <w:rsid w:val="02279334"/>
    <w:rsid w:val="0410C98D"/>
    <w:rsid w:val="0F9C4922"/>
    <w:rsid w:val="180B641D"/>
    <w:rsid w:val="2AC36539"/>
    <w:rsid w:val="2E84C412"/>
    <w:rsid w:val="3684B64B"/>
    <w:rsid w:val="4EA189C2"/>
    <w:rsid w:val="60686687"/>
    <w:rsid w:val="60F1DC53"/>
    <w:rsid w:val="6DC282BF"/>
    <w:rsid w:val="7D3A5CBA"/>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B3B6C7"/>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lsdException w:name="Signature" w:semiHidden="1" w:unhideWhenUsed="1"/>
    <w:lsdException w:name="Default Paragraph Font" w:semiHidden="1" w:uiPriority="1" w:unhideWhenUsed="1"/>
    <w:lsdException w:name="Body Text" w:semiHidden="1" w:uiPriority="1" w:unhideWhenUsed="1"/>
    <w:lsdException w:name="Body Text Indent" w:semiHidden="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unhideWhenUsed="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882706"/>
    <w:pPr>
      <w:spacing w:after="120"/>
    </w:pPr>
    <w:rPr>
      <w:rFonts w:ascii="Arial" w:hAnsi="Arial"/>
    </w:rPr>
  </w:style>
  <w:style w:type="paragraph" w:styleId="Heading1">
    <w:name w:val="heading 1"/>
    <w:basedOn w:val="Normal"/>
    <w:next w:val="Normal"/>
    <w:link w:val="Heading1Char"/>
    <w:uiPriority w:val="9"/>
    <w:qFormat/>
    <w:rsid w:val="004846B0"/>
    <w:pPr>
      <w:keepNext/>
      <w:keepLines/>
      <w:spacing w:before="360" w:after="240" w:line="240" w:lineRule="auto"/>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qFormat/>
    <w:rsid w:val="006A473A"/>
    <w:pPr>
      <w:keepNext/>
      <w:keepLines/>
      <w:spacing w:before="360" w:line="240" w:lineRule="auto"/>
      <w:outlineLvl w:val="1"/>
    </w:pPr>
    <w:rPr>
      <w:rFonts w:eastAsiaTheme="majorEastAsia" w:cstheme="majorBidi"/>
      <w:b/>
      <w:i/>
      <w:sz w:val="28"/>
      <w:szCs w:val="26"/>
    </w:rPr>
  </w:style>
  <w:style w:type="paragraph" w:styleId="Heading3">
    <w:name w:val="heading 3"/>
    <w:basedOn w:val="Normal"/>
    <w:next w:val="Normal"/>
    <w:link w:val="Heading3Char"/>
    <w:uiPriority w:val="9"/>
    <w:qFormat/>
    <w:rsid w:val="00EC4242"/>
    <w:pPr>
      <w:keepNext/>
      <w:keepLines/>
      <w:spacing w:before="280" w:after="200" w:line="240" w:lineRule="auto"/>
      <w:outlineLvl w:val="2"/>
    </w:pPr>
    <w:rPr>
      <w:rFonts w:eastAsiaTheme="majorEastAsia" w:cstheme="majorBidi"/>
      <w:b/>
      <w:sz w:val="24"/>
      <w:szCs w:val="24"/>
    </w:rPr>
  </w:style>
  <w:style w:type="paragraph" w:styleId="Heading4">
    <w:name w:val="heading 4"/>
    <w:basedOn w:val="Normal"/>
    <w:next w:val="Normal"/>
    <w:link w:val="Heading4Char"/>
    <w:uiPriority w:val="9"/>
    <w:semiHidden/>
    <w:rsid w:val="00980E85"/>
    <w:pPr>
      <w:keepNext/>
      <w:keepLines/>
      <w:spacing w:before="40" w:after="0"/>
      <w:outlineLvl w:val="3"/>
    </w:pPr>
    <w:rPr>
      <w:rFonts w:asciiTheme="majorHAnsi" w:eastAsiaTheme="majorEastAsia" w:hAnsiTheme="majorHAnsi" w:cstheme="majorBidi"/>
      <w:i/>
      <w:iCs/>
      <w:color w:val="201B4D" w:themeColor="accent1" w:themeShade="BF"/>
    </w:rPr>
  </w:style>
  <w:style w:type="paragraph" w:styleId="Heading5">
    <w:name w:val="heading 5"/>
    <w:basedOn w:val="Normal"/>
    <w:next w:val="Normal"/>
    <w:link w:val="Heading5Char"/>
    <w:uiPriority w:val="9"/>
    <w:semiHidden/>
    <w:rsid w:val="00461A9A"/>
    <w:pPr>
      <w:keepNext/>
      <w:keepLines/>
      <w:spacing w:before="40" w:after="0"/>
      <w:outlineLvl w:val="4"/>
    </w:pPr>
    <w:rPr>
      <w:rFonts w:asciiTheme="majorHAnsi" w:eastAsiaTheme="majorEastAsia" w:hAnsiTheme="majorHAnsi" w:cstheme="majorBidi"/>
      <w:color w:val="201B4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4198B"/>
    <w:rPr>
      <w:rFonts w:ascii="Arial" w:eastAsiaTheme="majorEastAsia" w:hAnsi="Arial" w:cstheme="majorBidi"/>
      <w:b/>
      <w:i/>
      <w:sz w:val="28"/>
      <w:szCs w:val="26"/>
    </w:rPr>
  </w:style>
  <w:style w:type="character" w:customStyle="1" w:styleId="Heading1Char">
    <w:name w:val="Heading 1 Char"/>
    <w:basedOn w:val="DefaultParagraphFont"/>
    <w:link w:val="Heading1"/>
    <w:uiPriority w:val="9"/>
    <w:rsid w:val="0064198B"/>
    <w:rPr>
      <w:rFonts w:ascii="Arial" w:eastAsiaTheme="majorEastAsia" w:hAnsi="Arial" w:cstheme="majorBidi"/>
      <w:b/>
      <w:color w:val="000000" w:themeColor="text1"/>
      <w:sz w:val="36"/>
      <w:szCs w:val="32"/>
    </w:rPr>
  </w:style>
  <w:style w:type="paragraph" w:styleId="TOCHeading">
    <w:name w:val="TOC Heading"/>
    <w:basedOn w:val="Heading1"/>
    <w:next w:val="Normal"/>
    <w:uiPriority w:val="39"/>
    <w:unhideWhenUsed/>
    <w:rsid w:val="00E54CD1"/>
    <w:pPr>
      <w:spacing w:before="0" w:after="360"/>
    </w:pPr>
    <w:rPr>
      <w:color w:val="293868"/>
    </w:rPr>
  </w:style>
  <w:style w:type="paragraph" w:styleId="TOC2">
    <w:name w:val="toc 2"/>
    <w:basedOn w:val="Normal"/>
    <w:next w:val="Normal"/>
    <w:autoRedefine/>
    <w:uiPriority w:val="39"/>
    <w:unhideWhenUsed/>
    <w:rsid w:val="002A1776"/>
    <w:pPr>
      <w:tabs>
        <w:tab w:val="left" w:pos="880"/>
        <w:tab w:val="right" w:pos="9016"/>
      </w:tabs>
      <w:spacing w:after="60"/>
      <w:ind w:left="425"/>
    </w:pPr>
    <w:rPr>
      <w:noProof/>
    </w:rPr>
  </w:style>
  <w:style w:type="character" w:styleId="Hyperlink">
    <w:name w:val="Hyperlink"/>
    <w:basedOn w:val="DefaultParagraphFont"/>
    <w:uiPriority w:val="99"/>
    <w:unhideWhenUsed/>
    <w:rsid w:val="00BB7FC7"/>
    <w:rPr>
      <w:color w:val="2C2568" w:themeColor="hyperlink"/>
      <w:u w:val="single"/>
    </w:rPr>
  </w:style>
  <w:style w:type="table" w:styleId="TableGrid">
    <w:name w:val="Table Grid"/>
    <w:basedOn w:val="TableNormal"/>
    <w:uiPriority w:val="59"/>
    <w:rsid w:val="00BB7F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semiHidden/>
    <w:rsid w:val="00BB7FC7"/>
    <w:pPr>
      <w:ind w:left="720"/>
      <w:contextualSpacing/>
    </w:pPr>
  </w:style>
  <w:style w:type="paragraph" w:styleId="Caption">
    <w:name w:val="caption"/>
    <w:basedOn w:val="Normal"/>
    <w:next w:val="Normal"/>
    <w:uiPriority w:val="35"/>
    <w:unhideWhenUsed/>
    <w:rsid w:val="004D0AD0"/>
    <w:pPr>
      <w:spacing w:line="240" w:lineRule="auto"/>
    </w:pPr>
    <w:rPr>
      <w:i/>
      <w:iCs/>
      <w:color w:val="44546A" w:themeColor="text2"/>
      <w:sz w:val="18"/>
      <w:szCs w:val="18"/>
    </w:rPr>
  </w:style>
  <w:style w:type="character" w:customStyle="1" w:styleId="Heading3Char">
    <w:name w:val="Heading 3 Char"/>
    <w:basedOn w:val="DefaultParagraphFont"/>
    <w:link w:val="Heading3"/>
    <w:uiPriority w:val="9"/>
    <w:rsid w:val="0064198B"/>
    <w:rPr>
      <w:rFonts w:ascii="Arial" w:eastAsiaTheme="majorEastAsia" w:hAnsi="Arial" w:cstheme="majorBidi"/>
      <w:b/>
      <w:sz w:val="24"/>
      <w:szCs w:val="24"/>
    </w:rPr>
  </w:style>
  <w:style w:type="paragraph" w:styleId="Quote">
    <w:name w:val="Quote"/>
    <w:basedOn w:val="Normal"/>
    <w:next w:val="Normal"/>
    <w:link w:val="QuoteChar"/>
    <w:uiPriority w:val="29"/>
    <w:semiHidden/>
    <w:rsid w:val="007351D5"/>
    <w:pPr>
      <w:spacing w:before="240" w:after="60"/>
      <w:ind w:left="709" w:right="709"/>
    </w:pPr>
    <w:rPr>
      <w:iCs/>
      <w:color w:val="595959" w:themeColor="text1" w:themeTint="A6"/>
    </w:rPr>
  </w:style>
  <w:style w:type="character" w:customStyle="1" w:styleId="QuoteChar">
    <w:name w:val="Quote Char"/>
    <w:basedOn w:val="DefaultParagraphFont"/>
    <w:link w:val="Quote"/>
    <w:uiPriority w:val="29"/>
    <w:semiHidden/>
    <w:rsid w:val="0064198B"/>
    <w:rPr>
      <w:rFonts w:ascii="Arial" w:hAnsi="Arial"/>
      <w:iCs/>
      <w:color w:val="595959" w:themeColor="text1" w:themeTint="A6"/>
    </w:rPr>
  </w:style>
  <w:style w:type="paragraph" w:styleId="TOC3">
    <w:name w:val="toc 3"/>
    <w:basedOn w:val="Normal"/>
    <w:next w:val="Normal"/>
    <w:autoRedefine/>
    <w:uiPriority w:val="39"/>
    <w:unhideWhenUsed/>
    <w:rsid w:val="004C24CF"/>
    <w:pPr>
      <w:tabs>
        <w:tab w:val="right" w:leader="dot" w:pos="9016"/>
      </w:tabs>
      <w:spacing w:after="40"/>
      <w:ind w:left="851"/>
    </w:pPr>
  </w:style>
  <w:style w:type="paragraph" w:customStyle="1" w:styleId="Body">
    <w:name w:val="Body"/>
    <w:semiHidden/>
    <w:rsid w:val="00CC32F3"/>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NZ"/>
    </w:rPr>
  </w:style>
  <w:style w:type="numbering" w:customStyle="1" w:styleId="Dash">
    <w:name w:val="Dash"/>
    <w:rsid w:val="00CC32F3"/>
    <w:pPr>
      <w:numPr>
        <w:numId w:val="6"/>
      </w:numPr>
    </w:pPr>
  </w:style>
  <w:style w:type="character" w:customStyle="1" w:styleId="Heading4Char">
    <w:name w:val="Heading 4 Char"/>
    <w:basedOn w:val="DefaultParagraphFont"/>
    <w:link w:val="Heading4"/>
    <w:uiPriority w:val="9"/>
    <w:semiHidden/>
    <w:rsid w:val="0064198B"/>
    <w:rPr>
      <w:rFonts w:asciiTheme="majorHAnsi" w:eastAsiaTheme="majorEastAsia" w:hAnsiTheme="majorHAnsi" w:cstheme="majorBidi"/>
      <w:i/>
      <w:iCs/>
      <w:color w:val="201B4D" w:themeColor="accent1" w:themeShade="BF"/>
    </w:rPr>
  </w:style>
  <w:style w:type="paragraph" w:styleId="BalloonText">
    <w:name w:val="Balloon Text"/>
    <w:basedOn w:val="Normal"/>
    <w:link w:val="BalloonTextChar"/>
    <w:uiPriority w:val="99"/>
    <w:semiHidden/>
    <w:rsid w:val="006E1E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198B"/>
    <w:rPr>
      <w:rFonts w:ascii="Segoe UI" w:hAnsi="Segoe UI" w:cs="Segoe UI"/>
      <w:sz w:val="18"/>
      <w:szCs w:val="18"/>
    </w:rPr>
  </w:style>
  <w:style w:type="character" w:styleId="CommentReference">
    <w:name w:val="annotation reference"/>
    <w:basedOn w:val="DefaultParagraphFont"/>
    <w:uiPriority w:val="99"/>
    <w:semiHidden/>
    <w:rsid w:val="00C61DB7"/>
    <w:rPr>
      <w:sz w:val="16"/>
      <w:szCs w:val="16"/>
    </w:rPr>
  </w:style>
  <w:style w:type="paragraph" w:styleId="CommentText">
    <w:name w:val="annotation text"/>
    <w:basedOn w:val="Normal"/>
    <w:link w:val="CommentTextChar"/>
    <w:uiPriority w:val="99"/>
    <w:semiHidden/>
    <w:rsid w:val="00C61DB7"/>
    <w:pPr>
      <w:spacing w:line="240" w:lineRule="auto"/>
    </w:pPr>
    <w:rPr>
      <w:sz w:val="20"/>
      <w:szCs w:val="20"/>
    </w:rPr>
  </w:style>
  <w:style w:type="character" w:customStyle="1" w:styleId="CommentTextChar">
    <w:name w:val="Comment Text Char"/>
    <w:basedOn w:val="DefaultParagraphFont"/>
    <w:link w:val="CommentText"/>
    <w:uiPriority w:val="99"/>
    <w:semiHidden/>
    <w:rsid w:val="0064198B"/>
    <w:rPr>
      <w:rFonts w:ascii="Arial" w:hAnsi="Arial"/>
      <w:sz w:val="20"/>
      <w:szCs w:val="20"/>
    </w:rPr>
  </w:style>
  <w:style w:type="paragraph" w:styleId="CommentSubject">
    <w:name w:val="annotation subject"/>
    <w:basedOn w:val="CommentText"/>
    <w:next w:val="CommentText"/>
    <w:link w:val="CommentSubjectChar"/>
    <w:uiPriority w:val="99"/>
    <w:semiHidden/>
    <w:rsid w:val="00C61DB7"/>
    <w:rPr>
      <w:b/>
      <w:bCs/>
    </w:rPr>
  </w:style>
  <w:style w:type="character" w:customStyle="1" w:styleId="CommentSubjectChar">
    <w:name w:val="Comment Subject Char"/>
    <w:basedOn w:val="CommentTextChar"/>
    <w:link w:val="CommentSubject"/>
    <w:uiPriority w:val="99"/>
    <w:semiHidden/>
    <w:rsid w:val="0064198B"/>
    <w:rPr>
      <w:rFonts w:ascii="Arial" w:hAnsi="Arial"/>
      <w:b/>
      <w:bCs/>
      <w:sz w:val="20"/>
      <w:szCs w:val="20"/>
    </w:rPr>
  </w:style>
  <w:style w:type="character" w:customStyle="1" w:styleId="Heading5Char">
    <w:name w:val="Heading 5 Char"/>
    <w:basedOn w:val="DefaultParagraphFont"/>
    <w:link w:val="Heading5"/>
    <w:uiPriority w:val="9"/>
    <w:semiHidden/>
    <w:rsid w:val="0064198B"/>
    <w:rPr>
      <w:rFonts w:asciiTheme="majorHAnsi" w:eastAsiaTheme="majorEastAsia" w:hAnsiTheme="majorHAnsi" w:cstheme="majorBidi"/>
      <w:color w:val="201B4D" w:themeColor="accent1" w:themeShade="BF"/>
    </w:rPr>
  </w:style>
  <w:style w:type="paragraph" w:styleId="EndnoteText">
    <w:name w:val="endnote text"/>
    <w:basedOn w:val="Normal"/>
    <w:link w:val="EndnoteTextChar"/>
    <w:uiPriority w:val="99"/>
    <w:semiHidden/>
    <w:rsid w:val="003C45E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4198B"/>
    <w:rPr>
      <w:rFonts w:ascii="Arial" w:hAnsi="Arial"/>
      <w:sz w:val="20"/>
      <w:szCs w:val="20"/>
    </w:rPr>
  </w:style>
  <w:style w:type="character" w:styleId="EndnoteReference">
    <w:name w:val="endnote reference"/>
    <w:basedOn w:val="DefaultParagraphFont"/>
    <w:uiPriority w:val="99"/>
    <w:semiHidden/>
    <w:rsid w:val="003C45E1"/>
    <w:rPr>
      <w:vertAlign w:val="superscript"/>
    </w:rPr>
  </w:style>
  <w:style w:type="paragraph" w:styleId="Header">
    <w:name w:val="header"/>
    <w:basedOn w:val="Normal"/>
    <w:link w:val="HeaderChar"/>
    <w:uiPriority w:val="99"/>
    <w:semiHidden/>
    <w:rsid w:val="007922E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4198B"/>
    <w:rPr>
      <w:rFonts w:ascii="Arial" w:hAnsi="Arial"/>
    </w:rPr>
  </w:style>
  <w:style w:type="paragraph" w:styleId="Footer">
    <w:name w:val="footer"/>
    <w:basedOn w:val="Normal"/>
    <w:link w:val="FooterChar"/>
    <w:uiPriority w:val="99"/>
    <w:unhideWhenUsed/>
    <w:rsid w:val="0017350C"/>
    <w:pPr>
      <w:tabs>
        <w:tab w:val="right" w:pos="9026"/>
      </w:tabs>
      <w:spacing w:after="0" w:line="240" w:lineRule="auto"/>
    </w:pPr>
    <w:rPr>
      <w:sz w:val="20"/>
      <w:szCs w:val="20"/>
    </w:rPr>
  </w:style>
  <w:style w:type="character" w:customStyle="1" w:styleId="FooterChar">
    <w:name w:val="Footer Char"/>
    <w:basedOn w:val="DefaultParagraphFont"/>
    <w:link w:val="Footer"/>
    <w:uiPriority w:val="99"/>
    <w:rsid w:val="0017350C"/>
    <w:rPr>
      <w:rFonts w:ascii="Arial" w:hAnsi="Arial"/>
      <w:sz w:val="20"/>
      <w:szCs w:val="20"/>
    </w:rPr>
  </w:style>
  <w:style w:type="paragraph" w:styleId="Revision">
    <w:name w:val="Revision"/>
    <w:hidden/>
    <w:uiPriority w:val="99"/>
    <w:semiHidden/>
    <w:rsid w:val="00356454"/>
    <w:pPr>
      <w:spacing w:after="0" w:line="240" w:lineRule="auto"/>
    </w:pPr>
  </w:style>
  <w:style w:type="paragraph" w:styleId="NormalIndent">
    <w:name w:val="Normal Indent"/>
    <w:basedOn w:val="Normal"/>
    <w:uiPriority w:val="99"/>
    <w:semiHidden/>
    <w:rsid w:val="00851905"/>
    <w:pPr>
      <w:ind w:left="720"/>
    </w:pPr>
  </w:style>
  <w:style w:type="paragraph" w:styleId="ListContinue">
    <w:name w:val="List Continue"/>
    <w:basedOn w:val="Normal"/>
    <w:uiPriority w:val="99"/>
    <w:semiHidden/>
    <w:rsid w:val="002665C5"/>
    <w:pPr>
      <w:ind w:left="283"/>
      <w:contextualSpacing/>
    </w:pPr>
  </w:style>
  <w:style w:type="paragraph" w:styleId="List">
    <w:name w:val="List"/>
    <w:basedOn w:val="Normal"/>
    <w:uiPriority w:val="99"/>
    <w:semiHidden/>
    <w:rsid w:val="00FD5821"/>
    <w:pPr>
      <w:ind w:left="283" w:hanging="283"/>
      <w:contextualSpacing/>
    </w:pPr>
  </w:style>
  <w:style w:type="paragraph" w:styleId="TOC1">
    <w:name w:val="toc 1"/>
    <w:basedOn w:val="Normal"/>
    <w:next w:val="Normal"/>
    <w:autoRedefine/>
    <w:uiPriority w:val="39"/>
    <w:unhideWhenUsed/>
    <w:rsid w:val="002A1776"/>
    <w:pPr>
      <w:tabs>
        <w:tab w:val="right" w:pos="9015"/>
      </w:tabs>
      <w:spacing w:after="100"/>
    </w:pPr>
    <w:rPr>
      <w:noProof/>
    </w:rPr>
  </w:style>
  <w:style w:type="paragraph" w:styleId="ListBullet">
    <w:name w:val="List Bullet"/>
    <w:basedOn w:val="Normal"/>
    <w:link w:val="ListBulletChar"/>
    <w:uiPriority w:val="99"/>
    <w:semiHidden/>
    <w:rsid w:val="00205AD6"/>
    <w:pPr>
      <w:contextualSpacing/>
    </w:pPr>
  </w:style>
  <w:style w:type="paragraph" w:styleId="ListNumber">
    <w:name w:val="List Number"/>
    <w:basedOn w:val="Normal"/>
    <w:uiPriority w:val="99"/>
    <w:semiHidden/>
    <w:rsid w:val="00A54CFC"/>
    <w:pPr>
      <w:numPr>
        <w:numId w:val="17"/>
      </w:numPr>
      <w:contextualSpacing/>
    </w:pPr>
  </w:style>
  <w:style w:type="paragraph" w:styleId="BodyText">
    <w:name w:val="Body Text"/>
    <w:basedOn w:val="Normal"/>
    <w:link w:val="BodyTextChar"/>
    <w:uiPriority w:val="1"/>
    <w:rsid w:val="007E0634"/>
    <w:pPr>
      <w:widowControl w:val="0"/>
    </w:pPr>
    <w:rPr>
      <w:rFonts w:eastAsia="Arial" w:cs="Arial"/>
    </w:rPr>
  </w:style>
  <w:style w:type="character" w:customStyle="1" w:styleId="BodyTextChar">
    <w:name w:val="Body Text Char"/>
    <w:basedOn w:val="DefaultParagraphFont"/>
    <w:link w:val="BodyText"/>
    <w:uiPriority w:val="1"/>
    <w:rsid w:val="007E0634"/>
    <w:rPr>
      <w:rFonts w:ascii="Arial" w:eastAsia="Arial" w:hAnsi="Arial" w:cs="Arial"/>
    </w:rPr>
  </w:style>
  <w:style w:type="paragraph" w:customStyle="1" w:styleId="Figuretableheading">
    <w:name w:val="Figure table heading"/>
    <w:basedOn w:val="Normal"/>
    <w:link w:val="FiguretableheadingChar"/>
    <w:rsid w:val="006A473A"/>
    <w:rPr>
      <w:rFonts w:cs="Arial"/>
      <w:b/>
    </w:rPr>
  </w:style>
  <w:style w:type="character" w:customStyle="1" w:styleId="FiguretableheadingChar">
    <w:name w:val="Figure table heading Char"/>
    <w:basedOn w:val="DefaultParagraphFont"/>
    <w:link w:val="Figuretableheading"/>
    <w:rsid w:val="006A473A"/>
    <w:rPr>
      <w:rFonts w:ascii="Arial" w:hAnsi="Arial" w:cs="Arial"/>
      <w:b/>
    </w:rPr>
  </w:style>
  <w:style w:type="paragraph" w:customStyle="1" w:styleId="Bullets">
    <w:name w:val="Bullets"/>
    <w:basedOn w:val="ListBullet"/>
    <w:link w:val="BulletsChar"/>
    <w:semiHidden/>
    <w:rsid w:val="008D7ACA"/>
    <w:pPr>
      <w:spacing w:after="60"/>
      <w:ind w:left="357" w:hanging="357"/>
      <w:contextualSpacing w:val="0"/>
    </w:pPr>
    <w:rPr>
      <w:rFonts w:cs="Arial"/>
    </w:rPr>
  </w:style>
  <w:style w:type="character" w:customStyle="1" w:styleId="ListBulletChar">
    <w:name w:val="List Bullet Char"/>
    <w:basedOn w:val="DefaultParagraphFont"/>
    <w:link w:val="ListBullet"/>
    <w:uiPriority w:val="99"/>
    <w:semiHidden/>
    <w:rsid w:val="0064198B"/>
    <w:rPr>
      <w:rFonts w:ascii="Arial" w:hAnsi="Arial"/>
    </w:rPr>
  </w:style>
  <w:style w:type="character" w:customStyle="1" w:styleId="BulletsChar">
    <w:name w:val="Bullets Char"/>
    <w:basedOn w:val="ListBulletChar"/>
    <w:link w:val="Bullets"/>
    <w:semiHidden/>
    <w:rsid w:val="0064198B"/>
    <w:rPr>
      <w:rFonts w:ascii="Arial" w:hAnsi="Arial" w:cs="Arial"/>
    </w:rPr>
  </w:style>
  <w:style w:type="paragraph" w:customStyle="1" w:styleId="Heading1HQSC">
    <w:name w:val="Heading 1 HQSC"/>
    <w:basedOn w:val="Heading1"/>
    <w:next w:val="BodytextHQSC"/>
    <w:qFormat/>
    <w:rsid w:val="00A313E6"/>
    <w:rPr>
      <w:rFonts w:cs="Arial"/>
      <w:color w:val="293868"/>
    </w:rPr>
  </w:style>
  <w:style w:type="paragraph" w:customStyle="1" w:styleId="BodytextHQSC">
    <w:name w:val="Body text HQSC"/>
    <w:basedOn w:val="Normal"/>
    <w:qFormat/>
    <w:rsid w:val="005C5699"/>
    <w:pPr>
      <w:spacing w:before="120" w:line="300" w:lineRule="atLeast"/>
    </w:pPr>
    <w:rPr>
      <w:rFonts w:cs="Arial"/>
    </w:rPr>
  </w:style>
  <w:style w:type="paragraph" w:customStyle="1" w:styleId="BulletsHQSC">
    <w:name w:val="Bullets HQSC"/>
    <w:basedOn w:val="Bullet"/>
    <w:rsid w:val="00882706"/>
    <w:pPr>
      <w:tabs>
        <w:tab w:val="left" w:pos="397"/>
      </w:tabs>
    </w:pPr>
    <w:rPr>
      <w:rFonts w:ascii="Arial" w:hAnsi="Arial" w:cs="Arial"/>
    </w:rPr>
  </w:style>
  <w:style w:type="paragraph" w:customStyle="1" w:styleId="IndentedquoteHQSC">
    <w:name w:val="Indented quote HQSC"/>
    <w:basedOn w:val="Quote"/>
    <w:qFormat/>
    <w:rsid w:val="009B60E1"/>
    <w:rPr>
      <w:rFonts w:cs="Arial"/>
      <w:color w:val="auto"/>
    </w:rPr>
  </w:style>
  <w:style w:type="paragraph" w:customStyle="1" w:styleId="SourceHQSC">
    <w:name w:val="Source HQSC"/>
    <w:basedOn w:val="NormalIndent"/>
    <w:qFormat/>
    <w:rsid w:val="00792E41"/>
    <w:rPr>
      <w:rFonts w:cs="Arial"/>
    </w:rPr>
  </w:style>
  <w:style w:type="paragraph" w:customStyle="1" w:styleId="Heading2HQSC">
    <w:name w:val="Heading 2 HQSC"/>
    <w:basedOn w:val="Heading2"/>
    <w:next w:val="BodytextHQSC"/>
    <w:qFormat/>
    <w:rsid w:val="00280BED"/>
    <w:pPr>
      <w:keepLines w:val="0"/>
      <w:spacing w:after="0"/>
    </w:pPr>
    <w:rPr>
      <w:rFonts w:cs="Arial"/>
      <w:i w:val="0"/>
      <w:color w:val="293868"/>
    </w:rPr>
  </w:style>
  <w:style w:type="paragraph" w:customStyle="1" w:styleId="Heading3HQSC">
    <w:name w:val="Heading 3 HQSC"/>
    <w:basedOn w:val="Heading3"/>
    <w:next w:val="BodytextHQSC"/>
    <w:qFormat/>
    <w:rsid w:val="007D2D9A"/>
    <w:pPr>
      <w:spacing w:after="0"/>
    </w:pPr>
    <w:rPr>
      <w:rFonts w:cs="Arial"/>
    </w:rPr>
  </w:style>
  <w:style w:type="paragraph" w:customStyle="1" w:styleId="FigurecaptionHQSC">
    <w:name w:val="Figure caption HQSC"/>
    <w:basedOn w:val="Figuretableheading"/>
    <w:next w:val="BodytextHQSC"/>
    <w:rsid w:val="001B599E"/>
    <w:pPr>
      <w:keepNext/>
      <w:spacing w:before="120" w:line="300" w:lineRule="atLeast"/>
    </w:pPr>
  </w:style>
  <w:style w:type="paragraph" w:customStyle="1" w:styleId="TablecolumnheadingHQSC">
    <w:name w:val="Table column heading HQSC"/>
    <w:basedOn w:val="Normal"/>
    <w:qFormat/>
    <w:rsid w:val="00E54CD1"/>
    <w:pPr>
      <w:spacing w:before="60" w:after="60" w:line="240" w:lineRule="auto"/>
    </w:pPr>
    <w:rPr>
      <w:rFonts w:cs="Arial"/>
      <w:b/>
    </w:rPr>
  </w:style>
  <w:style w:type="paragraph" w:customStyle="1" w:styleId="TabletextHQSC">
    <w:name w:val="Table text HQSC"/>
    <w:basedOn w:val="Normal"/>
    <w:qFormat/>
    <w:rsid w:val="00E54CD1"/>
    <w:pPr>
      <w:spacing w:before="60" w:after="60" w:line="240" w:lineRule="auto"/>
    </w:pPr>
    <w:rPr>
      <w:rFonts w:cs="Arial"/>
    </w:rPr>
  </w:style>
  <w:style w:type="character" w:styleId="UnresolvedMention">
    <w:name w:val="Unresolved Mention"/>
    <w:basedOn w:val="DefaultParagraphFont"/>
    <w:uiPriority w:val="99"/>
    <w:semiHidden/>
    <w:unhideWhenUsed/>
    <w:rsid w:val="009B60E1"/>
    <w:rPr>
      <w:color w:val="605E5C"/>
      <w:shd w:val="clear" w:color="auto" w:fill="E1DFDD"/>
    </w:rPr>
  </w:style>
  <w:style w:type="table" w:customStyle="1" w:styleId="TeThHauoratable">
    <w:name w:val="Te Tāhū Hauora table"/>
    <w:basedOn w:val="TableNormal"/>
    <w:uiPriority w:val="99"/>
    <w:rsid w:val="004D6696"/>
    <w:pPr>
      <w:spacing w:after="0" w:line="240" w:lineRule="auto"/>
    </w:pPr>
    <w:rPr>
      <w:rFonts w:ascii="Arial" w:hAnsi="Arial"/>
    </w:rPr>
    <w:tblPr/>
  </w:style>
  <w:style w:type="paragraph" w:customStyle="1" w:styleId="CovertitleHQSC">
    <w:name w:val="Cover title HQSC"/>
    <w:basedOn w:val="Normal"/>
    <w:link w:val="CovertitleHQSCChar"/>
    <w:uiPriority w:val="99"/>
    <w:qFormat/>
    <w:rsid w:val="00E01E56"/>
    <w:pPr>
      <w:ind w:right="1796"/>
    </w:pPr>
    <w:rPr>
      <w:rFonts w:cs="Arial"/>
      <w:b/>
      <w:color w:val="FFFFFF" w:themeColor="background1"/>
      <w:sz w:val="44"/>
      <w:szCs w:val="44"/>
    </w:rPr>
  </w:style>
  <w:style w:type="character" w:customStyle="1" w:styleId="CovertitleHQSCChar">
    <w:name w:val="Cover title HQSC Char"/>
    <w:basedOn w:val="DefaultParagraphFont"/>
    <w:link w:val="CovertitleHQSC"/>
    <w:uiPriority w:val="99"/>
    <w:rsid w:val="005A4781"/>
    <w:rPr>
      <w:rFonts w:ascii="Arial" w:hAnsi="Arial" w:cs="Arial"/>
      <w:b/>
      <w:color w:val="FFFFFF" w:themeColor="background1"/>
      <w:sz w:val="44"/>
      <w:szCs w:val="44"/>
    </w:rPr>
  </w:style>
  <w:style w:type="paragraph" w:customStyle="1" w:styleId="coverdateHQSC">
    <w:name w:val="cover date HQSC"/>
    <w:basedOn w:val="Normal"/>
    <w:link w:val="coverdateHQSCChar"/>
    <w:uiPriority w:val="99"/>
    <w:qFormat/>
    <w:rsid w:val="00E01E56"/>
    <w:rPr>
      <w:rFonts w:cs="Arial"/>
      <w:bCs/>
      <w:color w:val="FFFFFF" w:themeColor="background1"/>
      <w:sz w:val="28"/>
      <w:szCs w:val="28"/>
    </w:rPr>
  </w:style>
  <w:style w:type="character" w:customStyle="1" w:styleId="coverdateHQSCChar">
    <w:name w:val="cover date HQSC Char"/>
    <w:basedOn w:val="DefaultParagraphFont"/>
    <w:link w:val="coverdateHQSC"/>
    <w:uiPriority w:val="99"/>
    <w:rsid w:val="005A4781"/>
    <w:rPr>
      <w:rFonts w:ascii="Arial" w:hAnsi="Arial" w:cs="Arial"/>
      <w:bCs/>
      <w:color w:val="FFFFFF" w:themeColor="background1"/>
      <w:sz w:val="28"/>
      <w:szCs w:val="28"/>
    </w:rPr>
  </w:style>
  <w:style w:type="paragraph" w:styleId="NoSpacing">
    <w:name w:val="No Spacing"/>
    <w:uiPriority w:val="1"/>
    <w:semiHidden/>
    <w:rsid w:val="00BA4CAD"/>
    <w:pPr>
      <w:spacing w:after="0" w:line="240" w:lineRule="auto"/>
    </w:pPr>
    <w:rPr>
      <w:rFonts w:ascii="Arial" w:hAnsi="Arial"/>
    </w:rPr>
  </w:style>
  <w:style w:type="numbering" w:customStyle="1" w:styleId="Style1">
    <w:name w:val="Style1"/>
    <w:uiPriority w:val="99"/>
    <w:rsid w:val="00245B70"/>
    <w:pPr>
      <w:numPr>
        <w:numId w:val="20"/>
      </w:numPr>
    </w:pPr>
  </w:style>
  <w:style w:type="paragraph" w:customStyle="1" w:styleId="Bullet">
    <w:name w:val="Bullet"/>
    <w:basedOn w:val="Normal"/>
    <w:link w:val="BulletChar"/>
    <w:semiHidden/>
    <w:qFormat/>
    <w:rsid w:val="002078C0"/>
    <w:pPr>
      <w:numPr>
        <w:numId w:val="21"/>
      </w:numPr>
      <w:spacing w:line="280" w:lineRule="atLeast"/>
    </w:pPr>
    <w:rPr>
      <w:rFonts w:ascii="Calibri" w:eastAsia="Times New Roman" w:hAnsi="Calibri" w:cs="Times New Roman"/>
      <w:szCs w:val="20"/>
      <w:lang w:eastAsia="en-NZ"/>
    </w:rPr>
  </w:style>
  <w:style w:type="character" w:customStyle="1" w:styleId="BulletChar">
    <w:name w:val="Bullet Char"/>
    <w:basedOn w:val="DefaultParagraphFont"/>
    <w:link w:val="Bullet"/>
    <w:semiHidden/>
    <w:locked/>
    <w:rsid w:val="00882706"/>
    <w:rPr>
      <w:rFonts w:ascii="Calibri" w:eastAsia="Times New Roman" w:hAnsi="Calibri" w:cs="Times New Roman"/>
      <w:szCs w:val="20"/>
      <w:lang w:eastAsia="en-NZ"/>
    </w:rPr>
  </w:style>
  <w:style w:type="paragraph" w:customStyle="1" w:styleId="Sub-bulletHQSC">
    <w:name w:val="Sub-bullet HQSC"/>
    <w:basedOn w:val="Normal"/>
    <w:qFormat/>
    <w:rsid w:val="00D931A7"/>
    <w:pPr>
      <w:numPr>
        <w:numId w:val="22"/>
      </w:numPr>
      <w:tabs>
        <w:tab w:val="left" w:pos="794"/>
      </w:tabs>
      <w:spacing w:line="280" w:lineRule="atLeast"/>
    </w:pPr>
    <w:rPr>
      <w:rFonts w:eastAsiaTheme="minorEastAsia"/>
      <w:lang w:eastAsia="en-NZ"/>
    </w:rPr>
  </w:style>
  <w:style w:type="character" w:styleId="FootnoteReference">
    <w:name w:val="footnote reference"/>
    <w:semiHidden/>
    <w:rsid w:val="00882706"/>
    <w:rPr>
      <w:rFonts w:ascii="Calibri" w:hAnsi="Calibri"/>
      <w:color w:val="auto"/>
      <w:sz w:val="22"/>
      <w:vertAlign w:val="superscript"/>
    </w:rPr>
  </w:style>
  <w:style w:type="paragraph" w:styleId="FootnoteText">
    <w:name w:val="footnote text"/>
    <w:basedOn w:val="Normal"/>
    <w:link w:val="FootnoteTextChar"/>
    <w:uiPriority w:val="99"/>
    <w:rsid w:val="00882706"/>
    <w:pPr>
      <w:spacing w:after="60" w:line="240" w:lineRule="atLeast"/>
      <w:ind w:left="284" w:hanging="284"/>
    </w:pPr>
    <w:rPr>
      <w:rFonts w:ascii="Calibri" w:eastAsiaTheme="minorEastAsia" w:hAnsi="Calibri"/>
      <w:sz w:val="19"/>
      <w:lang w:eastAsia="en-NZ"/>
    </w:rPr>
  </w:style>
  <w:style w:type="character" w:customStyle="1" w:styleId="FootnoteTextChar">
    <w:name w:val="Footnote Text Char"/>
    <w:basedOn w:val="DefaultParagraphFont"/>
    <w:link w:val="FootnoteText"/>
    <w:uiPriority w:val="99"/>
    <w:rsid w:val="00882706"/>
    <w:rPr>
      <w:rFonts w:ascii="Calibri" w:eastAsiaTheme="minorEastAsia" w:hAnsi="Calibri"/>
      <w:sz w:val="19"/>
      <w:lang w:eastAsia="en-NZ"/>
    </w:rPr>
  </w:style>
  <w:style w:type="paragraph" w:customStyle="1" w:styleId="TablecaptionHQSC">
    <w:name w:val="Table caption HQSC"/>
    <w:basedOn w:val="FigurecaptionHQSC"/>
    <w:qFormat/>
    <w:rsid w:val="001B599E"/>
  </w:style>
  <w:style w:type="paragraph" w:customStyle="1" w:styleId="TeThHauorabullets">
    <w:name w:val="Te Tāhū Hauora bullets"/>
    <w:basedOn w:val="Normal"/>
    <w:rsid w:val="005B41D0"/>
    <w:pPr>
      <w:numPr>
        <w:numId w:val="23"/>
      </w:numPr>
      <w:spacing w:after="60" w:line="264" w:lineRule="auto"/>
    </w:pPr>
    <w:rPr>
      <w:rFonts w:asciiTheme="minorHAnsi" w:eastAsiaTheme="minorEastAsia" w:hAnsiTheme="minorHAnsi" w:cs="Arial"/>
      <w:sz w:val="24"/>
      <w:szCs w:val="20"/>
    </w:rPr>
  </w:style>
  <w:style w:type="paragraph" w:styleId="TableofFigures">
    <w:name w:val="table of figures"/>
    <w:basedOn w:val="Normal"/>
    <w:next w:val="Normal"/>
    <w:uiPriority w:val="99"/>
    <w:unhideWhenUsed/>
    <w:rsid w:val="00D6260A"/>
    <w:pPr>
      <w:tabs>
        <w:tab w:val="right" w:pos="9060"/>
      </w:tabs>
      <w:spacing w:line="240" w:lineRule="auto"/>
    </w:pPr>
    <w:rPr>
      <w:noProof/>
    </w:rPr>
  </w:style>
  <w:style w:type="character" w:customStyle="1" w:styleId="normaltextrun">
    <w:name w:val="normaltextrun"/>
    <w:basedOn w:val="DefaultParagraphFont"/>
    <w:rsid w:val="00C32BEC"/>
  </w:style>
  <w:style w:type="character" w:customStyle="1" w:styleId="eop">
    <w:name w:val="eop"/>
    <w:basedOn w:val="DefaultParagraphFont"/>
    <w:rsid w:val="00C32B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6725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hyperlink" Target="http://www.safetydifferently.com/wp-content/uploads/2018/08/171024TheLearningReview.pdf"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info@hqsc.govt.nz" TargetMode="External"/><Relationship Id="rId17" Type="http://schemas.openxmlformats.org/officeDocument/2006/relationships/header" Target="header2.xml"/><Relationship Id="rId25" Type="http://schemas.openxmlformats.org/officeDocument/2006/relationships/hyperlink" Target="http://www.hqsc.govt.nz/assets/Our-work/System-safety/Adverse-events/Publications-resources/HLIH_poster_SAC_A3_March2024_final_web.pdf"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6.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qsc.govt.nz" TargetMode="External"/><Relationship Id="rId24" Type="http://schemas.openxmlformats.org/officeDocument/2006/relationships/hyperlink" Target="http://www.hqsc.govt.nz/assets/Our-work/System-safety/Adverse-events/Publications-resources/Pressure-Injury-Template-2024.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hqsc.govt.nz/assets/Our-work/System-safety/Adverse-events/Publications-resources/Falls-Template-2024.pdf" TargetMode="External"/><Relationship Id="rId28" Type="http://schemas.openxmlformats.org/officeDocument/2006/relationships/header" Target="header4.xml"/><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https://creativecommons.org/licenses/by-nc-sa/4.0" TargetMode="External"/><Relationship Id="rId22" Type="http://schemas.openxmlformats.org/officeDocument/2006/relationships/hyperlink" Target="https://www.hqsc.govt.nz/assets/Our-work/System-safety/Adverse-events/Publications-resources/SAC-examples-for-ARC.pdf" TargetMode="External"/><Relationship Id="rId27" Type="http://schemas.openxmlformats.org/officeDocument/2006/relationships/header" Target="header3.xml"/><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Te Tāhū Hauora">
      <a:dk1>
        <a:sysClr val="windowText" lastClr="000000"/>
      </a:dk1>
      <a:lt1>
        <a:sysClr val="window" lastClr="FFFFFF"/>
      </a:lt1>
      <a:dk2>
        <a:srgbClr val="44546A"/>
      </a:dk2>
      <a:lt2>
        <a:srgbClr val="E8E5E5"/>
      </a:lt2>
      <a:accent1>
        <a:srgbClr val="2C2568"/>
      </a:accent1>
      <a:accent2>
        <a:srgbClr val="107383"/>
      </a:accent2>
      <a:accent3>
        <a:srgbClr val="37B0A8"/>
      </a:accent3>
      <a:accent4>
        <a:srgbClr val="904281"/>
      </a:accent4>
      <a:accent5>
        <a:srgbClr val="BB7CB3"/>
      </a:accent5>
      <a:accent6>
        <a:srgbClr val="FF4F2D"/>
      </a:accent6>
      <a:hlink>
        <a:srgbClr val="2C2568"/>
      </a:hlink>
      <a:folHlink>
        <a:srgbClr val="2C25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7B848F-5191-48B7-8E1C-5CEF07D2B562}">
  <ds:schemaRefs>
    <ds:schemaRef ds:uri="http://schemas.openxmlformats.org/officeDocument/2006/bibliography"/>
  </ds:schemaRefs>
</ds:datastoreItem>
</file>

<file path=docMetadata/LabelInfo.xml><?xml version="1.0" encoding="utf-8"?>
<clbl:labelList xmlns:clbl="http://schemas.microsoft.com/office/2020/mipLabelMetadata">
  <clbl:label id="{701cefdf-35f4-4444-8638-55f0e12ab1c4}" enabled="0" method="" siteId="{701cefdf-35f4-4444-8638-55f0e12ab1c4}" removed="1"/>
</clbl:labelList>
</file>

<file path=docProps/app.xml><?xml version="1.0" encoding="utf-8"?>
<Properties xmlns="http://schemas.openxmlformats.org/officeDocument/2006/extended-properties" xmlns:vt="http://schemas.openxmlformats.org/officeDocument/2006/docPropsVTypes">
  <Template>Normal</Template>
  <TotalTime>0</TotalTime>
  <Pages>16</Pages>
  <Words>4130</Words>
  <Characters>23340</Characters>
  <Application>Microsoft Office Word</Application>
  <DocSecurity>0</DocSecurity>
  <Lines>518</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27264</CharactersWithSpaces>
  <SharedDoc>false</SharedDoc>
  <HLinks>
    <vt:vector size="138" baseType="variant">
      <vt:variant>
        <vt:i4>7667838</vt:i4>
      </vt:variant>
      <vt:variant>
        <vt:i4>120</vt:i4>
      </vt:variant>
      <vt:variant>
        <vt:i4>0</vt:i4>
      </vt:variant>
      <vt:variant>
        <vt:i4>5</vt:i4>
      </vt:variant>
      <vt:variant>
        <vt:lpwstr>http://www.safetydifferently.com/wp-content/uploads/2018/08/171024TheLearningReview.pdf</vt:lpwstr>
      </vt:variant>
      <vt:variant>
        <vt:lpwstr/>
      </vt:variant>
      <vt:variant>
        <vt:i4>2752566</vt:i4>
      </vt:variant>
      <vt:variant>
        <vt:i4>117</vt:i4>
      </vt:variant>
      <vt:variant>
        <vt:i4>0</vt:i4>
      </vt:variant>
      <vt:variant>
        <vt:i4>5</vt:i4>
      </vt:variant>
      <vt:variant>
        <vt:lpwstr>http://www.hqsc.govt.nz/assets/Our-work/System-safety/Adverse-events/Publications-resources/HLIH_poster_SAC_A3_March2024_final_web.pdf</vt:lpwstr>
      </vt:variant>
      <vt:variant>
        <vt:lpwstr/>
      </vt:variant>
      <vt:variant>
        <vt:i4>1572873</vt:i4>
      </vt:variant>
      <vt:variant>
        <vt:i4>114</vt:i4>
      </vt:variant>
      <vt:variant>
        <vt:i4>0</vt:i4>
      </vt:variant>
      <vt:variant>
        <vt:i4>5</vt:i4>
      </vt:variant>
      <vt:variant>
        <vt:lpwstr>http://www.hqsc.govt.nz/assets/Our-work/System-safety/Adverse-events/Publications-resources/Pressure-Injury-Template-2024.pdf</vt:lpwstr>
      </vt:variant>
      <vt:variant>
        <vt:lpwstr/>
      </vt:variant>
      <vt:variant>
        <vt:i4>5570590</vt:i4>
      </vt:variant>
      <vt:variant>
        <vt:i4>111</vt:i4>
      </vt:variant>
      <vt:variant>
        <vt:i4>0</vt:i4>
      </vt:variant>
      <vt:variant>
        <vt:i4>5</vt:i4>
      </vt:variant>
      <vt:variant>
        <vt:lpwstr>https://www.hqsc.govt.nz/assets/Our-work/System-safety/Adverse-events/Publications-resources/Falls-Template-2024.pdf</vt:lpwstr>
      </vt:variant>
      <vt:variant>
        <vt:lpwstr/>
      </vt:variant>
      <vt:variant>
        <vt:i4>4456517</vt:i4>
      </vt:variant>
      <vt:variant>
        <vt:i4>108</vt:i4>
      </vt:variant>
      <vt:variant>
        <vt:i4>0</vt:i4>
      </vt:variant>
      <vt:variant>
        <vt:i4>5</vt:i4>
      </vt:variant>
      <vt:variant>
        <vt:lpwstr>https://www.hqsc.govt.nz/assets/Our-work/System-safety/Adverse-events/Publications-resources/SAC-examples-for-ARC.pdf</vt:lpwstr>
      </vt:variant>
      <vt:variant>
        <vt:lpwstr/>
      </vt:variant>
      <vt:variant>
        <vt:i4>1769522</vt:i4>
      </vt:variant>
      <vt:variant>
        <vt:i4>101</vt:i4>
      </vt:variant>
      <vt:variant>
        <vt:i4>0</vt:i4>
      </vt:variant>
      <vt:variant>
        <vt:i4>5</vt:i4>
      </vt:variant>
      <vt:variant>
        <vt:lpwstr/>
      </vt:variant>
      <vt:variant>
        <vt:lpwstr>_Toc230249440</vt:lpwstr>
      </vt:variant>
      <vt:variant>
        <vt:i4>1835058</vt:i4>
      </vt:variant>
      <vt:variant>
        <vt:i4>95</vt:i4>
      </vt:variant>
      <vt:variant>
        <vt:i4>0</vt:i4>
      </vt:variant>
      <vt:variant>
        <vt:i4>5</vt:i4>
      </vt:variant>
      <vt:variant>
        <vt:lpwstr/>
      </vt:variant>
      <vt:variant>
        <vt:lpwstr>_Toc230249439</vt:lpwstr>
      </vt:variant>
      <vt:variant>
        <vt:i4>1835058</vt:i4>
      </vt:variant>
      <vt:variant>
        <vt:i4>89</vt:i4>
      </vt:variant>
      <vt:variant>
        <vt:i4>0</vt:i4>
      </vt:variant>
      <vt:variant>
        <vt:i4>5</vt:i4>
      </vt:variant>
      <vt:variant>
        <vt:lpwstr/>
      </vt:variant>
      <vt:variant>
        <vt:lpwstr>_Toc230249438</vt:lpwstr>
      </vt:variant>
      <vt:variant>
        <vt:i4>1703989</vt:i4>
      </vt:variant>
      <vt:variant>
        <vt:i4>80</vt:i4>
      </vt:variant>
      <vt:variant>
        <vt:i4>0</vt:i4>
      </vt:variant>
      <vt:variant>
        <vt:i4>5</vt:i4>
      </vt:variant>
      <vt:variant>
        <vt:lpwstr/>
      </vt:variant>
      <vt:variant>
        <vt:lpwstr>_Toc230249355</vt:lpwstr>
      </vt:variant>
      <vt:variant>
        <vt:i4>1703989</vt:i4>
      </vt:variant>
      <vt:variant>
        <vt:i4>74</vt:i4>
      </vt:variant>
      <vt:variant>
        <vt:i4>0</vt:i4>
      </vt:variant>
      <vt:variant>
        <vt:i4>5</vt:i4>
      </vt:variant>
      <vt:variant>
        <vt:lpwstr/>
      </vt:variant>
      <vt:variant>
        <vt:lpwstr>_Toc230249354</vt:lpwstr>
      </vt:variant>
      <vt:variant>
        <vt:i4>1572913</vt:i4>
      </vt:variant>
      <vt:variant>
        <vt:i4>65</vt:i4>
      </vt:variant>
      <vt:variant>
        <vt:i4>0</vt:i4>
      </vt:variant>
      <vt:variant>
        <vt:i4>5</vt:i4>
      </vt:variant>
      <vt:variant>
        <vt:lpwstr/>
      </vt:variant>
      <vt:variant>
        <vt:lpwstr>_Toc233881859</vt:lpwstr>
      </vt:variant>
      <vt:variant>
        <vt:i4>1572913</vt:i4>
      </vt:variant>
      <vt:variant>
        <vt:i4>59</vt:i4>
      </vt:variant>
      <vt:variant>
        <vt:i4>0</vt:i4>
      </vt:variant>
      <vt:variant>
        <vt:i4>5</vt:i4>
      </vt:variant>
      <vt:variant>
        <vt:lpwstr/>
      </vt:variant>
      <vt:variant>
        <vt:lpwstr>_Toc233881858</vt:lpwstr>
      </vt:variant>
      <vt:variant>
        <vt:i4>1572913</vt:i4>
      </vt:variant>
      <vt:variant>
        <vt:i4>53</vt:i4>
      </vt:variant>
      <vt:variant>
        <vt:i4>0</vt:i4>
      </vt:variant>
      <vt:variant>
        <vt:i4>5</vt:i4>
      </vt:variant>
      <vt:variant>
        <vt:lpwstr/>
      </vt:variant>
      <vt:variant>
        <vt:lpwstr>_Toc233881857</vt:lpwstr>
      </vt:variant>
      <vt:variant>
        <vt:i4>1572913</vt:i4>
      </vt:variant>
      <vt:variant>
        <vt:i4>47</vt:i4>
      </vt:variant>
      <vt:variant>
        <vt:i4>0</vt:i4>
      </vt:variant>
      <vt:variant>
        <vt:i4>5</vt:i4>
      </vt:variant>
      <vt:variant>
        <vt:lpwstr/>
      </vt:variant>
      <vt:variant>
        <vt:lpwstr>_Toc233881856</vt:lpwstr>
      </vt:variant>
      <vt:variant>
        <vt:i4>1572913</vt:i4>
      </vt:variant>
      <vt:variant>
        <vt:i4>41</vt:i4>
      </vt:variant>
      <vt:variant>
        <vt:i4>0</vt:i4>
      </vt:variant>
      <vt:variant>
        <vt:i4>5</vt:i4>
      </vt:variant>
      <vt:variant>
        <vt:lpwstr/>
      </vt:variant>
      <vt:variant>
        <vt:lpwstr>_Toc233881855</vt:lpwstr>
      </vt:variant>
      <vt:variant>
        <vt:i4>1572913</vt:i4>
      </vt:variant>
      <vt:variant>
        <vt:i4>35</vt:i4>
      </vt:variant>
      <vt:variant>
        <vt:i4>0</vt:i4>
      </vt:variant>
      <vt:variant>
        <vt:i4>5</vt:i4>
      </vt:variant>
      <vt:variant>
        <vt:lpwstr/>
      </vt:variant>
      <vt:variant>
        <vt:lpwstr>_Toc233881854</vt:lpwstr>
      </vt:variant>
      <vt:variant>
        <vt:i4>1572913</vt:i4>
      </vt:variant>
      <vt:variant>
        <vt:i4>29</vt:i4>
      </vt:variant>
      <vt:variant>
        <vt:i4>0</vt:i4>
      </vt:variant>
      <vt:variant>
        <vt:i4>5</vt:i4>
      </vt:variant>
      <vt:variant>
        <vt:lpwstr/>
      </vt:variant>
      <vt:variant>
        <vt:lpwstr>_Toc233881853</vt:lpwstr>
      </vt:variant>
      <vt:variant>
        <vt:i4>1572913</vt:i4>
      </vt:variant>
      <vt:variant>
        <vt:i4>23</vt:i4>
      </vt:variant>
      <vt:variant>
        <vt:i4>0</vt:i4>
      </vt:variant>
      <vt:variant>
        <vt:i4>5</vt:i4>
      </vt:variant>
      <vt:variant>
        <vt:lpwstr/>
      </vt:variant>
      <vt:variant>
        <vt:lpwstr>_Toc233881852</vt:lpwstr>
      </vt:variant>
      <vt:variant>
        <vt:i4>1572913</vt:i4>
      </vt:variant>
      <vt:variant>
        <vt:i4>17</vt:i4>
      </vt:variant>
      <vt:variant>
        <vt:i4>0</vt:i4>
      </vt:variant>
      <vt:variant>
        <vt:i4>5</vt:i4>
      </vt:variant>
      <vt:variant>
        <vt:lpwstr/>
      </vt:variant>
      <vt:variant>
        <vt:lpwstr>_Toc233881851</vt:lpwstr>
      </vt:variant>
      <vt:variant>
        <vt:i4>1572913</vt:i4>
      </vt:variant>
      <vt:variant>
        <vt:i4>11</vt:i4>
      </vt:variant>
      <vt:variant>
        <vt:i4>0</vt:i4>
      </vt:variant>
      <vt:variant>
        <vt:i4>5</vt:i4>
      </vt:variant>
      <vt:variant>
        <vt:lpwstr/>
      </vt:variant>
      <vt:variant>
        <vt:lpwstr>_Toc233881850</vt:lpwstr>
      </vt:variant>
      <vt:variant>
        <vt:i4>4390938</vt:i4>
      </vt:variant>
      <vt:variant>
        <vt:i4>6</vt:i4>
      </vt:variant>
      <vt:variant>
        <vt:i4>0</vt:i4>
      </vt:variant>
      <vt:variant>
        <vt:i4>5</vt:i4>
      </vt:variant>
      <vt:variant>
        <vt:lpwstr>https://creativecommons.org/licenses/by-nc-sa/4.0</vt:lpwstr>
      </vt:variant>
      <vt:variant>
        <vt:lpwstr/>
      </vt:variant>
      <vt:variant>
        <vt:i4>7995403</vt:i4>
      </vt:variant>
      <vt:variant>
        <vt:i4>3</vt:i4>
      </vt:variant>
      <vt:variant>
        <vt:i4>0</vt:i4>
      </vt:variant>
      <vt:variant>
        <vt:i4>5</vt:i4>
      </vt:variant>
      <vt:variant>
        <vt:lpwstr>mailto:info@hqsc.govt.nz</vt:lpwstr>
      </vt:variant>
      <vt:variant>
        <vt:lpwstr/>
      </vt:variant>
      <vt:variant>
        <vt:i4>4456455</vt:i4>
      </vt:variant>
      <vt:variant>
        <vt:i4>0</vt:i4>
      </vt:variant>
      <vt:variant>
        <vt:i4>0</vt:i4>
      </vt:variant>
      <vt:variant>
        <vt:i4>5</vt:i4>
      </vt:variant>
      <vt:variant>
        <vt:lpwstr>http://www.hqsc.govt.nz/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2026-07-02T22:55:00Z</dcterms:created>
  <dcterms:modified xsi:type="dcterms:W3CDTF">2026-07-02T22:55:00Z</dcterms:modified>
</cp:coreProperties>
</file>