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72EC" w14:textId="21E6728C" w:rsidR="00D12FC1" w:rsidRPr="00397686" w:rsidRDefault="006A2A46" w:rsidP="002000A2">
      <w:pPr>
        <w:tabs>
          <w:tab w:val="left" w:pos="2080"/>
          <w:tab w:val="center" w:pos="4535"/>
        </w:tabs>
        <w:jc w:val="right"/>
        <w:rPr>
          <w:rFonts w:cs="Arial"/>
        </w:rPr>
      </w:pPr>
      <w:r w:rsidRPr="00397686">
        <w:rPr>
          <w:noProof/>
          <w:color w:val="2C2568"/>
        </w:rPr>
        <w:drawing>
          <wp:anchor distT="0" distB="0" distL="114300" distR="114300" simplePos="0" relativeHeight="251658240" behindDoc="1" locked="0" layoutInCell="1" allowOverlap="1" wp14:anchorId="67F23B14" wp14:editId="6F51067B">
            <wp:simplePos x="0" y="0"/>
            <wp:positionH relativeFrom="page">
              <wp:posOffset>5378450</wp:posOffset>
            </wp:positionH>
            <wp:positionV relativeFrom="page">
              <wp:posOffset>819150</wp:posOffset>
            </wp:positionV>
            <wp:extent cx="1655445" cy="1421130"/>
            <wp:effectExtent l="0" t="0" r="1905" b="7620"/>
            <wp:wrapNone/>
            <wp:docPr id="5" name="Graphic 4"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a:extLst xmlns:a="http://schemas.openxmlformats.org/drawingml/2006/main">
                <a:ext uri="{FF2B5EF4-FFF2-40B4-BE49-F238E27FC236}">
                  <a16:creationId xmlns:a16="http://schemas.microsoft.com/office/drawing/2014/main" id="{C73290AD-A19D-EDE9-57B3-BE2637560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a:extLst>
                        <a:ext uri="{FF2B5EF4-FFF2-40B4-BE49-F238E27FC236}">
                          <a16:creationId xmlns:a16="http://schemas.microsoft.com/office/drawing/2014/main" id="{C73290AD-A19D-EDE9-57B3-BE263756035A}"/>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655445" cy="1421130"/>
                    </a:xfrm>
                    <a:prstGeom prst="rect">
                      <a:avLst/>
                    </a:prstGeom>
                  </pic:spPr>
                </pic:pic>
              </a:graphicData>
            </a:graphic>
            <wp14:sizeRelH relativeFrom="margin">
              <wp14:pctWidth>0</wp14:pctWidth>
            </wp14:sizeRelH>
            <wp14:sizeRelV relativeFrom="margin">
              <wp14:pctHeight>0</wp14:pctHeight>
            </wp14:sizeRelV>
          </wp:anchor>
        </w:drawing>
      </w:r>
      <w:r w:rsidRPr="00397686">
        <w:rPr>
          <w:rFonts w:cs="Arial"/>
        </w:rPr>
        <w:tab/>
      </w:r>
      <w:r w:rsidRPr="00397686">
        <w:rPr>
          <w:rFonts w:cs="Arial"/>
        </w:rPr>
        <w:tab/>
      </w:r>
    </w:p>
    <w:p w14:paraId="01CE87BA" w14:textId="77777777" w:rsidR="00433D6F" w:rsidRPr="00397686" w:rsidRDefault="00433D6F" w:rsidP="00D12FC1">
      <w:pPr>
        <w:jc w:val="center"/>
        <w:rPr>
          <w:rFonts w:cs="Arial"/>
          <w:b/>
          <w:sz w:val="36"/>
          <w:szCs w:val="36"/>
        </w:rPr>
      </w:pPr>
    </w:p>
    <w:p w14:paraId="6B39A2B0" w14:textId="77777777" w:rsidR="00E01E56" w:rsidRPr="00397686" w:rsidRDefault="00E01E56" w:rsidP="00D12FC1">
      <w:pPr>
        <w:jc w:val="center"/>
        <w:rPr>
          <w:rFonts w:cs="Arial"/>
          <w:b/>
          <w:sz w:val="36"/>
          <w:szCs w:val="36"/>
        </w:rPr>
      </w:pPr>
    </w:p>
    <w:p w14:paraId="1D233C05" w14:textId="77777777" w:rsidR="00A313E6" w:rsidRPr="00397686" w:rsidRDefault="00A313E6" w:rsidP="00D12FC1">
      <w:pPr>
        <w:jc w:val="center"/>
        <w:rPr>
          <w:rFonts w:cs="Arial"/>
          <w:b/>
          <w:sz w:val="36"/>
          <w:szCs w:val="36"/>
        </w:rPr>
      </w:pPr>
    </w:p>
    <w:p w14:paraId="6BC23C98" w14:textId="77777777" w:rsidR="00A313E6" w:rsidRPr="00397686" w:rsidRDefault="00A313E6" w:rsidP="00407A57">
      <w:pPr>
        <w:pStyle w:val="BodytextHQSC"/>
      </w:pPr>
    </w:p>
    <w:p w14:paraId="0820B9DA" w14:textId="6B8B7E53" w:rsidR="00A313E6" w:rsidRPr="00397686" w:rsidRDefault="00A313E6" w:rsidP="00E37269"/>
    <w:p w14:paraId="6A868881" w14:textId="77777777" w:rsidR="00A313E6" w:rsidRPr="00397686" w:rsidRDefault="00A313E6" w:rsidP="00D12FC1">
      <w:pPr>
        <w:jc w:val="center"/>
        <w:rPr>
          <w:rFonts w:cs="Arial"/>
          <w:b/>
          <w:sz w:val="36"/>
          <w:szCs w:val="36"/>
        </w:rPr>
      </w:pPr>
    </w:p>
    <w:p w14:paraId="462FB26D" w14:textId="23B4627D" w:rsidR="00D12FC1" w:rsidRPr="00397686" w:rsidRDefault="00407A57" w:rsidP="00E01E56">
      <w:pPr>
        <w:pStyle w:val="CovertitleHQSC"/>
        <w:rPr>
          <w:color w:val="auto"/>
        </w:rPr>
      </w:pPr>
      <w:r w:rsidRPr="00397686">
        <w:rPr>
          <w:color w:val="auto"/>
        </w:rPr>
        <w:t>Learning from health care harm</w:t>
      </w:r>
    </w:p>
    <w:p w14:paraId="2EDCD937" w14:textId="2A053291" w:rsidR="009B60E1" w:rsidRPr="00397686" w:rsidRDefault="00E37269" w:rsidP="00397686">
      <w:pPr>
        <w:rPr>
          <w:rFonts w:cs="Arial"/>
          <w:b/>
          <w:sz w:val="36"/>
          <w:szCs w:val="36"/>
        </w:rPr>
      </w:pPr>
      <w:r w:rsidRPr="00397686">
        <w:rPr>
          <w:rFonts w:cs="Arial"/>
          <w:b/>
          <w:sz w:val="36"/>
          <w:szCs w:val="36"/>
        </w:rPr>
        <w:t>System safety report</w:t>
      </w:r>
      <w:r w:rsidR="00286B25">
        <w:rPr>
          <w:rFonts w:cs="Arial"/>
          <w:b/>
          <w:sz w:val="36"/>
          <w:szCs w:val="36"/>
        </w:rPr>
        <w:t>,</w:t>
      </w:r>
      <w:r w:rsidRPr="00397686">
        <w:rPr>
          <w:rFonts w:cs="Arial"/>
          <w:b/>
          <w:sz w:val="36"/>
          <w:szCs w:val="36"/>
        </w:rPr>
        <w:t xml:space="preserve"> using data from multi</w:t>
      </w:r>
      <w:r w:rsidR="00FB6EB8">
        <w:rPr>
          <w:rFonts w:cs="Arial"/>
          <w:b/>
          <w:sz w:val="36"/>
          <w:szCs w:val="36"/>
        </w:rPr>
        <w:t xml:space="preserve">ple </w:t>
      </w:r>
      <w:r w:rsidRPr="00397686">
        <w:rPr>
          <w:rFonts w:cs="Arial"/>
          <w:b/>
          <w:sz w:val="36"/>
          <w:szCs w:val="36"/>
        </w:rPr>
        <w:t>agencies</w:t>
      </w:r>
    </w:p>
    <w:p w14:paraId="6985CFBF" w14:textId="7532F549" w:rsidR="002E1666" w:rsidRPr="00397686" w:rsidRDefault="00F258BC" w:rsidP="00833922">
      <w:pPr>
        <w:pStyle w:val="coverdateHQSC"/>
      </w:pPr>
      <w:r w:rsidRPr="00397686">
        <w:rPr>
          <w:color w:val="auto"/>
        </w:rPr>
        <w:t>1 July 2022 to 30 June 2025</w:t>
      </w:r>
    </w:p>
    <w:p w14:paraId="4D7FB824" w14:textId="77777777" w:rsidR="000513FA" w:rsidRPr="00397686" w:rsidRDefault="000513FA">
      <w:pPr>
        <w:rPr>
          <w:rFonts w:cs="Arial"/>
          <w:color w:val="FFFFFF" w:themeColor="background1"/>
          <w:sz w:val="56"/>
          <w:szCs w:val="56"/>
        </w:rPr>
      </w:pPr>
    </w:p>
    <w:p w14:paraId="37C80A2E" w14:textId="77777777" w:rsidR="000513FA" w:rsidRPr="00397686" w:rsidRDefault="000513FA">
      <w:pPr>
        <w:rPr>
          <w:rFonts w:cs="Arial"/>
          <w:color w:val="FFFFFF" w:themeColor="background1"/>
          <w:sz w:val="56"/>
          <w:szCs w:val="56"/>
        </w:rPr>
      </w:pPr>
    </w:p>
    <w:p w14:paraId="103B5D08" w14:textId="77777777" w:rsidR="000513FA" w:rsidRPr="00397686" w:rsidRDefault="000513FA">
      <w:pPr>
        <w:rPr>
          <w:rFonts w:cs="Arial"/>
          <w:color w:val="FFFFFF" w:themeColor="background1"/>
          <w:sz w:val="56"/>
          <w:szCs w:val="56"/>
        </w:rPr>
      </w:pPr>
    </w:p>
    <w:p w14:paraId="506CB8F9" w14:textId="6F2F66E1" w:rsidR="000513FA" w:rsidRPr="00397686" w:rsidRDefault="000513FA">
      <w:pPr>
        <w:rPr>
          <w:rFonts w:cs="Arial"/>
          <w:color w:val="FFFFFF" w:themeColor="background1"/>
          <w:sz w:val="56"/>
          <w:szCs w:val="56"/>
        </w:rPr>
      </w:pPr>
    </w:p>
    <w:p w14:paraId="760103B7" w14:textId="7488ED4F" w:rsidR="000513FA" w:rsidRPr="00397686" w:rsidRDefault="00F258BC">
      <w:pPr>
        <w:rPr>
          <w:rFonts w:cs="Arial"/>
          <w:color w:val="FFFFFF" w:themeColor="background1"/>
          <w:sz w:val="56"/>
          <w:szCs w:val="56"/>
        </w:rPr>
      </w:pPr>
      <w:r w:rsidRPr="00397686">
        <w:rPr>
          <w:noProof/>
        </w:rPr>
        <w:drawing>
          <wp:anchor distT="0" distB="0" distL="114300" distR="114300" simplePos="0" relativeHeight="251658241" behindDoc="1" locked="0" layoutInCell="1" allowOverlap="1" wp14:anchorId="67D55BE9" wp14:editId="544405A3">
            <wp:simplePos x="0" y="0"/>
            <wp:positionH relativeFrom="page">
              <wp:posOffset>13277</wp:posOffset>
            </wp:positionH>
            <wp:positionV relativeFrom="paragraph">
              <wp:posOffset>658495</wp:posOffset>
            </wp:positionV>
            <wp:extent cx="7533640" cy="3439977"/>
            <wp:effectExtent l="0" t="0" r="0" b="8255"/>
            <wp:wrapNone/>
            <wp:docPr id="1" name="Picture 1" descr="A red and blue tessellated pattern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tessellated pattern made up of the Health Quality &amp; Safety Commission Te Tāhū Hauora logo. The logo is a stylised version of a wharenui in a triangle shape, with the tāhū (ridgepole), heke (rafters) and niho taniwha (triangle pattern beneath)."/>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7533640" cy="3439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88CD4" w14:textId="77777777" w:rsidR="000513FA" w:rsidRPr="00397686" w:rsidRDefault="000513FA">
      <w:pPr>
        <w:rPr>
          <w:rFonts w:cs="Arial"/>
          <w:color w:val="FFFFFF" w:themeColor="background1"/>
          <w:sz w:val="56"/>
          <w:szCs w:val="56"/>
        </w:rPr>
      </w:pPr>
    </w:p>
    <w:p w14:paraId="1D3F528C" w14:textId="77777777" w:rsidR="000513FA" w:rsidRPr="00397686" w:rsidRDefault="000513FA">
      <w:pPr>
        <w:rPr>
          <w:rFonts w:cs="Arial"/>
          <w:color w:val="FFFFFF" w:themeColor="background1"/>
          <w:sz w:val="56"/>
          <w:szCs w:val="56"/>
        </w:rPr>
      </w:pPr>
    </w:p>
    <w:p w14:paraId="214E7ACF" w14:textId="77777777" w:rsidR="000513FA" w:rsidRPr="00397686" w:rsidRDefault="000513FA">
      <w:pPr>
        <w:rPr>
          <w:rFonts w:cs="Arial"/>
          <w:color w:val="FFFFFF" w:themeColor="background1"/>
          <w:sz w:val="56"/>
          <w:szCs w:val="56"/>
        </w:rPr>
      </w:pPr>
    </w:p>
    <w:p w14:paraId="5ACA28A5" w14:textId="77777777" w:rsidR="00284CDD" w:rsidRPr="00397686" w:rsidRDefault="00284CDD" w:rsidP="006B61D0">
      <w:pPr>
        <w:pStyle w:val="BodytextHQSC"/>
      </w:pPr>
    </w:p>
    <w:p w14:paraId="18862CCB" w14:textId="77777777" w:rsidR="00284CDD" w:rsidRPr="00397686" w:rsidRDefault="00284CDD" w:rsidP="006B61D0">
      <w:pPr>
        <w:pStyle w:val="BodytextHQSC"/>
      </w:pPr>
    </w:p>
    <w:p w14:paraId="6E711BF8" w14:textId="77777777" w:rsidR="00284CDD" w:rsidRPr="00397686" w:rsidRDefault="00284CDD" w:rsidP="006B61D0">
      <w:pPr>
        <w:pStyle w:val="BodytextHQSC"/>
      </w:pPr>
    </w:p>
    <w:p w14:paraId="044AEA17" w14:textId="77777777" w:rsidR="00284CDD" w:rsidRPr="00397686" w:rsidRDefault="00284CDD" w:rsidP="006B61D0">
      <w:pPr>
        <w:pStyle w:val="BodytextHQSC"/>
      </w:pPr>
    </w:p>
    <w:p w14:paraId="49032489" w14:textId="77777777" w:rsidR="00284CDD" w:rsidRPr="00397686" w:rsidRDefault="00284CDD" w:rsidP="006B61D0">
      <w:pPr>
        <w:pStyle w:val="BodytextHQSC"/>
      </w:pPr>
    </w:p>
    <w:p w14:paraId="189D6DBE" w14:textId="77777777" w:rsidR="00284CDD" w:rsidRPr="00397686" w:rsidRDefault="00284CDD" w:rsidP="006B61D0">
      <w:pPr>
        <w:pStyle w:val="BodytextHQSC"/>
      </w:pPr>
    </w:p>
    <w:p w14:paraId="6A87E0EC" w14:textId="77777777" w:rsidR="00284CDD" w:rsidRPr="00397686" w:rsidRDefault="00284CDD" w:rsidP="006B61D0">
      <w:pPr>
        <w:pStyle w:val="BodytextHQSC"/>
      </w:pPr>
    </w:p>
    <w:p w14:paraId="79CCA1D6" w14:textId="77777777" w:rsidR="0064198B" w:rsidRPr="00397686" w:rsidRDefault="0064198B" w:rsidP="006B61D0">
      <w:pPr>
        <w:pStyle w:val="BodytextHQSC"/>
      </w:pPr>
    </w:p>
    <w:p w14:paraId="3A69825B" w14:textId="77777777" w:rsidR="000513FA" w:rsidRPr="00397686" w:rsidRDefault="000513FA" w:rsidP="006B61D0">
      <w:pPr>
        <w:pStyle w:val="BodytextHQSC"/>
      </w:pPr>
    </w:p>
    <w:p w14:paraId="7CBAC162" w14:textId="77777777" w:rsidR="000513FA" w:rsidRPr="00397686" w:rsidRDefault="000513FA" w:rsidP="006B61D0">
      <w:pPr>
        <w:pStyle w:val="BodytextHQSC"/>
      </w:pPr>
    </w:p>
    <w:p w14:paraId="2399D51F" w14:textId="77777777" w:rsidR="0064198B" w:rsidRPr="00397686" w:rsidRDefault="0064198B" w:rsidP="006B61D0">
      <w:pPr>
        <w:pStyle w:val="BodytextHQSC"/>
      </w:pPr>
    </w:p>
    <w:p w14:paraId="5F91DE4D" w14:textId="77777777" w:rsidR="0064198B" w:rsidRPr="00397686" w:rsidRDefault="0064198B" w:rsidP="006B61D0">
      <w:pPr>
        <w:pStyle w:val="BodytextHQSC"/>
      </w:pPr>
    </w:p>
    <w:p w14:paraId="7A0A1A38" w14:textId="77777777" w:rsidR="00284CDD" w:rsidRPr="00397686" w:rsidRDefault="00284CDD" w:rsidP="006B61D0">
      <w:pPr>
        <w:pStyle w:val="BodytextHQSC"/>
      </w:pPr>
    </w:p>
    <w:p w14:paraId="709CC5E9" w14:textId="77777777" w:rsidR="00284CDD" w:rsidRPr="00397686" w:rsidRDefault="00284CDD" w:rsidP="006B61D0">
      <w:pPr>
        <w:pStyle w:val="BodytextHQSC"/>
      </w:pPr>
    </w:p>
    <w:p w14:paraId="5B1D6849" w14:textId="77777777" w:rsidR="005B15CC" w:rsidRPr="00397686" w:rsidRDefault="005B15CC" w:rsidP="006B61D0">
      <w:pPr>
        <w:pStyle w:val="BodytextHQSC"/>
      </w:pPr>
    </w:p>
    <w:p w14:paraId="7AC2D851" w14:textId="77777777" w:rsidR="005B15CC" w:rsidRPr="00397686" w:rsidRDefault="005B15CC" w:rsidP="006B61D0">
      <w:pPr>
        <w:pStyle w:val="BodytextHQSC"/>
      </w:pPr>
    </w:p>
    <w:p w14:paraId="08BD7939" w14:textId="77777777" w:rsidR="005B15CC" w:rsidRPr="00397686" w:rsidRDefault="005B15CC" w:rsidP="006B61D0">
      <w:pPr>
        <w:pStyle w:val="BodytextHQSC"/>
      </w:pPr>
    </w:p>
    <w:p w14:paraId="2179C855" w14:textId="77777777" w:rsidR="005B15CC" w:rsidRPr="00397686" w:rsidRDefault="005B15CC" w:rsidP="006B61D0">
      <w:pPr>
        <w:pStyle w:val="BodytextHQSC"/>
      </w:pPr>
    </w:p>
    <w:p w14:paraId="49616751" w14:textId="3ED95419" w:rsidR="00284CDD" w:rsidRPr="00397686" w:rsidRDefault="00284CDD" w:rsidP="005A4781">
      <w:pPr>
        <w:pStyle w:val="BodytextHQSC"/>
      </w:pPr>
      <w:r w:rsidRPr="00397686">
        <w:t xml:space="preserve">Published </w:t>
      </w:r>
      <w:r w:rsidR="00F34253">
        <w:t>June 2026</w:t>
      </w:r>
      <w:r w:rsidRPr="00397686">
        <w:t xml:space="preserve"> by Health Quality &amp; Safety Commission</w:t>
      </w:r>
      <w:r w:rsidR="00216F8D" w:rsidRPr="00397686">
        <w:t xml:space="preserve"> Te Tāhū Hauora</w:t>
      </w:r>
      <w:r w:rsidRPr="00397686">
        <w:t xml:space="preserve">, </w:t>
      </w:r>
      <w:r w:rsidR="0017350C" w:rsidRPr="00397686">
        <w:br/>
      </w:r>
      <w:r w:rsidRPr="00397686">
        <w:t>PO Box 25496, Wellington, 6146.</w:t>
      </w:r>
    </w:p>
    <w:p w14:paraId="38C56904" w14:textId="77777777" w:rsidR="00284CDD" w:rsidRPr="00397686" w:rsidRDefault="00284CDD" w:rsidP="00284CDD">
      <w:pPr>
        <w:pStyle w:val="BodyText"/>
      </w:pPr>
    </w:p>
    <w:p w14:paraId="085A8916" w14:textId="77A3194F" w:rsidR="00284CDD" w:rsidRPr="00397686" w:rsidRDefault="00284CDD" w:rsidP="00284CDD">
      <w:pPr>
        <w:pStyle w:val="BodyText"/>
      </w:pPr>
      <w:r w:rsidRPr="00397686">
        <w:t xml:space="preserve">ISBN </w:t>
      </w:r>
      <w:r w:rsidR="002E14F3" w:rsidRPr="001057BC">
        <w:rPr>
          <w:rFonts w:cstheme="minorHAnsi"/>
          <w:color w:val="000000"/>
        </w:rPr>
        <w:t>978-1-991122-49-0</w:t>
      </w:r>
    </w:p>
    <w:p w14:paraId="1449C12D" w14:textId="220FEC28" w:rsidR="00284CDD" w:rsidRPr="00397686" w:rsidRDefault="00284CDD" w:rsidP="00284CDD">
      <w:pPr>
        <w:pStyle w:val="BodyText"/>
      </w:pPr>
      <w:r w:rsidRPr="00397686">
        <w:t xml:space="preserve">Available online at </w:t>
      </w:r>
      <w:hyperlink r:id="rId10" w:history="1">
        <w:r w:rsidRPr="00397686">
          <w:rPr>
            <w:rStyle w:val="Hyperlink"/>
          </w:rPr>
          <w:t>hqsc.govt.nz</w:t>
        </w:r>
      </w:hyperlink>
    </w:p>
    <w:p w14:paraId="6C8486F4" w14:textId="77777777" w:rsidR="00284CDD" w:rsidRPr="00397686" w:rsidRDefault="00284CDD" w:rsidP="00284CDD">
      <w:pPr>
        <w:pStyle w:val="BodyText"/>
      </w:pPr>
      <w:r w:rsidRPr="00397686">
        <w:t xml:space="preserve">Enquiries to: </w:t>
      </w:r>
      <w:hyperlink r:id="rId11" w:history="1">
        <w:r w:rsidRPr="00397686">
          <w:rPr>
            <w:rStyle w:val="Hyperlink"/>
          </w:rPr>
          <w:t>info@hqsc.govt.nz</w:t>
        </w:r>
      </w:hyperlink>
    </w:p>
    <w:p w14:paraId="333A33E8" w14:textId="77777777" w:rsidR="00284CDD" w:rsidRPr="00397686" w:rsidRDefault="00284CDD" w:rsidP="00284CDD">
      <w:pPr>
        <w:pStyle w:val="BodyText"/>
      </w:pPr>
    </w:p>
    <w:p w14:paraId="5AE60919" w14:textId="6ABD1D23" w:rsidR="00284CDD" w:rsidRPr="00397686" w:rsidRDefault="00284CDD" w:rsidP="00284CDD">
      <w:pPr>
        <w:pStyle w:val="BodyText"/>
        <w:rPr>
          <w:sz w:val="20"/>
          <w:szCs w:val="20"/>
        </w:rPr>
      </w:pPr>
      <w:r w:rsidRPr="00397686">
        <w:rPr>
          <w:sz w:val="20"/>
          <w:szCs w:val="20"/>
        </w:rPr>
        <w:t xml:space="preserve">This work is licensed under the Creative Commons AttributionNonCommercial-ShareAlike 4.0 International (CC BY-NC-SA 4.0). To view a copy of this licence, visit </w:t>
      </w:r>
      <w:hyperlink r:id="rId12" w:history="1">
        <w:r w:rsidRPr="00397686">
          <w:rPr>
            <w:rStyle w:val="Hyperlink"/>
            <w:sz w:val="20"/>
            <w:szCs w:val="20"/>
          </w:rPr>
          <w:t>creativecommons.org/licenses/by-nc-sa/4.0</w:t>
        </w:r>
      </w:hyperlink>
      <w:r w:rsidRPr="00397686">
        <w:rPr>
          <w:sz w:val="20"/>
          <w:szCs w:val="20"/>
        </w:rPr>
        <w:t xml:space="preserve"> </w:t>
      </w:r>
    </w:p>
    <w:p w14:paraId="45F7D84D" w14:textId="72606473" w:rsidR="00284CDD" w:rsidRPr="00397686" w:rsidRDefault="00216F8D" w:rsidP="00284CDD">
      <w:pPr>
        <w:pStyle w:val="BodyText"/>
      </w:pPr>
      <w:r w:rsidRPr="00397686">
        <w:rPr>
          <w:noProof/>
        </w:rPr>
        <w:drawing>
          <wp:anchor distT="0" distB="0" distL="114300" distR="114300" simplePos="0" relativeHeight="251658242" behindDoc="1" locked="0" layoutInCell="1" allowOverlap="1" wp14:anchorId="18778AC9" wp14:editId="0CF2A8D7">
            <wp:simplePos x="0" y="0"/>
            <wp:positionH relativeFrom="margin">
              <wp:posOffset>0</wp:posOffset>
            </wp:positionH>
            <wp:positionV relativeFrom="paragraph">
              <wp:posOffset>0</wp:posOffset>
            </wp:positionV>
            <wp:extent cx="1091565" cy="381000"/>
            <wp:effectExtent l="0" t="0" r="0" b="0"/>
            <wp:wrapTight wrapText="bothSides">
              <wp:wrapPolygon edited="0">
                <wp:start x="0" y="0"/>
                <wp:lineTo x="0" y="20520"/>
                <wp:lineTo x="21110" y="20520"/>
                <wp:lineTo x="21110" y="0"/>
                <wp:lineTo x="0" y="0"/>
              </wp:wrapPolygon>
            </wp:wrapTight>
            <wp:doc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14:sizeRelH relativeFrom="margin">
              <wp14:pctWidth>0</wp14:pctWidth>
            </wp14:sizeRelH>
            <wp14:sizeRelV relativeFrom="margin">
              <wp14:pctHeight>0</wp14:pctHeight>
            </wp14:sizeRelV>
          </wp:anchor>
        </w:drawing>
      </w:r>
    </w:p>
    <w:p w14:paraId="6CD7EDEF" w14:textId="77777777" w:rsidR="004F055B" w:rsidRDefault="004F055B" w:rsidP="005B15CC">
      <w:pPr>
        <w:pStyle w:val="BodytextHQSC"/>
        <w:spacing w:after="0"/>
      </w:pPr>
    </w:p>
    <w:p w14:paraId="5B8D7200" w14:textId="25FCC32A" w:rsidR="00284CDD" w:rsidRPr="00397686" w:rsidRDefault="004F055B" w:rsidP="005B15CC">
      <w:pPr>
        <w:pStyle w:val="BodytextHQSC"/>
        <w:spacing w:after="0"/>
        <w:rPr>
          <w:noProof/>
        </w:rPr>
        <w:sectPr w:rsidR="00284CDD" w:rsidRPr="00397686" w:rsidSect="006B61D0">
          <w:pgSz w:w="11906" w:h="16838"/>
          <w:pgMar w:top="1418" w:right="1418" w:bottom="1418" w:left="1418" w:header="709" w:footer="709" w:gutter="0"/>
          <w:cols w:space="708"/>
          <w:docGrid w:linePitch="360"/>
        </w:sectPr>
      </w:pPr>
      <w:r w:rsidRPr="004F055B">
        <w:rPr>
          <w:noProof/>
        </w:rPr>
        <w:drawing>
          <wp:inline distT="0" distB="0" distL="0" distR="0" wp14:anchorId="587EF327" wp14:editId="6DEF68E0">
            <wp:extent cx="1948374" cy="447675"/>
            <wp:effectExtent l="0" t="0" r="0" b="0"/>
            <wp:docPr id="1706622021" name="Picture 2" descr="The New Zealand Government logo is made up of the coat of arms of New Zealand on the left and the words New Zealand Government in bold letters alongside it, with Te Kāwanatanga o Aotearoa written beneat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2021" name="Picture 2" descr="The New Zealand Government logo is made up of the coat of arms of New Zealand on the left and the words New Zealand Government in bold letters alongside it, with Te Kāwanatanga o Aotearoa written beneath.">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598" cy="450714"/>
                    </a:xfrm>
                    <a:prstGeom prst="rect">
                      <a:avLst/>
                    </a:prstGeom>
                    <a:noFill/>
                    <a:ln>
                      <a:noFill/>
                    </a:ln>
                  </pic:spPr>
                </pic:pic>
              </a:graphicData>
            </a:graphic>
          </wp:inline>
        </w:drawing>
      </w:r>
      <w:r w:rsidR="002E7781" w:rsidRPr="00397686">
        <w:t xml:space="preserve"> </w:t>
      </w:r>
    </w:p>
    <w:p w14:paraId="5A8F2DC3" w14:textId="77777777" w:rsidR="00F9730C" w:rsidRPr="00397686" w:rsidRDefault="00F9730C" w:rsidP="00F9730C">
      <w:pPr>
        <w:pStyle w:val="TOCHeading"/>
      </w:pPr>
      <w:r w:rsidRPr="00397686">
        <w:lastRenderedPageBreak/>
        <w:t>Contents</w:t>
      </w:r>
    </w:p>
    <w:p w14:paraId="41AC7CB2" w14:textId="4B73B75F" w:rsidR="00F9730C" w:rsidRDefault="00F9730C" w:rsidP="64C51CFE">
      <w:pPr>
        <w:pStyle w:val="TOC1"/>
        <w:rPr>
          <w:rFonts w:asciiTheme="minorHAnsi" w:eastAsiaTheme="minorEastAsia" w:hAnsiTheme="minorHAnsi"/>
          <w:sz w:val="24"/>
          <w:szCs w:val="24"/>
          <w:lang w:eastAsia="en-NZ"/>
        </w:rPr>
      </w:pPr>
      <w:r w:rsidRPr="00397686">
        <w:rPr>
          <w:noProof w:val="0"/>
        </w:rPr>
        <w:fldChar w:fldCharType="begin"/>
      </w:r>
      <w:r>
        <w:rPr>
          <w:noProof w:val="0"/>
        </w:rPr>
        <w:instrText xml:space="preserve"> TOC \h \z \t "Heading 1 HQSC,1,Heading 2 HQSC,2" </w:instrText>
      </w:r>
      <w:r w:rsidRPr="00397686">
        <w:rPr>
          <w:noProof w:val="0"/>
        </w:rPr>
        <w:fldChar w:fldCharType="separate"/>
      </w:r>
      <w:hyperlink w:anchor="_Toc233888595">
        <w:r w:rsidR="00340F02" w:rsidRPr="64C51CFE">
          <w:rPr>
            <w:rStyle w:val="Hyperlink"/>
          </w:rPr>
          <w:t>Executive summary</w:t>
        </w:r>
        <w:r>
          <w:tab/>
        </w:r>
        <w:r>
          <w:fldChar w:fldCharType="begin"/>
        </w:r>
        <w:r>
          <w:instrText xml:space="preserve"> PAGEREF _Toc233888595 \h </w:instrText>
        </w:r>
        <w:r>
          <w:fldChar w:fldCharType="separate"/>
        </w:r>
        <w:r w:rsidR="00035936">
          <w:t>5</w:t>
        </w:r>
        <w:r>
          <w:fldChar w:fldCharType="end"/>
        </w:r>
      </w:hyperlink>
    </w:p>
    <w:p w14:paraId="1DF8741E" w14:textId="4B540459" w:rsidR="00340F02" w:rsidRDefault="00340F02" w:rsidP="64C51CFE">
      <w:pPr>
        <w:pStyle w:val="TOC1"/>
        <w:rPr>
          <w:rFonts w:asciiTheme="minorHAnsi" w:eastAsiaTheme="minorEastAsia" w:hAnsiTheme="minorHAnsi"/>
          <w:sz w:val="24"/>
          <w:szCs w:val="24"/>
          <w:lang w:eastAsia="en-NZ"/>
        </w:rPr>
      </w:pPr>
      <w:hyperlink w:anchor="_Toc233888596">
        <w:r w:rsidRPr="64C51CFE">
          <w:rPr>
            <w:rStyle w:val="Hyperlink"/>
            <w:lang w:eastAsia="en-NZ"/>
          </w:rPr>
          <w:t>Introduction</w:t>
        </w:r>
        <w:r>
          <w:tab/>
        </w:r>
        <w:r>
          <w:fldChar w:fldCharType="begin"/>
        </w:r>
        <w:r>
          <w:instrText xml:space="preserve"> PAGEREF _Toc233888596 \h </w:instrText>
        </w:r>
        <w:r>
          <w:fldChar w:fldCharType="separate"/>
        </w:r>
        <w:r w:rsidR="00035936">
          <w:t>6</w:t>
        </w:r>
        <w:r>
          <w:fldChar w:fldCharType="end"/>
        </w:r>
      </w:hyperlink>
    </w:p>
    <w:p w14:paraId="52DC1285" w14:textId="3E451063" w:rsidR="00340F02" w:rsidRDefault="00340F02" w:rsidP="64C51CFE">
      <w:pPr>
        <w:pStyle w:val="TOC1"/>
        <w:rPr>
          <w:rFonts w:asciiTheme="minorHAnsi" w:eastAsiaTheme="minorEastAsia" w:hAnsiTheme="minorHAnsi"/>
          <w:sz w:val="24"/>
          <w:szCs w:val="24"/>
          <w:lang w:eastAsia="en-NZ"/>
        </w:rPr>
      </w:pPr>
      <w:hyperlink w:anchor="_Toc233888597">
        <w:r w:rsidRPr="64C51CFE">
          <w:rPr>
            <w:rStyle w:val="Hyperlink"/>
          </w:rPr>
          <w:t>Background</w:t>
        </w:r>
        <w:r>
          <w:tab/>
        </w:r>
        <w:r>
          <w:fldChar w:fldCharType="begin"/>
        </w:r>
        <w:r>
          <w:instrText xml:space="preserve"> PAGEREF _Toc233888597 \h </w:instrText>
        </w:r>
        <w:r>
          <w:fldChar w:fldCharType="separate"/>
        </w:r>
        <w:r w:rsidR="00035936">
          <w:t>7</w:t>
        </w:r>
        <w:r>
          <w:fldChar w:fldCharType="end"/>
        </w:r>
      </w:hyperlink>
    </w:p>
    <w:p w14:paraId="3C4AD5F6" w14:textId="2676B22F" w:rsidR="00340F02" w:rsidRDefault="00340F02" w:rsidP="64C51CFE">
      <w:pPr>
        <w:pStyle w:val="TOC1"/>
        <w:rPr>
          <w:rFonts w:asciiTheme="minorHAnsi" w:eastAsiaTheme="minorEastAsia" w:hAnsiTheme="minorHAnsi"/>
          <w:sz w:val="24"/>
          <w:szCs w:val="24"/>
          <w:lang w:eastAsia="en-NZ"/>
        </w:rPr>
      </w:pPr>
      <w:hyperlink w:anchor="_Toc233888598">
        <w:r w:rsidRPr="64C51CFE">
          <w:rPr>
            <w:rStyle w:val="Hyperlink"/>
          </w:rPr>
          <w:t>Agency roles and contribution of data to the report</w:t>
        </w:r>
        <w:r>
          <w:tab/>
        </w:r>
        <w:r>
          <w:fldChar w:fldCharType="begin"/>
        </w:r>
        <w:r>
          <w:instrText xml:space="preserve"> PAGEREF _Toc233888598 \h </w:instrText>
        </w:r>
        <w:r>
          <w:fldChar w:fldCharType="separate"/>
        </w:r>
        <w:r w:rsidR="00035936">
          <w:t>8</w:t>
        </w:r>
        <w:r>
          <w:fldChar w:fldCharType="end"/>
        </w:r>
      </w:hyperlink>
    </w:p>
    <w:p w14:paraId="1E501AF5" w14:textId="4548CC5D" w:rsidR="00340F02" w:rsidRDefault="00340F02" w:rsidP="64C51CFE">
      <w:pPr>
        <w:pStyle w:val="TOC2"/>
        <w:rPr>
          <w:rFonts w:asciiTheme="minorHAnsi" w:eastAsiaTheme="minorEastAsia" w:hAnsiTheme="minorHAnsi"/>
          <w:noProof/>
          <w:sz w:val="24"/>
          <w:szCs w:val="24"/>
          <w:lang w:eastAsia="en-NZ"/>
        </w:rPr>
      </w:pPr>
      <w:hyperlink w:anchor="_Toc233888599">
        <w:r w:rsidRPr="64C51CFE">
          <w:rPr>
            <w:rStyle w:val="Hyperlink"/>
            <w:noProof/>
          </w:rPr>
          <w:t>Health Quality &amp; Safety Commission Te Tāhū Hauora</w:t>
        </w:r>
        <w:r>
          <w:rPr>
            <w:noProof/>
          </w:rPr>
          <w:tab/>
        </w:r>
        <w:r w:rsidRPr="64C51CFE">
          <w:rPr>
            <w:noProof/>
          </w:rPr>
          <w:fldChar w:fldCharType="begin"/>
        </w:r>
        <w:r w:rsidRPr="64C51CFE">
          <w:rPr>
            <w:noProof/>
          </w:rPr>
          <w:instrText xml:space="preserve"> PAGEREF _Toc233888599 \h </w:instrText>
        </w:r>
        <w:r w:rsidRPr="64C51CFE">
          <w:rPr>
            <w:noProof/>
          </w:rPr>
        </w:r>
        <w:r w:rsidRPr="64C51CFE">
          <w:rPr>
            <w:noProof/>
          </w:rPr>
          <w:fldChar w:fldCharType="separate"/>
        </w:r>
        <w:r w:rsidR="00035936">
          <w:rPr>
            <w:noProof/>
          </w:rPr>
          <w:t>8</w:t>
        </w:r>
        <w:r w:rsidRPr="64C51CFE">
          <w:rPr>
            <w:noProof/>
          </w:rPr>
          <w:fldChar w:fldCharType="end"/>
        </w:r>
      </w:hyperlink>
    </w:p>
    <w:p w14:paraId="600EAE28" w14:textId="23C23C98" w:rsidR="00340F02" w:rsidRDefault="00340F02" w:rsidP="64C51CFE">
      <w:pPr>
        <w:pStyle w:val="TOC2"/>
        <w:rPr>
          <w:rFonts w:asciiTheme="minorHAnsi" w:eastAsiaTheme="minorEastAsia" w:hAnsiTheme="minorHAnsi"/>
          <w:noProof/>
          <w:sz w:val="24"/>
          <w:szCs w:val="24"/>
          <w:lang w:eastAsia="en-NZ"/>
        </w:rPr>
      </w:pPr>
      <w:hyperlink w:anchor="_Toc233888600">
        <w:r w:rsidRPr="64C51CFE">
          <w:rPr>
            <w:rStyle w:val="Hyperlink"/>
            <w:noProof/>
          </w:rPr>
          <w:t>Health NZ</w:t>
        </w:r>
        <w:r>
          <w:rPr>
            <w:noProof/>
          </w:rPr>
          <w:tab/>
        </w:r>
        <w:r w:rsidRPr="64C51CFE">
          <w:rPr>
            <w:noProof/>
          </w:rPr>
          <w:fldChar w:fldCharType="begin"/>
        </w:r>
        <w:r w:rsidRPr="64C51CFE">
          <w:rPr>
            <w:noProof/>
          </w:rPr>
          <w:instrText xml:space="preserve"> PAGEREF _Toc233888600 \h </w:instrText>
        </w:r>
        <w:r w:rsidRPr="64C51CFE">
          <w:rPr>
            <w:noProof/>
          </w:rPr>
        </w:r>
        <w:r w:rsidRPr="64C51CFE">
          <w:rPr>
            <w:noProof/>
          </w:rPr>
          <w:fldChar w:fldCharType="separate"/>
        </w:r>
        <w:r w:rsidR="00035936">
          <w:rPr>
            <w:noProof/>
          </w:rPr>
          <w:t>10</w:t>
        </w:r>
        <w:r w:rsidRPr="64C51CFE">
          <w:rPr>
            <w:noProof/>
          </w:rPr>
          <w:fldChar w:fldCharType="end"/>
        </w:r>
      </w:hyperlink>
    </w:p>
    <w:p w14:paraId="4923ADEB" w14:textId="3BC15981" w:rsidR="00340F02" w:rsidRDefault="00340F02" w:rsidP="64C51CFE">
      <w:pPr>
        <w:pStyle w:val="TOC2"/>
        <w:rPr>
          <w:rFonts w:asciiTheme="minorHAnsi" w:eastAsiaTheme="minorEastAsia" w:hAnsiTheme="minorHAnsi"/>
          <w:noProof/>
          <w:sz w:val="24"/>
          <w:szCs w:val="24"/>
          <w:lang w:eastAsia="en-NZ"/>
        </w:rPr>
      </w:pPr>
      <w:hyperlink w:anchor="_Toc233888601">
        <w:r w:rsidRPr="64C51CFE">
          <w:rPr>
            <w:rStyle w:val="Hyperlink"/>
            <w:noProof/>
          </w:rPr>
          <w:t>Accident Compensation Corporation</w:t>
        </w:r>
        <w:r>
          <w:rPr>
            <w:noProof/>
          </w:rPr>
          <w:tab/>
        </w:r>
        <w:r w:rsidRPr="64C51CFE">
          <w:rPr>
            <w:noProof/>
          </w:rPr>
          <w:fldChar w:fldCharType="begin"/>
        </w:r>
        <w:r w:rsidRPr="64C51CFE">
          <w:rPr>
            <w:noProof/>
          </w:rPr>
          <w:instrText xml:space="preserve"> PAGEREF _Toc233888601 \h </w:instrText>
        </w:r>
        <w:r w:rsidRPr="64C51CFE">
          <w:rPr>
            <w:noProof/>
          </w:rPr>
        </w:r>
        <w:r w:rsidRPr="64C51CFE">
          <w:rPr>
            <w:noProof/>
          </w:rPr>
          <w:fldChar w:fldCharType="separate"/>
        </w:r>
        <w:r w:rsidR="00035936">
          <w:rPr>
            <w:noProof/>
          </w:rPr>
          <w:t>11</w:t>
        </w:r>
        <w:r w:rsidRPr="64C51CFE">
          <w:rPr>
            <w:noProof/>
          </w:rPr>
          <w:fldChar w:fldCharType="end"/>
        </w:r>
      </w:hyperlink>
    </w:p>
    <w:p w14:paraId="1CC41C5F" w14:textId="3663E046" w:rsidR="00340F02" w:rsidRDefault="00340F02" w:rsidP="64C51CFE">
      <w:pPr>
        <w:pStyle w:val="TOC2"/>
        <w:rPr>
          <w:rFonts w:asciiTheme="minorHAnsi" w:eastAsiaTheme="minorEastAsia" w:hAnsiTheme="minorHAnsi"/>
          <w:noProof/>
          <w:sz w:val="24"/>
          <w:szCs w:val="24"/>
          <w:lang w:eastAsia="en-NZ"/>
        </w:rPr>
      </w:pPr>
      <w:hyperlink w:anchor="_Toc233888602">
        <w:r w:rsidRPr="64C51CFE">
          <w:rPr>
            <w:rStyle w:val="Hyperlink"/>
            <w:noProof/>
          </w:rPr>
          <w:t>Health and Disability Commissioner complaints data</w:t>
        </w:r>
        <w:r>
          <w:rPr>
            <w:noProof/>
          </w:rPr>
          <w:tab/>
        </w:r>
        <w:r w:rsidRPr="64C51CFE">
          <w:rPr>
            <w:noProof/>
          </w:rPr>
          <w:fldChar w:fldCharType="begin"/>
        </w:r>
        <w:r w:rsidRPr="64C51CFE">
          <w:rPr>
            <w:noProof/>
          </w:rPr>
          <w:instrText xml:space="preserve"> PAGEREF _Toc233888602 \h </w:instrText>
        </w:r>
        <w:r w:rsidRPr="64C51CFE">
          <w:rPr>
            <w:noProof/>
          </w:rPr>
        </w:r>
        <w:r w:rsidRPr="64C51CFE">
          <w:rPr>
            <w:noProof/>
          </w:rPr>
          <w:fldChar w:fldCharType="separate"/>
        </w:r>
        <w:r w:rsidR="00035936">
          <w:rPr>
            <w:noProof/>
          </w:rPr>
          <w:t>11</w:t>
        </w:r>
        <w:r w:rsidRPr="64C51CFE">
          <w:rPr>
            <w:noProof/>
          </w:rPr>
          <w:fldChar w:fldCharType="end"/>
        </w:r>
      </w:hyperlink>
    </w:p>
    <w:p w14:paraId="79E78353" w14:textId="6E4DD1E6" w:rsidR="00340F02" w:rsidRDefault="00340F02" w:rsidP="64C51CFE">
      <w:pPr>
        <w:pStyle w:val="TOC1"/>
        <w:rPr>
          <w:rFonts w:asciiTheme="minorHAnsi" w:eastAsiaTheme="minorEastAsia" w:hAnsiTheme="minorHAnsi"/>
          <w:sz w:val="24"/>
          <w:szCs w:val="24"/>
          <w:lang w:eastAsia="en-NZ"/>
        </w:rPr>
      </w:pPr>
      <w:hyperlink w:anchor="_Toc233888603">
        <w:r w:rsidRPr="64C51CFE">
          <w:rPr>
            <w:rStyle w:val="Hyperlink"/>
          </w:rPr>
          <w:t>Method</w:t>
        </w:r>
        <w:r>
          <w:tab/>
        </w:r>
        <w:r>
          <w:fldChar w:fldCharType="begin"/>
        </w:r>
        <w:r>
          <w:instrText xml:space="preserve"> PAGEREF _Toc233888603 \h </w:instrText>
        </w:r>
        <w:r>
          <w:fldChar w:fldCharType="separate"/>
        </w:r>
        <w:r w:rsidR="00035936">
          <w:t>13</w:t>
        </w:r>
        <w:r>
          <w:fldChar w:fldCharType="end"/>
        </w:r>
      </w:hyperlink>
    </w:p>
    <w:p w14:paraId="0DF40B07" w14:textId="37365AE4" w:rsidR="00340F02" w:rsidRDefault="00340F02" w:rsidP="64C51CFE">
      <w:pPr>
        <w:pStyle w:val="TOC1"/>
        <w:rPr>
          <w:rFonts w:asciiTheme="minorHAnsi" w:eastAsiaTheme="minorEastAsia" w:hAnsiTheme="minorHAnsi"/>
          <w:sz w:val="24"/>
          <w:szCs w:val="24"/>
          <w:lang w:eastAsia="en-NZ"/>
        </w:rPr>
      </w:pPr>
      <w:hyperlink w:anchor="_Toc233888604">
        <w:r w:rsidRPr="64C51CFE">
          <w:rPr>
            <w:rStyle w:val="Hyperlink"/>
          </w:rPr>
          <w:t>Overview of the 10 themes</w:t>
        </w:r>
        <w:r>
          <w:tab/>
        </w:r>
        <w:r>
          <w:fldChar w:fldCharType="begin"/>
        </w:r>
        <w:r>
          <w:instrText xml:space="preserve"> PAGEREF _Toc233888604 \h </w:instrText>
        </w:r>
        <w:r>
          <w:fldChar w:fldCharType="separate"/>
        </w:r>
        <w:r w:rsidR="00035936">
          <w:t>14</w:t>
        </w:r>
        <w:r>
          <w:fldChar w:fldCharType="end"/>
        </w:r>
      </w:hyperlink>
    </w:p>
    <w:p w14:paraId="6CE7EF62" w14:textId="75C749E8" w:rsidR="00340F02" w:rsidRDefault="00340F02" w:rsidP="64C51CFE">
      <w:pPr>
        <w:pStyle w:val="TOC2"/>
        <w:rPr>
          <w:rFonts w:asciiTheme="minorHAnsi" w:eastAsiaTheme="minorEastAsia" w:hAnsiTheme="minorHAnsi"/>
          <w:noProof/>
          <w:sz w:val="24"/>
          <w:szCs w:val="24"/>
          <w:lang w:eastAsia="en-NZ"/>
        </w:rPr>
      </w:pPr>
      <w:hyperlink w:anchor="_Toc233888605">
        <w:r w:rsidRPr="64C51CFE">
          <w:rPr>
            <w:rStyle w:val="Hyperlink"/>
            <w:noProof/>
          </w:rPr>
          <w:t>Rationale for selection of priority focus areas</w:t>
        </w:r>
        <w:r>
          <w:rPr>
            <w:noProof/>
          </w:rPr>
          <w:tab/>
        </w:r>
        <w:r w:rsidRPr="64C51CFE">
          <w:rPr>
            <w:noProof/>
          </w:rPr>
          <w:fldChar w:fldCharType="begin"/>
        </w:r>
        <w:r w:rsidRPr="64C51CFE">
          <w:rPr>
            <w:noProof/>
          </w:rPr>
          <w:instrText xml:space="preserve"> PAGEREF _Toc233888605 \h </w:instrText>
        </w:r>
        <w:r w:rsidRPr="64C51CFE">
          <w:rPr>
            <w:noProof/>
          </w:rPr>
        </w:r>
        <w:r w:rsidRPr="64C51CFE">
          <w:rPr>
            <w:noProof/>
          </w:rPr>
          <w:fldChar w:fldCharType="separate"/>
        </w:r>
        <w:r w:rsidR="00035936">
          <w:rPr>
            <w:noProof/>
          </w:rPr>
          <w:t>18</w:t>
        </w:r>
        <w:r w:rsidRPr="64C51CFE">
          <w:rPr>
            <w:noProof/>
          </w:rPr>
          <w:fldChar w:fldCharType="end"/>
        </w:r>
      </w:hyperlink>
    </w:p>
    <w:p w14:paraId="00F4BE7E" w14:textId="316F634F" w:rsidR="00340F02" w:rsidRDefault="00340F02" w:rsidP="64C51CFE">
      <w:pPr>
        <w:pStyle w:val="TOC2"/>
        <w:rPr>
          <w:rFonts w:asciiTheme="minorHAnsi" w:eastAsiaTheme="minorEastAsia" w:hAnsiTheme="minorHAnsi"/>
          <w:noProof/>
          <w:sz w:val="24"/>
          <w:szCs w:val="24"/>
          <w:lang w:eastAsia="en-NZ"/>
        </w:rPr>
      </w:pPr>
      <w:hyperlink w:anchor="_Toc233888606">
        <w:r w:rsidRPr="64C51CFE">
          <w:rPr>
            <w:rStyle w:val="Hyperlink"/>
            <w:noProof/>
          </w:rPr>
          <w:t>System learning opportunity: procedure and clinical process reliability</w:t>
        </w:r>
        <w:r>
          <w:rPr>
            <w:noProof/>
          </w:rPr>
          <w:tab/>
        </w:r>
        <w:r w:rsidRPr="64C51CFE">
          <w:rPr>
            <w:noProof/>
          </w:rPr>
          <w:fldChar w:fldCharType="begin"/>
        </w:r>
        <w:r w:rsidRPr="64C51CFE">
          <w:rPr>
            <w:noProof/>
          </w:rPr>
          <w:instrText xml:space="preserve"> PAGEREF _Toc233888606 \h </w:instrText>
        </w:r>
        <w:r w:rsidRPr="64C51CFE">
          <w:rPr>
            <w:noProof/>
          </w:rPr>
        </w:r>
        <w:r w:rsidRPr="64C51CFE">
          <w:rPr>
            <w:noProof/>
          </w:rPr>
          <w:fldChar w:fldCharType="separate"/>
        </w:r>
        <w:r w:rsidR="00035936">
          <w:rPr>
            <w:noProof/>
          </w:rPr>
          <w:t>18</w:t>
        </w:r>
        <w:r w:rsidRPr="64C51CFE">
          <w:rPr>
            <w:noProof/>
          </w:rPr>
          <w:fldChar w:fldCharType="end"/>
        </w:r>
      </w:hyperlink>
    </w:p>
    <w:p w14:paraId="3F5FD834" w14:textId="3DF4AA67" w:rsidR="00340F02" w:rsidRDefault="00340F02" w:rsidP="64C51CFE">
      <w:pPr>
        <w:pStyle w:val="TOC2"/>
        <w:rPr>
          <w:rFonts w:asciiTheme="minorHAnsi" w:eastAsiaTheme="minorEastAsia" w:hAnsiTheme="minorHAnsi"/>
          <w:noProof/>
          <w:sz w:val="24"/>
          <w:szCs w:val="24"/>
          <w:lang w:eastAsia="en-NZ"/>
        </w:rPr>
      </w:pPr>
      <w:hyperlink w:anchor="_Toc233888607">
        <w:r w:rsidRPr="64C51CFE">
          <w:rPr>
            <w:rStyle w:val="Hyperlink"/>
            <w:noProof/>
          </w:rPr>
          <w:t>System learning opportunity: hospital-acquired pressure injuries</w:t>
        </w:r>
        <w:r>
          <w:rPr>
            <w:noProof/>
          </w:rPr>
          <w:tab/>
        </w:r>
        <w:r w:rsidRPr="64C51CFE">
          <w:rPr>
            <w:noProof/>
          </w:rPr>
          <w:fldChar w:fldCharType="begin"/>
        </w:r>
        <w:r w:rsidRPr="64C51CFE">
          <w:rPr>
            <w:noProof/>
          </w:rPr>
          <w:instrText xml:space="preserve"> PAGEREF _Toc233888607 \h </w:instrText>
        </w:r>
        <w:r w:rsidRPr="64C51CFE">
          <w:rPr>
            <w:noProof/>
          </w:rPr>
        </w:r>
        <w:r w:rsidRPr="64C51CFE">
          <w:rPr>
            <w:noProof/>
          </w:rPr>
          <w:fldChar w:fldCharType="separate"/>
        </w:r>
        <w:r w:rsidR="00035936">
          <w:rPr>
            <w:noProof/>
          </w:rPr>
          <w:t>18</w:t>
        </w:r>
        <w:r w:rsidRPr="64C51CFE">
          <w:rPr>
            <w:noProof/>
          </w:rPr>
          <w:fldChar w:fldCharType="end"/>
        </w:r>
      </w:hyperlink>
    </w:p>
    <w:p w14:paraId="4AF84B9C" w14:textId="15F18A58" w:rsidR="00340F02" w:rsidRDefault="00340F02" w:rsidP="64C51CFE">
      <w:pPr>
        <w:pStyle w:val="TOC2"/>
        <w:rPr>
          <w:rFonts w:asciiTheme="minorHAnsi" w:eastAsiaTheme="minorEastAsia" w:hAnsiTheme="minorHAnsi"/>
          <w:noProof/>
          <w:sz w:val="24"/>
          <w:szCs w:val="24"/>
          <w:lang w:eastAsia="en-NZ"/>
        </w:rPr>
      </w:pPr>
      <w:hyperlink w:anchor="_Toc233888608">
        <w:r w:rsidRPr="64C51CFE">
          <w:rPr>
            <w:rStyle w:val="Hyperlink"/>
            <w:noProof/>
          </w:rPr>
          <w:t>System learning opportunity: transitions of care for older people</w:t>
        </w:r>
        <w:r>
          <w:rPr>
            <w:noProof/>
          </w:rPr>
          <w:tab/>
        </w:r>
        <w:r w:rsidRPr="64C51CFE">
          <w:rPr>
            <w:noProof/>
          </w:rPr>
          <w:fldChar w:fldCharType="begin"/>
        </w:r>
        <w:r w:rsidRPr="64C51CFE">
          <w:rPr>
            <w:noProof/>
          </w:rPr>
          <w:instrText xml:space="preserve"> PAGEREF _Toc233888608 \h </w:instrText>
        </w:r>
        <w:r w:rsidRPr="64C51CFE">
          <w:rPr>
            <w:noProof/>
          </w:rPr>
        </w:r>
        <w:r w:rsidRPr="64C51CFE">
          <w:rPr>
            <w:noProof/>
          </w:rPr>
          <w:fldChar w:fldCharType="separate"/>
        </w:r>
        <w:r w:rsidR="00035936">
          <w:rPr>
            <w:noProof/>
          </w:rPr>
          <w:t>19</w:t>
        </w:r>
        <w:r w:rsidRPr="64C51CFE">
          <w:rPr>
            <w:noProof/>
          </w:rPr>
          <w:fldChar w:fldCharType="end"/>
        </w:r>
      </w:hyperlink>
    </w:p>
    <w:p w14:paraId="4571CA93" w14:textId="0F755B83" w:rsidR="00340F02" w:rsidRDefault="00340F02" w:rsidP="64C51CFE">
      <w:pPr>
        <w:pStyle w:val="TOC1"/>
        <w:rPr>
          <w:rFonts w:asciiTheme="minorHAnsi" w:eastAsiaTheme="minorEastAsia" w:hAnsiTheme="minorHAnsi"/>
          <w:sz w:val="24"/>
          <w:szCs w:val="24"/>
          <w:lang w:eastAsia="en-NZ"/>
        </w:rPr>
      </w:pPr>
      <w:hyperlink w:anchor="_Toc233888609">
        <w:r w:rsidRPr="64C51CFE">
          <w:rPr>
            <w:rStyle w:val="Hyperlink"/>
          </w:rPr>
          <w:t>Next steps</w:t>
        </w:r>
        <w:r>
          <w:tab/>
        </w:r>
        <w:r>
          <w:fldChar w:fldCharType="begin"/>
        </w:r>
        <w:r>
          <w:instrText xml:space="preserve"> PAGEREF _Toc233888609 \h </w:instrText>
        </w:r>
        <w:r>
          <w:fldChar w:fldCharType="separate"/>
        </w:r>
        <w:r w:rsidR="00035936">
          <w:t>20</w:t>
        </w:r>
        <w:r>
          <w:fldChar w:fldCharType="end"/>
        </w:r>
      </w:hyperlink>
    </w:p>
    <w:p w14:paraId="4CA13807" w14:textId="0D6F5466" w:rsidR="00340F02" w:rsidRDefault="00340F02" w:rsidP="64C51CFE">
      <w:pPr>
        <w:pStyle w:val="TOC1"/>
        <w:rPr>
          <w:rFonts w:asciiTheme="minorHAnsi" w:eastAsiaTheme="minorEastAsia" w:hAnsiTheme="minorHAnsi"/>
          <w:sz w:val="24"/>
          <w:szCs w:val="24"/>
          <w:lang w:eastAsia="en-NZ"/>
        </w:rPr>
      </w:pPr>
      <w:hyperlink w:anchor="_Toc233888610">
        <w:r w:rsidRPr="64C51CFE">
          <w:rPr>
            <w:rStyle w:val="Hyperlink"/>
          </w:rPr>
          <w:t>Conclusion</w:t>
        </w:r>
        <w:r>
          <w:tab/>
        </w:r>
        <w:r>
          <w:fldChar w:fldCharType="begin"/>
        </w:r>
        <w:r>
          <w:instrText xml:space="preserve"> PAGEREF _Toc233888610 \h </w:instrText>
        </w:r>
        <w:r>
          <w:fldChar w:fldCharType="separate"/>
        </w:r>
        <w:r w:rsidR="00035936">
          <w:t>21</w:t>
        </w:r>
        <w:r>
          <w:fldChar w:fldCharType="end"/>
        </w:r>
      </w:hyperlink>
    </w:p>
    <w:p w14:paraId="5C293253" w14:textId="43212166" w:rsidR="00340F02" w:rsidRDefault="00340F02" w:rsidP="64C51CFE">
      <w:pPr>
        <w:pStyle w:val="TOC1"/>
        <w:rPr>
          <w:rFonts w:asciiTheme="minorHAnsi" w:eastAsiaTheme="minorEastAsia" w:hAnsiTheme="minorHAnsi"/>
          <w:sz w:val="24"/>
          <w:szCs w:val="24"/>
          <w:lang w:eastAsia="en-NZ"/>
        </w:rPr>
      </w:pPr>
      <w:hyperlink w:anchor="_Toc233888611">
        <w:r w:rsidRPr="64C51CFE">
          <w:rPr>
            <w:rStyle w:val="Hyperlink"/>
          </w:rPr>
          <w:t>Appendix</w:t>
        </w:r>
        <w:r>
          <w:tab/>
        </w:r>
        <w:r>
          <w:fldChar w:fldCharType="begin"/>
        </w:r>
        <w:r>
          <w:instrText xml:space="preserve"> PAGEREF _Toc233888611 \h </w:instrText>
        </w:r>
        <w:r>
          <w:fldChar w:fldCharType="separate"/>
        </w:r>
        <w:r w:rsidR="00035936">
          <w:t>22</w:t>
        </w:r>
        <w:r>
          <w:fldChar w:fldCharType="end"/>
        </w:r>
      </w:hyperlink>
    </w:p>
    <w:p w14:paraId="5F33B66D" w14:textId="71385B76" w:rsidR="00340F02" w:rsidRDefault="00340F02" w:rsidP="64C51CFE">
      <w:pPr>
        <w:pStyle w:val="TOC1"/>
        <w:rPr>
          <w:rFonts w:asciiTheme="minorHAnsi" w:eastAsiaTheme="minorEastAsia" w:hAnsiTheme="minorHAnsi"/>
          <w:sz w:val="24"/>
          <w:szCs w:val="24"/>
          <w:lang w:eastAsia="en-NZ"/>
        </w:rPr>
      </w:pPr>
      <w:hyperlink w:anchor="_Toc233888612">
        <w:r w:rsidRPr="64C51CFE">
          <w:rPr>
            <w:rStyle w:val="Hyperlink"/>
          </w:rPr>
          <w:t>References</w:t>
        </w:r>
        <w:r>
          <w:tab/>
        </w:r>
        <w:r>
          <w:fldChar w:fldCharType="begin"/>
        </w:r>
        <w:r>
          <w:instrText xml:space="preserve"> PAGEREF _Toc233888612 \h </w:instrText>
        </w:r>
        <w:r>
          <w:fldChar w:fldCharType="separate"/>
        </w:r>
        <w:r w:rsidR="00035936">
          <w:t>33</w:t>
        </w:r>
        <w:r>
          <w:fldChar w:fldCharType="end"/>
        </w:r>
      </w:hyperlink>
    </w:p>
    <w:p w14:paraId="5309412C" w14:textId="73014F49" w:rsidR="0064198B" w:rsidRPr="00397686" w:rsidRDefault="00F9730C" w:rsidP="00E54CD1">
      <w:pPr>
        <w:pStyle w:val="BodytextHQSC"/>
      </w:pPr>
      <w:r w:rsidRPr="00397686">
        <w:fldChar w:fldCharType="end"/>
      </w:r>
    </w:p>
    <w:p w14:paraId="2101D57A" w14:textId="5E67644A" w:rsidR="00916107" w:rsidRPr="00397686" w:rsidRDefault="00916107">
      <w:pPr>
        <w:spacing w:after="200"/>
        <w:rPr>
          <w:rFonts w:cs="Arial"/>
        </w:rPr>
      </w:pPr>
      <w:r w:rsidRPr="00397686">
        <w:br w:type="page"/>
      </w:r>
    </w:p>
    <w:p w14:paraId="4D092193" w14:textId="77777777" w:rsidR="000847C4" w:rsidRPr="00397686" w:rsidRDefault="000847C4" w:rsidP="000847C4">
      <w:pPr>
        <w:pStyle w:val="TOCHeading"/>
      </w:pPr>
      <w:r w:rsidRPr="00397686">
        <w:lastRenderedPageBreak/>
        <w:t>Table</w:t>
      </w:r>
    </w:p>
    <w:p w14:paraId="34453F80" w14:textId="68602C9D" w:rsidR="00DC1927" w:rsidRDefault="00DC1927" w:rsidP="64C51CFE">
      <w:pPr>
        <w:pStyle w:val="TableofFigures"/>
        <w:tabs>
          <w:tab w:val="right" w:pos="9060"/>
        </w:tabs>
        <w:rPr>
          <w:rFonts w:asciiTheme="minorHAnsi" w:eastAsiaTheme="minorEastAsia" w:hAnsiTheme="minorHAnsi"/>
          <w:noProof/>
          <w:sz w:val="24"/>
          <w:szCs w:val="24"/>
          <w:lang w:eastAsia="en-NZ"/>
        </w:rPr>
      </w:pPr>
      <w:r>
        <w:fldChar w:fldCharType="begin"/>
      </w:r>
      <w:r>
        <w:instrText xml:space="preserve"> TOC \h \z \t "Table caption HQSC" \c </w:instrText>
      </w:r>
      <w:r>
        <w:fldChar w:fldCharType="separate"/>
      </w:r>
      <w:hyperlink w:anchor="_Toc233888613">
        <w:r w:rsidR="00340F02" w:rsidRPr="64C51CFE">
          <w:rPr>
            <w:rStyle w:val="Hyperlink"/>
            <w:noProof/>
          </w:rPr>
          <w:t>Table 1: World Health Organization incident classification codes and categories and the themes of this report</w:t>
        </w:r>
        <w:r>
          <w:rPr>
            <w:noProof/>
          </w:rPr>
          <w:tab/>
        </w:r>
        <w:r w:rsidRPr="64C51CFE">
          <w:rPr>
            <w:noProof/>
          </w:rPr>
          <w:fldChar w:fldCharType="begin"/>
        </w:r>
        <w:r w:rsidRPr="64C51CFE">
          <w:rPr>
            <w:noProof/>
          </w:rPr>
          <w:instrText xml:space="preserve"> PAGEREF _Toc233888613 \h </w:instrText>
        </w:r>
        <w:r w:rsidRPr="64C51CFE">
          <w:rPr>
            <w:noProof/>
          </w:rPr>
        </w:r>
        <w:r w:rsidRPr="64C51CFE">
          <w:rPr>
            <w:noProof/>
          </w:rPr>
          <w:fldChar w:fldCharType="separate"/>
        </w:r>
        <w:r w:rsidR="00035936">
          <w:rPr>
            <w:noProof/>
          </w:rPr>
          <w:t>13</w:t>
        </w:r>
        <w:r w:rsidRPr="64C51CFE">
          <w:rPr>
            <w:noProof/>
          </w:rPr>
          <w:fldChar w:fldCharType="end"/>
        </w:r>
      </w:hyperlink>
    </w:p>
    <w:p w14:paraId="6EE047D9" w14:textId="4EF309EA" w:rsidR="00916107" w:rsidRPr="00397686" w:rsidRDefault="00DC1927" w:rsidP="00E54CD1">
      <w:pPr>
        <w:pStyle w:val="BodytextHQSC"/>
      </w:pPr>
      <w:r>
        <w:fldChar w:fldCharType="end"/>
      </w:r>
    </w:p>
    <w:p w14:paraId="75400E66" w14:textId="77777777" w:rsidR="000847C4" w:rsidRPr="00397686" w:rsidRDefault="42A533DC" w:rsidP="000847C4">
      <w:pPr>
        <w:pStyle w:val="TOCHeading"/>
      </w:pPr>
      <w:r>
        <w:t>Figures</w:t>
      </w:r>
    </w:p>
    <w:p w14:paraId="7B5C9266" w14:textId="2E5B0CE1" w:rsidR="00030A12" w:rsidRDefault="00030A12" w:rsidP="00030A12">
      <w:pPr>
        <w:pStyle w:val="TableofFigures"/>
        <w:tabs>
          <w:tab w:val="right" w:pos="9060"/>
        </w:tabs>
        <w:rPr>
          <w:rFonts w:asciiTheme="minorHAnsi" w:eastAsiaTheme="minorEastAsia" w:hAnsiTheme="minorHAnsi"/>
          <w:noProof/>
          <w:sz w:val="24"/>
          <w:szCs w:val="24"/>
          <w:lang w:eastAsia="en-NZ"/>
        </w:rPr>
      </w:pPr>
      <w:r w:rsidRPr="00397686">
        <w:fldChar w:fldCharType="begin"/>
      </w:r>
      <w:r>
        <w:instrText xml:space="preserve"> TOC \h \z \t "Figure caption HQSC" \c </w:instrText>
      </w:r>
      <w:r w:rsidRPr="00397686">
        <w:fldChar w:fldCharType="separate"/>
      </w:r>
      <w:hyperlink w:anchor="_Toc233888617">
        <w:r w:rsidRPr="64C51CFE">
          <w:rPr>
            <w:rStyle w:val="Hyperlink"/>
            <w:noProof/>
          </w:rPr>
          <w:t>Figure A1: Reported harm (adverse) events by provider type, July 2018–June 2025</w:t>
        </w:r>
        <w:r>
          <w:rPr>
            <w:noProof/>
          </w:rPr>
          <w:tab/>
        </w:r>
        <w:r w:rsidRPr="64C51CFE">
          <w:rPr>
            <w:noProof/>
          </w:rPr>
          <w:fldChar w:fldCharType="begin"/>
        </w:r>
        <w:r w:rsidRPr="64C51CFE">
          <w:rPr>
            <w:noProof/>
          </w:rPr>
          <w:instrText xml:space="preserve"> PAGEREF _Toc233888617 \h </w:instrText>
        </w:r>
        <w:r w:rsidRPr="64C51CFE">
          <w:rPr>
            <w:noProof/>
          </w:rPr>
        </w:r>
        <w:r w:rsidRPr="64C51CFE">
          <w:rPr>
            <w:noProof/>
          </w:rPr>
          <w:fldChar w:fldCharType="separate"/>
        </w:r>
        <w:r w:rsidR="00035936">
          <w:rPr>
            <w:noProof/>
          </w:rPr>
          <w:t>22</w:t>
        </w:r>
        <w:r w:rsidRPr="64C51CFE">
          <w:rPr>
            <w:noProof/>
          </w:rPr>
          <w:fldChar w:fldCharType="end"/>
        </w:r>
      </w:hyperlink>
    </w:p>
    <w:p w14:paraId="29695488" w14:textId="342D801F"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18">
        <w:r w:rsidRPr="64C51CFE">
          <w:rPr>
            <w:rStyle w:val="Hyperlink"/>
            <w:noProof/>
          </w:rPr>
          <w:t>Figure A2: Reported SAC 1 and 2 harm (adverse) events, Falls, July 2018–June 2025</w:t>
        </w:r>
        <w:r>
          <w:rPr>
            <w:noProof/>
          </w:rPr>
          <w:tab/>
        </w:r>
        <w:r w:rsidRPr="64C51CFE">
          <w:rPr>
            <w:noProof/>
          </w:rPr>
          <w:fldChar w:fldCharType="begin"/>
        </w:r>
        <w:r w:rsidRPr="64C51CFE">
          <w:rPr>
            <w:noProof/>
          </w:rPr>
          <w:instrText xml:space="preserve"> PAGEREF _Toc233888618 \h </w:instrText>
        </w:r>
        <w:r w:rsidRPr="64C51CFE">
          <w:rPr>
            <w:noProof/>
          </w:rPr>
        </w:r>
        <w:r w:rsidRPr="64C51CFE">
          <w:rPr>
            <w:noProof/>
          </w:rPr>
          <w:fldChar w:fldCharType="separate"/>
        </w:r>
        <w:r w:rsidR="00035936">
          <w:rPr>
            <w:noProof/>
          </w:rPr>
          <w:t>23</w:t>
        </w:r>
        <w:r w:rsidRPr="64C51CFE">
          <w:rPr>
            <w:noProof/>
          </w:rPr>
          <w:fldChar w:fldCharType="end"/>
        </w:r>
      </w:hyperlink>
    </w:p>
    <w:p w14:paraId="48DCBA73" w14:textId="5ABD676B"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19">
        <w:r w:rsidRPr="64C51CFE">
          <w:rPr>
            <w:rStyle w:val="Hyperlink"/>
            <w:noProof/>
          </w:rPr>
          <w:t>Figure A3: Reported SAC 1 and 2 harm (adverse) events, pressure injuries, July 2018–June 2025</w:t>
        </w:r>
        <w:r>
          <w:rPr>
            <w:noProof/>
          </w:rPr>
          <w:tab/>
        </w:r>
        <w:r w:rsidRPr="64C51CFE">
          <w:rPr>
            <w:noProof/>
          </w:rPr>
          <w:fldChar w:fldCharType="begin"/>
        </w:r>
        <w:r w:rsidRPr="64C51CFE">
          <w:rPr>
            <w:noProof/>
          </w:rPr>
          <w:instrText xml:space="preserve"> PAGEREF _Toc233888619 \h </w:instrText>
        </w:r>
        <w:r w:rsidRPr="64C51CFE">
          <w:rPr>
            <w:noProof/>
          </w:rPr>
        </w:r>
        <w:r w:rsidRPr="64C51CFE">
          <w:rPr>
            <w:noProof/>
          </w:rPr>
          <w:fldChar w:fldCharType="separate"/>
        </w:r>
        <w:r w:rsidR="00035936">
          <w:rPr>
            <w:noProof/>
          </w:rPr>
          <w:t>23</w:t>
        </w:r>
        <w:r w:rsidRPr="64C51CFE">
          <w:rPr>
            <w:noProof/>
          </w:rPr>
          <w:fldChar w:fldCharType="end"/>
        </w:r>
      </w:hyperlink>
    </w:p>
    <w:p w14:paraId="56E9ADD6" w14:textId="2925A9C3"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0">
        <w:r w:rsidRPr="64C51CFE">
          <w:rPr>
            <w:rStyle w:val="Hyperlink"/>
            <w:noProof/>
          </w:rPr>
          <w:t>Figure A4: Rate of hospital-acquired pressure injuries per 100 episodes, Q1 2017– Q2 2025, with baseline of 2017–2019 (NMDS)</w:t>
        </w:r>
        <w:r>
          <w:rPr>
            <w:noProof/>
          </w:rPr>
          <w:tab/>
        </w:r>
        <w:r w:rsidRPr="64C51CFE">
          <w:rPr>
            <w:noProof/>
          </w:rPr>
          <w:fldChar w:fldCharType="begin"/>
        </w:r>
        <w:r w:rsidRPr="64C51CFE">
          <w:rPr>
            <w:noProof/>
          </w:rPr>
          <w:instrText xml:space="preserve"> PAGEREF _Toc233888620 \h </w:instrText>
        </w:r>
        <w:r w:rsidRPr="64C51CFE">
          <w:rPr>
            <w:noProof/>
          </w:rPr>
        </w:r>
        <w:r w:rsidRPr="64C51CFE">
          <w:rPr>
            <w:noProof/>
          </w:rPr>
          <w:fldChar w:fldCharType="separate"/>
        </w:r>
        <w:r w:rsidR="00035936">
          <w:rPr>
            <w:noProof/>
          </w:rPr>
          <w:t>24</w:t>
        </w:r>
        <w:r w:rsidRPr="64C51CFE">
          <w:rPr>
            <w:noProof/>
          </w:rPr>
          <w:fldChar w:fldCharType="end"/>
        </w:r>
      </w:hyperlink>
    </w:p>
    <w:p w14:paraId="5DBEBF56" w14:textId="1C84EA6D"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1">
        <w:r w:rsidRPr="64C51CFE">
          <w:rPr>
            <w:rStyle w:val="Hyperlink"/>
            <w:noProof/>
          </w:rPr>
          <w:t>Figure A5: Hospital acquired pressure injuries identified in hospitalisation data to triangulate with SAC 1 and 2 harm events of pressure injuries, by age group, Jan 2017–June 2025</w:t>
        </w:r>
        <w:r>
          <w:rPr>
            <w:noProof/>
          </w:rPr>
          <w:tab/>
        </w:r>
        <w:r w:rsidRPr="64C51CFE">
          <w:rPr>
            <w:noProof/>
          </w:rPr>
          <w:fldChar w:fldCharType="begin"/>
        </w:r>
        <w:r w:rsidRPr="64C51CFE">
          <w:rPr>
            <w:noProof/>
          </w:rPr>
          <w:instrText xml:space="preserve"> PAGEREF _Toc233888621 \h </w:instrText>
        </w:r>
        <w:r w:rsidRPr="64C51CFE">
          <w:rPr>
            <w:noProof/>
          </w:rPr>
        </w:r>
        <w:r w:rsidRPr="64C51CFE">
          <w:rPr>
            <w:noProof/>
          </w:rPr>
          <w:fldChar w:fldCharType="separate"/>
        </w:r>
        <w:r w:rsidR="00035936">
          <w:rPr>
            <w:noProof/>
          </w:rPr>
          <w:t>25</w:t>
        </w:r>
        <w:r w:rsidRPr="64C51CFE">
          <w:rPr>
            <w:noProof/>
          </w:rPr>
          <w:fldChar w:fldCharType="end"/>
        </w:r>
      </w:hyperlink>
    </w:p>
    <w:p w14:paraId="79BF22DA" w14:textId="2CD13ED3"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2">
        <w:r w:rsidRPr="64C51CFE">
          <w:rPr>
            <w:rStyle w:val="Hyperlink"/>
            <w:noProof/>
          </w:rPr>
          <w:t>Figure A6: Reported SAC 1 and 2 harm (adverse) events, deterioration, July 2018–June 2025</w:t>
        </w:r>
        <w:r>
          <w:rPr>
            <w:noProof/>
          </w:rPr>
          <w:tab/>
        </w:r>
        <w:r w:rsidRPr="64C51CFE">
          <w:rPr>
            <w:noProof/>
          </w:rPr>
          <w:fldChar w:fldCharType="begin"/>
        </w:r>
        <w:r w:rsidRPr="64C51CFE">
          <w:rPr>
            <w:noProof/>
          </w:rPr>
          <w:instrText xml:space="preserve"> PAGEREF _Toc233888622 \h </w:instrText>
        </w:r>
        <w:r w:rsidRPr="64C51CFE">
          <w:rPr>
            <w:noProof/>
          </w:rPr>
        </w:r>
        <w:r w:rsidRPr="64C51CFE">
          <w:rPr>
            <w:noProof/>
          </w:rPr>
          <w:fldChar w:fldCharType="separate"/>
        </w:r>
        <w:r w:rsidR="00035936">
          <w:rPr>
            <w:noProof/>
          </w:rPr>
          <w:t>25</w:t>
        </w:r>
        <w:r w:rsidRPr="64C51CFE">
          <w:rPr>
            <w:noProof/>
          </w:rPr>
          <w:fldChar w:fldCharType="end"/>
        </w:r>
      </w:hyperlink>
    </w:p>
    <w:p w14:paraId="34A8F284" w14:textId="1ED2A861"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3">
        <w:r w:rsidRPr="64C51CFE">
          <w:rPr>
            <w:rStyle w:val="Hyperlink"/>
            <w:noProof/>
          </w:rPr>
          <w:t>Figure A7: Reported SAC 1 and 2 harm (adverse) events, clinical administration, July 2018–June 2025</w:t>
        </w:r>
        <w:r>
          <w:rPr>
            <w:noProof/>
          </w:rPr>
          <w:tab/>
        </w:r>
        <w:r w:rsidRPr="64C51CFE">
          <w:rPr>
            <w:noProof/>
          </w:rPr>
          <w:fldChar w:fldCharType="begin"/>
        </w:r>
        <w:r w:rsidRPr="64C51CFE">
          <w:rPr>
            <w:noProof/>
          </w:rPr>
          <w:instrText xml:space="preserve"> PAGEREF _Toc233888623 \h </w:instrText>
        </w:r>
        <w:r w:rsidRPr="64C51CFE">
          <w:rPr>
            <w:noProof/>
          </w:rPr>
        </w:r>
        <w:r w:rsidRPr="64C51CFE">
          <w:rPr>
            <w:noProof/>
          </w:rPr>
          <w:fldChar w:fldCharType="separate"/>
        </w:r>
        <w:r w:rsidR="00035936">
          <w:rPr>
            <w:noProof/>
          </w:rPr>
          <w:t>26</w:t>
        </w:r>
        <w:r w:rsidRPr="64C51CFE">
          <w:rPr>
            <w:noProof/>
          </w:rPr>
          <w:fldChar w:fldCharType="end"/>
        </w:r>
      </w:hyperlink>
    </w:p>
    <w:p w14:paraId="506C8C64" w14:textId="0F31A10F"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4">
        <w:r w:rsidRPr="64C51CFE">
          <w:rPr>
            <w:rStyle w:val="Hyperlink"/>
            <w:noProof/>
          </w:rPr>
          <w:t>Figure A8: Reported SAC 1 and 2 harm (adverse) events, complications, July 2018–June 2025</w:t>
        </w:r>
        <w:r>
          <w:rPr>
            <w:noProof/>
          </w:rPr>
          <w:tab/>
        </w:r>
        <w:r w:rsidRPr="64C51CFE">
          <w:rPr>
            <w:noProof/>
          </w:rPr>
          <w:fldChar w:fldCharType="begin"/>
        </w:r>
        <w:r w:rsidRPr="64C51CFE">
          <w:rPr>
            <w:noProof/>
          </w:rPr>
          <w:instrText xml:space="preserve"> PAGEREF _Toc233888624 \h </w:instrText>
        </w:r>
        <w:r w:rsidRPr="64C51CFE">
          <w:rPr>
            <w:noProof/>
          </w:rPr>
        </w:r>
        <w:r w:rsidRPr="64C51CFE">
          <w:rPr>
            <w:noProof/>
          </w:rPr>
          <w:fldChar w:fldCharType="separate"/>
        </w:r>
        <w:r w:rsidR="00035936">
          <w:rPr>
            <w:noProof/>
          </w:rPr>
          <w:t>26</w:t>
        </w:r>
        <w:r w:rsidRPr="64C51CFE">
          <w:rPr>
            <w:noProof/>
          </w:rPr>
          <w:fldChar w:fldCharType="end"/>
        </w:r>
      </w:hyperlink>
    </w:p>
    <w:p w14:paraId="6F52BB61" w14:textId="2E6DC00F"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5">
        <w:r w:rsidRPr="64C51CFE">
          <w:rPr>
            <w:rStyle w:val="Hyperlink"/>
            <w:noProof/>
          </w:rPr>
          <w:t>Figure A9: Reported SAC 1 and 2 harm (adverse) events, delays, July 2018–June 2025</w:t>
        </w:r>
        <w:r>
          <w:rPr>
            <w:noProof/>
          </w:rPr>
          <w:tab/>
        </w:r>
        <w:r w:rsidRPr="64C51CFE">
          <w:rPr>
            <w:noProof/>
          </w:rPr>
          <w:fldChar w:fldCharType="begin"/>
        </w:r>
        <w:r w:rsidRPr="64C51CFE">
          <w:rPr>
            <w:noProof/>
          </w:rPr>
          <w:instrText xml:space="preserve"> PAGEREF _Toc233888625 \h </w:instrText>
        </w:r>
        <w:r w:rsidRPr="64C51CFE">
          <w:rPr>
            <w:noProof/>
          </w:rPr>
        </w:r>
        <w:r w:rsidRPr="64C51CFE">
          <w:rPr>
            <w:noProof/>
          </w:rPr>
          <w:fldChar w:fldCharType="separate"/>
        </w:r>
        <w:r w:rsidR="00035936">
          <w:rPr>
            <w:noProof/>
          </w:rPr>
          <w:t>27</w:t>
        </w:r>
        <w:r w:rsidRPr="64C51CFE">
          <w:rPr>
            <w:noProof/>
          </w:rPr>
          <w:fldChar w:fldCharType="end"/>
        </w:r>
      </w:hyperlink>
    </w:p>
    <w:p w14:paraId="53EB7D63" w14:textId="642A9FE8"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6">
        <w:r w:rsidRPr="64C51CFE">
          <w:rPr>
            <w:rStyle w:val="Hyperlink"/>
            <w:noProof/>
          </w:rPr>
          <w:t>Figure A10: Reported SAC 1 and 2 harm (adverse) events, wrong consumer, site or side, July 2018–June 2025</w:t>
        </w:r>
        <w:r>
          <w:rPr>
            <w:noProof/>
          </w:rPr>
          <w:tab/>
        </w:r>
        <w:r w:rsidRPr="64C51CFE">
          <w:rPr>
            <w:noProof/>
          </w:rPr>
          <w:fldChar w:fldCharType="begin"/>
        </w:r>
        <w:r w:rsidRPr="64C51CFE">
          <w:rPr>
            <w:noProof/>
          </w:rPr>
          <w:instrText xml:space="preserve"> PAGEREF _Toc233888626 \h </w:instrText>
        </w:r>
        <w:r w:rsidRPr="64C51CFE">
          <w:rPr>
            <w:noProof/>
          </w:rPr>
        </w:r>
        <w:r w:rsidRPr="64C51CFE">
          <w:rPr>
            <w:noProof/>
          </w:rPr>
          <w:fldChar w:fldCharType="separate"/>
        </w:r>
        <w:r w:rsidR="00035936">
          <w:rPr>
            <w:noProof/>
          </w:rPr>
          <w:t>27</w:t>
        </w:r>
        <w:r w:rsidRPr="64C51CFE">
          <w:rPr>
            <w:noProof/>
          </w:rPr>
          <w:fldChar w:fldCharType="end"/>
        </w:r>
      </w:hyperlink>
    </w:p>
    <w:p w14:paraId="0C361044" w14:textId="1DF11053"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7">
        <w:r w:rsidRPr="64C51CFE">
          <w:rPr>
            <w:rStyle w:val="Hyperlink"/>
            <w:noProof/>
          </w:rPr>
          <w:t>Figure A11: Number of reported events by SAC rating for wrong consumer and wrong site, 2022/23–2024/25</w:t>
        </w:r>
        <w:r>
          <w:rPr>
            <w:noProof/>
          </w:rPr>
          <w:tab/>
        </w:r>
        <w:r w:rsidRPr="64C51CFE">
          <w:rPr>
            <w:noProof/>
          </w:rPr>
          <w:fldChar w:fldCharType="begin"/>
        </w:r>
        <w:r w:rsidRPr="64C51CFE">
          <w:rPr>
            <w:noProof/>
          </w:rPr>
          <w:instrText xml:space="preserve"> PAGEREF _Toc233888627 \h </w:instrText>
        </w:r>
        <w:r w:rsidRPr="64C51CFE">
          <w:rPr>
            <w:noProof/>
          </w:rPr>
        </w:r>
        <w:r w:rsidRPr="64C51CFE">
          <w:rPr>
            <w:noProof/>
          </w:rPr>
          <w:fldChar w:fldCharType="separate"/>
        </w:r>
        <w:r w:rsidR="00035936">
          <w:rPr>
            <w:noProof/>
          </w:rPr>
          <w:t>28</w:t>
        </w:r>
        <w:r w:rsidRPr="64C51CFE">
          <w:rPr>
            <w:noProof/>
          </w:rPr>
          <w:fldChar w:fldCharType="end"/>
        </w:r>
      </w:hyperlink>
    </w:p>
    <w:p w14:paraId="111AB741" w14:textId="7614B72E"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8">
        <w:r w:rsidRPr="64C51CFE">
          <w:rPr>
            <w:rStyle w:val="Hyperlink"/>
            <w:noProof/>
          </w:rPr>
          <w:t>Figure A12: Average occupied bed days (OBDs) for acute admissions of patients aged 65 years and over, by selected diagnosis, 2012–2024</w:t>
        </w:r>
        <w:r>
          <w:rPr>
            <w:noProof/>
          </w:rPr>
          <w:tab/>
        </w:r>
        <w:r w:rsidRPr="64C51CFE">
          <w:rPr>
            <w:noProof/>
          </w:rPr>
          <w:fldChar w:fldCharType="begin"/>
        </w:r>
        <w:r w:rsidRPr="64C51CFE">
          <w:rPr>
            <w:noProof/>
          </w:rPr>
          <w:instrText xml:space="preserve"> PAGEREF _Toc233888628 \h </w:instrText>
        </w:r>
        <w:r w:rsidRPr="64C51CFE">
          <w:rPr>
            <w:noProof/>
          </w:rPr>
        </w:r>
        <w:r w:rsidRPr="64C51CFE">
          <w:rPr>
            <w:noProof/>
          </w:rPr>
          <w:fldChar w:fldCharType="separate"/>
        </w:r>
        <w:r w:rsidR="00035936">
          <w:rPr>
            <w:noProof/>
          </w:rPr>
          <w:t>28</w:t>
        </w:r>
        <w:r w:rsidRPr="64C51CFE">
          <w:rPr>
            <w:noProof/>
          </w:rPr>
          <w:fldChar w:fldCharType="end"/>
        </w:r>
      </w:hyperlink>
    </w:p>
    <w:p w14:paraId="48F4F515" w14:textId="5E2459E4"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29">
        <w:r w:rsidRPr="64C51CFE">
          <w:rPr>
            <w:rStyle w:val="Hyperlink"/>
            <w:noProof/>
          </w:rPr>
          <w:t>Figure A13: Decomposition analysis of the cause of increase in occupied bed days associated with lack of mobility diagnosis admissions, 2018–2024</w:t>
        </w:r>
        <w:r>
          <w:rPr>
            <w:noProof/>
          </w:rPr>
          <w:tab/>
        </w:r>
        <w:r w:rsidRPr="64C51CFE">
          <w:rPr>
            <w:noProof/>
          </w:rPr>
          <w:fldChar w:fldCharType="begin"/>
        </w:r>
        <w:r w:rsidRPr="64C51CFE">
          <w:rPr>
            <w:noProof/>
          </w:rPr>
          <w:instrText xml:space="preserve"> PAGEREF _Toc233888629 \h </w:instrText>
        </w:r>
        <w:r w:rsidRPr="64C51CFE">
          <w:rPr>
            <w:noProof/>
          </w:rPr>
        </w:r>
        <w:r w:rsidRPr="64C51CFE">
          <w:rPr>
            <w:noProof/>
          </w:rPr>
          <w:fldChar w:fldCharType="separate"/>
        </w:r>
        <w:r w:rsidR="00035936">
          <w:rPr>
            <w:noProof/>
          </w:rPr>
          <w:t>29</w:t>
        </w:r>
        <w:r w:rsidRPr="64C51CFE">
          <w:rPr>
            <w:noProof/>
          </w:rPr>
          <w:fldChar w:fldCharType="end"/>
        </w:r>
      </w:hyperlink>
    </w:p>
    <w:p w14:paraId="786AF081" w14:textId="32857E10"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30">
        <w:r w:rsidRPr="64C51CFE">
          <w:rPr>
            <w:rStyle w:val="Hyperlink"/>
            <w:noProof/>
          </w:rPr>
          <w:t>Figure A14: Rate of accepted ACC Treatment Injury claims per 100,000 resident population Q3 2014 – Q3 2025</w:t>
        </w:r>
        <w:r>
          <w:rPr>
            <w:noProof/>
          </w:rPr>
          <w:tab/>
        </w:r>
        <w:r w:rsidRPr="64C51CFE">
          <w:rPr>
            <w:noProof/>
          </w:rPr>
          <w:fldChar w:fldCharType="begin"/>
        </w:r>
        <w:r w:rsidRPr="64C51CFE">
          <w:rPr>
            <w:noProof/>
          </w:rPr>
          <w:instrText xml:space="preserve"> PAGEREF _Toc233888630 \h </w:instrText>
        </w:r>
        <w:r w:rsidRPr="64C51CFE">
          <w:rPr>
            <w:noProof/>
          </w:rPr>
        </w:r>
        <w:r w:rsidRPr="64C51CFE">
          <w:rPr>
            <w:noProof/>
          </w:rPr>
          <w:fldChar w:fldCharType="separate"/>
        </w:r>
        <w:r w:rsidR="00035936">
          <w:rPr>
            <w:noProof/>
          </w:rPr>
          <w:t>30</w:t>
        </w:r>
        <w:r w:rsidRPr="64C51CFE">
          <w:rPr>
            <w:noProof/>
          </w:rPr>
          <w:fldChar w:fldCharType="end"/>
        </w:r>
      </w:hyperlink>
    </w:p>
    <w:p w14:paraId="399988D0" w14:textId="1FE9B6AA"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31">
        <w:r w:rsidRPr="64C51CFE">
          <w:rPr>
            <w:rStyle w:val="Hyperlink"/>
            <w:noProof/>
          </w:rPr>
          <w:t>Figure A15: Number of ACC-accepted treatment injury claims of pressure injury, 2016/17–2024/25</w:t>
        </w:r>
        <w:r>
          <w:rPr>
            <w:noProof/>
          </w:rPr>
          <w:tab/>
        </w:r>
        <w:r w:rsidRPr="64C51CFE">
          <w:rPr>
            <w:noProof/>
          </w:rPr>
          <w:fldChar w:fldCharType="begin"/>
        </w:r>
        <w:r w:rsidRPr="64C51CFE">
          <w:rPr>
            <w:noProof/>
          </w:rPr>
          <w:instrText xml:space="preserve"> PAGEREF _Toc233888631 \h </w:instrText>
        </w:r>
        <w:r w:rsidRPr="64C51CFE">
          <w:rPr>
            <w:noProof/>
          </w:rPr>
        </w:r>
        <w:r w:rsidRPr="64C51CFE">
          <w:rPr>
            <w:noProof/>
          </w:rPr>
          <w:fldChar w:fldCharType="separate"/>
        </w:r>
        <w:r w:rsidR="00035936">
          <w:rPr>
            <w:noProof/>
          </w:rPr>
          <w:t>31</w:t>
        </w:r>
        <w:r w:rsidRPr="64C51CFE">
          <w:rPr>
            <w:noProof/>
          </w:rPr>
          <w:fldChar w:fldCharType="end"/>
        </w:r>
      </w:hyperlink>
    </w:p>
    <w:p w14:paraId="52226875" w14:textId="367E53DE"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32">
        <w:r w:rsidRPr="64C51CFE">
          <w:rPr>
            <w:rStyle w:val="Hyperlink"/>
            <w:noProof/>
          </w:rPr>
          <w:t>Figure A16: Number of hospital-acquired pressure injuries and non-hospital-acquired pressure injuries recorded in the National Minimum Dataset, Q1 2017–Q3 2025</w:t>
        </w:r>
        <w:r>
          <w:rPr>
            <w:noProof/>
          </w:rPr>
          <w:tab/>
        </w:r>
        <w:r w:rsidRPr="64C51CFE">
          <w:rPr>
            <w:noProof/>
          </w:rPr>
          <w:fldChar w:fldCharType="begin"/>
        </w:r>
        <w:r w:rsidRPr="64C51CFE">
          <w:rPr>
            <w:noProof/>
          </w:rPr>
          <w:instrText xml:space="preserve"> PAGEREF _Toc233888632 \h </w:instrText>
        </w:r>
        <w:r w:rsidRPr="64C51CFE">
          <w:rPr>
            <w:noProof/>
          </w:rPr>
        </w:r>
        <w:r w:rsidRPr="64C51CFE">
          <w:rPr>
            <w:noProof/>
          </w:rPr>
          <w:fldChar w:fldCharType="separate"/>
        </w:r>
        <w:r w:rsidR="00035936">
          <w:rPr>
            <w:noProof/>
          </w:rPr>
          <w:t>32</w:t>
        </w:r>
        <w:r w:rsidRPr="64C51CFE">
          <w:rPr>
            <w:noProof/>
          </w:rPr>
          <w:fldChar w:fldCharType="end"/>
        </w:r>
      </w:hyperlink>
    </w:p>
    <w:p w14:paraId="0D0E22A1" w14:textId="70C2ADF3" w:rsidR="00030A12" w:rsidRDefault="00030A12" w:rsidP="00030A12">
      <w:pPr>
        <w:pStyle w:val="TableofFigures"/>
        <w:tabs>
          <w:tab w:val="right" w:pos="9060"/>
        </w:tabs>
        <w:rPr>
          <w:rFonts w:asciiTheme="minorHAnsi" w:eastAsiaTheme="minorEastAsia" w:hAnsiTheme="minorHAnsi"/>
          <w:noProof/>
          <w:sz w:val="24"/>
          <w:szCs w:val="24"/>
          <w:lang w:eastAsia="en-NZ"/>
        </w:rPr>
      </w:pPr>
      <w:hyperlink w:anchor="_Toc233888633">
        <w:r w:rsidRPr="64C51CFE">
          <w:rPr>
            <w:rStyle w:val="Hyperlink"/>
            <w:noProof/>
          </w:rPr>
          <w:t>Figure A17: Reported ACC risk of harm events, 2022–2025 (ending June)</w:t>
        </w:r>
        <w:r>
          <w:rPr>
            <w:noProof/>
          </w:rPr>
          <w:tab/>
        </w:r>
        <w:r w:rsidRPr="64C51CFE">
          <w:rPr>
            <w:noProof/>
          </w:rPr>
          <w:fldChar w:fldCharType="begin"/>
        </w:r>
        <w:r w:rsidRPr="64C51CFE">
          <w:rPr>
            <w:noProof/>
          </w:rPr>
          <w:instrText xml:space="preserve"> PAGEREF _Toc233888633 \h </w:instrText>
        </w:r>
        <w:r w:rsidRPr="64C51CFE">
          <w:rPr>
            <w:noProof/>
          </w:rPr>
        </w:r>
        <w:r w:rsidRPr="64C51CFE">
          <w:rPr>
            <w:noProof/>
          </w:rPr>
          <w:fldChar w:fldCharType="separate"/>
        </w:r>
        <w:r w:rsidR="00035936">
          <w:rPr>
            <w:noProof/>
          </w:rPr>
          <w:t>32</w:t>
        </w:r>
        <w:r w:rsidRPr="64C51CFE">
          <w:rPr>
            <w:noProof/>
          </w:rPr>
          <w:fldChar w:fldCharType="end"/>
        </w:r>
      </w:hyperlink>
    </w:p>
    <w:p w14:paraId="7C8A293A" w14:textId="77777777" w:rsidR="00030A12" w:rsidRPr="00397686" w:rsidRDefault="00030A12" w:rsidP="00030A12">
      <w:pPr>
        <w:pStyle w:val="BodytextHQSC"/>
        <w:spacing w:before="0" w:after="0"/>
      </w:pPr>
      <w:r w:rsidRPr="00397686">
        <w:fldChar w:fldCharType="end"/>
      </w:r>
    </w:p>
    <w:p w14:paraId="251617AB" w14:textId="0F7B5140" w:rsidR="0064198B" w:rsidRPr="00397686" w:rsidRDefault="0064198B" w:rsidP="003E3D39">
      <w:pPr>
        <w:pStyle w:val="Heading1HQSC"/>
      </w:pPr>
      <w:r w:rsidRPr="00397686">
        <w:br w:type="page"/>
      </w:r>
      <w:bookmarkStart w:id="0" w:name="_Toc233888595"/>
      <w:r w:rsidR="00C6039C" w:rsidRPr="00397686">
        <w:lastRenderedPageBreak/>
        <w:t>Executive summary</w:t>
      </w:r>
      <w:bookmarkEnd w:id="0"/>
    </w:p>
    <w:p w14:paraId="235745B3" w14:textId="3F7B09AB" w:rsidR="001607A7" w:rsidRPr="006B5C6E" w:rsidRDefault="00DB3EF2" w:rsidP="001607A7">
      <w:pPr>
        <w:pStyle w:val="BodytextHQSC"/>
      </w:pPr>
      <w:r w:rsidRPr="00DB3EF2">
        <w:t>The Learning from health</w:t>
      </w:r>
      <w:r w:rsidR="008D0D0B">
        <w:t xml:space="preserve"> </w:t>
      </w:r>
      <w:r w:rsidRPr="00DB3EF2">
        <w:t>care harm system safety report</w:t>
      </w:r>
      <w:r w:rsidRPr="00DB3EF2" w:rsidDel="00B02E3A">
        <w:t xml:space="preserve"> </w:t>
      </w:r>
      <w:r w:rsidR="008B5B79">
        <w:t>aim</w:t>
      </w:r>
      <w:r>
        <w:t xml:space="preserve">s </w:t>
      </w:r>
      <w:r w:rsidR="005943FF">
        <w:t xml:space="preserve">to </w:t>
      </w:r>
      <w:r w:rsidR="008D5C80">
        <w:t>highlight</w:t>
      </w:r>
      <w:r w:rsidR="005943FF">
        <w:t xml:space="preserve"> </w:t>
      </w:r>
      <w:r w:rsidR="005448C3">
        <w:t xml:space="preserve">the breadth of harm </w:t>
      </w:r>
      <w:r w:rsidR="00D84E24">
        <w:t>occurring</w:t>
      </w:r>
      <w:r w:rsidR="00500A62">
        <w:t xml:space="preserve"> across </w:t>
      </w:r>
      <w:r w:rsidR="00196EEE">
        <w:t>the</w:t>
      </w:r>
      <w:r w:rsidR="00500A62">
        <w:t xml:space="preserve"> health and disability system</w:t>
      </w:r>
      <w:r w:rsidR="00EC77BC">
        <w:t>.</w:t>
      </w:r>
      <w:r w:rsidR="00500A62">
        <w:t xml:space="preserve"> </w:t>
      </w:r>
      <w:r w:rsidR="00A02660">
        <w:t>Patients are at the heart of the health system</w:t>
      </w:r>
      <w:r w:rsidR="00297F53">
        <w:t>,</w:t>
      </w:r>
      <w:r w:rsidR="00A02660">
        <w:t xml:space="preserve"> and </w:t>
      </w:r>
      <w:r w:rsidR="004B6865">
        <w:t>this</w:t>
      </w:r>
      <w:r w:rsidR="005C485C">
        <w:t xml:space="preserve"> report highlights</w:t>
      </w:r>
      <w:r w:rsidR="00500A62">
        <w:t xml:space="preserve"> system</w:t>
      </w:r>
      <w:r w:rsidR="005C485C">
        <w:t xml:space="preserve"> </w:t>
      </w:r>
      <w:r w:rsidR="00E6203B">
        <w:t xml:space="preserve">learning </w:t>
      </w:r>
      <w:r w:rsidR="005C485C">
        <w:t xml:space="preserve">opportunities </w:t>
      </w:r>
      <w:r w:rsidR="00AF232C">
        <w:t>that</w:t>
      </w:r>
      <w:r w:rsidR="005C485C">
        <w:t xml:space="preserve"> </w:t>
      </w:r>
      <w:r w:rsidR="00AF232C">
        <w:t xml:space="preserve">support </w:t>
      </w:r>
      <w:r w:rsidR="00EA05E5">
        <w:t xml:space="preserve">health entities to </w:t>
      </w:r>
      <w:r w:rsidR="005A4568">
        <w:t>improve</w:t>
      </w:r>
      <w:r w:rsidR="005448C3">
        <w:t xml:space="preserve"> </w:t>
      </w:r>
      <w:r w:rsidR="00DD50C0">
        <w:t>care and</w:t>
      </w:r>
      <w:r w:rsidR="005448C3">
        <w:t xml:space="preserve"> safety</w:t>
      </w:r>
      <w:r w:rsidR="00D84E24">
        <w:t>.</w:t>
      </w:r>
    </w:p>
    <w:p w14:paraId="1923D76C" w14:textId="56DE0DB7" w:rsidR="006D2D23" w:rsidRPr="00397686" w:rsidRDefault="006D2D23" w:rsidP="006D2D23">
      <w:pPr>
        <w:pStyle w:val="BodytextHQSC"/>
      </w:pPr>
      <w:r w:rsidRPr="00397686">
        <w:t xml:space="preserve">The Pae Ora (Healthy Futures) Act 2022 objectives for the Health Quality &amp; Safety Commission Te Tāhū Hauora </w:t>
      </w:r>
      <w:r w:rsidR="00281C33">
        <w:t>are</w:t>
      </w:r>
      <w:r w:rsidR="409314B8" w:rsidRPr="00397686">
        <w:t xml:space="preserve"> </w:t>
      </w:r>
      <w:r w:rsidRPr="00397686">
        <w:t>to lead and coordinate work across the</w:t>
      </w:r>
      <w:r w:rsidR="008B5B79">
        <w:t xml:space="preserve"> </w:t>
      </w:r>
      <w:r w:rsidRPr="00397686">
        <w:t>health sector for the purposes of</w:t>
      </w:r>
      <w:r w:rsidR="008B5B79">
        <w:t xml:space="preserve"> </w:t>
      </w:r>
      <w:r w:rsidRPr="00397686">
        <w:t>monitoring and improving the quality and safety of services</w:t>
      </w:r>
      <w:r w:rsidR="00EA49B2">
        <w:t>,</w:t>
      </w:r>
      <w:r w:rsidRPr="00397686">
        <w:t xml:space="preserve"> and helping providers to improve the quality and safety of services (subpart 3)</w:t>
      </w:r>
      <w:r w:rsidR="001C0502" w:rsidRPr="00397686">
        <w:t>.</w:t>
      </w:r>
      <w:r w:rsidRPr="00397686">
        <w:rPr>
          <w:vertAlign w:val="superscript"/>
        </w:rPr>
        <w:footnoteReference w:id="1"/>
      </w:r>
      <w:r w:rsidRPr="00397686">
        <w:t xml:space="preserve"> The</w:t>
      </w:r>
      <w:r w:rsidR="008B5B79">
        <w:t xml:space="preserve"> </w:t>
      </w:r>
      <w:r w:rsidRPr="00397686">
        <w:t xml:space="preserve">Commission’s functions are to advise the Minister </w:t>
      </w:r>
      <w:r w:rsidR="00663033">
        <w:t xml:space="preserve">of Health </w:t>
      </w:r>
      <w:r w:rsidRPr="00397686">
        <w:t xml:space="preserve">on how </w:t>
      </w:r>
      <w:r w:rsidR="00747588" w:rsidRPr="00397686">
        <w:t xml:space="preserve">services </w:t>
      </w:r>
      <w:r w:rsidRPr="00397686">
        <w:t xml:space="preserve">quality and safety may be improved and measure the quality and safety of services. </w:t>
      </w:r>
    </w:p>
    <w:p w14:paraId="22E37D7E" w14:textId="0924DD8A" w:rsidR="00AB0CBA" w:rsidRPr="0030270C" w:rsidRDefault="006D2D23" w:rsidP="00AB0CBA">
      <w:pPr>
        <w:pStyle w:val="BodytextHQSC"/>
      </w:pPr>
      <w:r w:rsidRPr="00397686">
        <w:t xml:space="preserve">Responding to an ongoing system expectation to collectively learn from harm, Health New Zealand </w:t>
      </w:r>
      <w:r w:rsidR="00E44F41">
        <w:t xml:space="preserve">| </w:t>
      </w:r>
      <w:r w:rsidRPr="00397686">
        <w:t>Te Whatu Ora, the Accident Compensation Corporation</w:t>
      </w:r>
      <w:r w:rsidR="00055439">
        <w:t>,</w:t>
      </w:r>
      <w:r w:rsidRPr="00397686">
        <w:t xml:space="preserve"> the Health and Disability Commissioner and the Commission share</w:t>
      </w:r>
      <w:r w:rsidR="003A663F">
        <w:t>d</w:t>
      </w:r>
      <w:r w:rsidRPr="00397686">
        <w:t xml:space="preserve"> harm data </w:t>
      </w:r>
      <w:r w:rsidR="00EF7649">
        <w:t>to identify</w:t>
      </w:r>
      <w:r w:rsidRPr="00397686">
        <w:t xml:space="preserve"> opportunities for system learning and focused improvement</w:t>
      </w:r>
      <w:r w:rsidR="0030270C">
        <w:t>.</w:t>
      </w:r>
    </w:p>
    <w:p w14:paraId="5DC875FB" w14:textId="12FECDEE" w:rsidR="006D2D23" w:rsidRPr="00397686" w:rsidRDefault="003639E0" w:rsidP="006D2D23">
      <w:pPr>
        <w:pStyle w:val="BodytextHQSC"/>
      </w:pPr>
      <w:r>
        <w:t>Th</w:t>
      </w:r>
      <w:r w:rsidR="00963594">
        <w:t>is</w:t>
      </w:r>
      <w:r>
        <w:t xml:space="preserve"> report </w:t>
      </w:r>
      <w:r w:rsidR="006D2D23" w:rsidRPr="00397686">
        <w:t xml:space="preserve">draws on </w:t>
      </w:r>
      <w:r>
        <w:t>the</w:t>
      </w:r>
      <w:r w:rsidR="006D2D23" w:rsidRPr="00397686">
        <w:t xml:space="preserve"> harm data and insights to better understand where harm is occurring across </w:t>
      </w:r>
      <w:r w:rsidR="006D2D23" w:rsidRPr="00EA1981">
        <w:t xml:space="preserve">the </w:t>
      </w:r>
      <w:r w:rsidR="004D024D">
        <w:t xml:space="preserve">health and disability </w:t>
      </w:r>
      <w:r w:rsidR="006D2D23" w:rsidRPr="00EA1981">
        <w:t>system</w:t>
      </w:r>
      <w:r w:rsidR="006D2D23" w:rsidRPr="00397686">
        <w:t xml:space="preserve"> </w:t>
      </w:r>
      <w:r w:rsidR="00C10BA1">
        <w:t xml:space="preserve">and </w:t>
      </w:r>
      <w:r w:rsidR="006D2D23" w:rsidRPr="00397686">
        <w:t>where issues converge. Th</w:t>
      </w:r>
      <w:r w:rsidR="003A663F">
        <w:t>e</w:t>
      </w:r>
      <w:r w:rsidR="006D2D23" w:rsidRPr="00397686">
        <w:t xml:space="preserve"> report does not seek to analyse individual harm events or assign causal responsibility. Instead, it focuses on </w:t>
      </w:r>
      <w:r w:rsidR="00E93A69">
        <w:t>learning more about</w:t>
      </w:r>
      <w:r w:rsidR="006D2D23" w:rsidRPr="00397686">
        <w:t xml:space="preserve"> common system-level themes and pressures that influence where harm occurs across </w:t>
      </w:r>
      <w:r w:rsidR="006D2D23" w:rsidRPr="00EA1981">
        <w:t>the system</w:t>
      </w:r>
      <w:r w:rsidR="006D2D23" w:rsidRPr="00397686">
        <w:t>.</w:t>
      </w:r>
      <w:r w:rsidR="006D2D23" w:rsidRPr="00397686" w:rsidDel="00496510">
        <w:t xml:space="preserve"> </w:t>
      </w:r>
    </w:p>
    <w:p w14:paraId="6E630894" w14:textId="0FD62E52" w:rsidR="006D2D23" w:rsidRPr="00397686" w:rsidRDefault="006D2D23" w:rsidP="006D2D23">
      <w:pPr>
        <w:pStyle w:val="BodytextHQSC"/>
      </w:pPr>
      <w:r w:rsidRPr="00397686">
        <w:t>Analysis of this multi-agency quantitative harm data and qualitative insights from 1 July 2022 to 30 June 2025 identified 10 recurring system</w:t>
      </w:r>
      <w:r w:rsidRPr="00397686">
        <w:noBreakHyphen/>
        <w:t xml:space="preserve">level themes. These included inconsistency in clinical processes and procedures; delays and breakdowns during transitions of care; harm associated with pressure injuries; workforce and governance pressures affecting system resilience; and inequities in access, experience and outcomes for specific population groups. These represent common themes of harm across multiple care settings, reflecting the complexity and interconnected nature of </w:t>
      </w:r>
      <w:r w:rsidRPr="00EA1981">
        <w:t xml:space="preserve">the </w:t>
      </w:r>
      <w:r w:rsidR="00137FA3">
        <w:t xml:space="preserve">health and disability </w:t>
      </w:r>
      <w:r w:rsidRPr="00EA1981">
        <w:t>system</w:t>
      </w:r>
      <w:r w:rsidRPr="00397686">
        <w:t>.</w:t>
      </w:r>
    </w:p>
    <w:p w14:paraId="684D1345" w14:textId="01B122BB" w:rsidR="006D2D23" w:rsidRPr="00397686" w:rsidRDefault="00137FA3" w:rsidP="006D2D23">
      <w:pPr>
        <w:pStyle w:val="BodytextHQSC"/>
      </w:pPr>
      <w:r>
        <w:t>After considering the</w:t>
      </w:r>
      <w:r w:rsidR="006D2D23" w:rsidRPr="00397686">
        <w:t xml:space="preserve"> improvement work already undertaken, we prioritised the 10 system-level themes into three system learning opportunities for coordinated system-level improvement:</w:t>
      </w:r>
    </w:p>
    <w:p w14:paraId="6FE9217E" w14:textId="77777777" w:rsidR="006D2D23" w:rsidRPr="00397686" w:rsidRDefault="006D2D23" w:rsidP="006D2D23">
      <w:pPr>
        <w:pStyle w:val="BulletsHQSC"/>
      </w:pPr>
      <w:r w:rsidRPr="00397686">
        <w:t>procedure and clinical process reliability</w:t>
      </w:r>
    </w:p>
    <w:p w14:paraId="5DB6E066" w14:textId="77777777" w:rsidR="006D2D23" w:rsidRPr="00397686" w:rsidRDefault="006D2D23" w:rsidP="006D2D23">
      <w:pPr>
        <w:pStyle w:val="BulletsHQSC"/>
      </w:pPr>
      <w:r w:rsidRPr="00397686">
        <w:t>hospital</w:t>
      </w:r>
      <w:r w:rsidRPr="00397686">
        <w:noBreakHyphen/>
        <w:t>acquired pressure injuries</w:t>
      </w:r>
    </w:p>
    <w:p w14:paraId="4BCB8C2F" w14:textId="56293086" w:rsidR="006D2D23" w:rsidRPr="00397686" w:rsidRDefault="006D2D23" w:rsidP="006D2D23">
      <w:pPr>
        <w:pStyle w:val="BulletsHQSC"/>
        <w:rPr>
          <w:b/>
        </w:rPr>
      </w:pPr>
      <w:r w:rsidRPr="00397686">
        <w:t xml:space="preserve">transitions of care for older people aged 65 </w:t>
      </w:r>
      <w:r w:rsidR="00137FA3">
        <w:t xml:space="preserve">years </w:t>
      </w:r>
      <w:r w:rsidRPr="00397686">
        <w:t>and over.</w:t>
      </w:r>
    </w:p>
    <w:p w14:paraId="5ACDCCD3" w14:textId="7C3A5ADD" w:rsidR="006D2D23" w:rsidRDefault="00C2137F" w:rsidP="006D2D23">
      <w:pPr>
        <w:pStyle w:val="BodytextHQSC"/>
      </w:pPr>
      <w:r>
        <w:t>This report identifies learning opportunities for all health entities</w:t>
      </w:r>
      <w:r w:rsidR="004C0746">
        <w:t>,</w:t>
      </w:r>
      <w:r>
        <w:t xml:space="preserve"> and w</w:t>
      </w:r>
      <w:r w:rsidRPr="00397686">
        <w:t>e</w:t>
      </w:r>
      <w:r w:rsidR="00BA1173">
        <w:t xml:space="preserve"> </w:t>
      </w:r>
      <w:r w:rsidR="006D2D23" w:rsidRPr="00397686">
        <w:t xml:space="preserve">will share </w:t>
      </w:r>
      <w:r w:rsidR="006D2D23" w:rsidRPr="00EA1981">
        <w:t>th</w:t>
      </w:r>
      <w:r w:rsidR="00137FA3">
        <w:t>is</w:t>
      </w:r>
      <w:r w:rsidR="006D2D23" w:rsidRPr="00EA1981">
        <w:t xml:space="preserve"> report</w:t>
      </w:r>
      <w:r w:rsidR="006D2D23" w:rsidRPr="00397686">
        <w:t xml:space="preserve"> </w:t>
      </w:r>
      <w:r w:rsidR="00492F45">
        <w:t xml:space="preserve">with them </w:t>
      </w:r>
      <w:r w:rsidR="00155375">
        <w:t>through</w:t>
      </w:r>
      <w:r w:rsidR="006D2D23" w:rsidRPr="00397686">
        <w:t xml:space="preserve"> the National Quality Forum to agree on next steps.</w:t>
      </w:r>
      <w:r w:rsidR="00D94CB3" w:rsidRPr="00397686">
        <w:t xml:space="preserve"> </w:t>
      </w:r>
      <w:r w:rsidR="006D2D23" w:rsidRPr="00397686">
        <w:t>The system</w:t>
      </w:r>
      <w:r w:rsidR="00B179F9" w:rsidRPr="00397686">
        <w:t> </w:t>
      </w:r>
      <w:r w:rsidR="006D2D23" w:rsidRPr="00397686">
        <w:t>learning opportunities require further exploration to understand how current work is</w:t>
      </w:r>
      <w:r w:rsidR="00B179F9" w:rsidRPr="00397686">
        <w:t> </w:t>
      </w:r>
      <w:r w:rsidR="006D2D23" w:rsidRPr="00397686">
        <w:t>carried out and to identify where focused improvements can be implemented and appropriately resourced.</w:t>
      </w:r>
    </w:p>
    <w:p w14:paraId="7BE8BC55" w14:textId="77777777" w:rsidR="00B24C0E" w:rsidRPr="00397686" w:rsidRDefault="00B24C0E" w:rsidP="00B24C0E">
      <w:pPr>
        <w:pStyle w:val="Heading1HQSC"/>
      </w:pPr>
      <w:bookmarkStart w:id="1" w:name="_Toc227169409"/>
      <w:bookmarkStart w:id="2" w:name="_Toc233888596"/>
      <w:r w:rsidRPr="00397686">
        <w:rPr>
          <w:lang w:eastAsia="en-NZ"/>
        </w:rPr>
        <w:lastRenderedPageBreak/>
        <w:t>Introduction</w:t>
      </w:r>
      <w:bookmarkEnd w:id="1"/>
      <w:bookmarkEnd w:id="2"/>
    </w:p>
    <w:p w14:paraId="2A8E0ACE" w14:textId="741AA139" w:rsidR="00B24C0E" w:rsidRPr="00397686" w:rsidRDefault="00B24C0E" w:rsidP="00B24C0E">
      <w:pPr>
        <w:pStyle w:val="BodytextHQSC"/>
        <w:rPr>
          <w:lang w:eastAsia="en-NZ"/>
        </w:rPr>
      </w:pPr>
      <w:r w:rsidRPr="00397686">
        <w:rPr>
          <w:lang w:eastAsia="en-NZ"/>
        </w:rPr>
        <w:t xml:space="preserve">The fundamental belief that the safety of the </w:t>
      </w:r>
      <w:r w:rsidR="00F64905">
        <w:rPr>
          <w:lang w:eastAsia="en-NZ"/>
        </w:rPr>
        <w:t xml:space="preserve">health and disability </w:t>
      </w:r>
      <w:r w:rsidRPr="00397686">
        <w:rPr>
          <w:lang w:eastAsia="en-NZ"/>
        </w:rPr>
        <w:t>system is a shared responsibility informs this Learning from health care harm system safety report. The report uses data from</w:t>
      </w:r>
      <w:r w:rsidR="00B179F9" w:rsidRPr="00397686">
        <w:rPr>
          <w:lang w:eastAsia="en-NZ"/>
        </w:rPr>
        <w:t> </w:t>
      </w:r>
      <w:r w:rsidRPr="00397686">
        <w:rPr>
          <w:lang w:eastAsia="en-NZ"/>
        </w:rPr>
        <w:t xml:space="preserve">multiple agencies: Health New Zealand | Te Whatu Ora (Health NZ), the Accident Compensation Corporation (ACC), the Health and Disability Commissioner (HDC) and the </w:t>
      </w:r>
      <w:r w:rsidRPr="00397686">
        <w:t>Health Quality &amp; Safety Commission Te Tāhū Hauora (the Commission)</w:t>
      </w:r>
      <w:r w:rsidRPr="00397686">
        <w:rPr>
          <w:lang w:eastAsia="en-NZ"/>
        </w:rPr>
        <w:t>.</w:t>
      </w:r>
      <w:r w:rsidRPr="00397686" w:rsidDel="00451C77">
        <w:rPr>
          <w:lang w:eastAsia="en-NZ"/>
        </w:rPr>
        <w:t xml:space="preserve"> </w:t>
      </w:r>
      <w:r w:rsidRPr="00397686">
        <w:rPr>
          <w:lang w:eastAsia="en-NZ"/>
        </w:rPr>
        <w:t>Each agency holds a distinct role in</w:t>
      </w:r>
      <w:r w:rsidRPr="00397686" w:rsidDel="006518AF">
        <w:rPr>
          <w:lang w:eastAsia="en-NZ"/>
        </w:rPr>
        <w:t xml:space="preserve"> </w:t>
      </w:r>
      <w:r w:rsidR="006518AF">
        <w:rPr>
          <w:lang w:eastAsia="en-NZ"/>
        </w:rPr>
        <w:t>identifying</w:t>
      </w:r>
      <w:r w:rsidR="006518AF" w:rsidRPr="00397686">
        <w:rPr>
          <w:lang w:eastAsia="en-NZ"/>
        </w:rPr>
        <w:t xml:space="preserve"> </w:t>
      </w:r>
      <w:r w:rsidRPr="00397686">
        <w:rPr>
          <w:lang w:eastAsia="en-NZ"/>
        </w:rPr>
        <w:t xml:space="preserve">harm and in facilitating the opportunity for affected people to heal, for </w:t>
      </w:r>
      <w:r w:rsidRPr="00EA1981">
        <w:rPr>
          <w:lang w:eastAsia="en-NZ"/>
        </w:rPr>
        <w:t>the system</w:t>
      </w:r>
      <w:r w:rsidRPr="00397686">
        <w:rPr>
          <w:lang w:eastAsia="en-NZ"/>
        </w:rPr>
        <w:t xml:space="preserve"> to learn and for the quality and safety of </w:t>
      </w:r>
      <w:r w:rsidR="00E352E0">
        <w:rPr>
          <w:lang w:eastAsia="en-NZ"/>
        </w:rPr>
        <w:t xml:space="preserve">health </w:t>
      </w:r>
      <w:r w:rsidRPr="00397686">
        <w:rPr>
          <w:lang w:eastAsia="en-NZ"/>
        </w:rPr>
        <w:t xml:space="preserve">care to improve. Combining data enables us to look beyond our historical approach of a single agency view to develop a collective understanding of harm across </w:t>
      </w:r>
      <w:r w:rsidRPr="00EA1981">
        <w:rPr>
          <w:lang w:eastAsia="en-NZ"/>
        </w:rPr>
        <w:t>the system</w:t>
      </w:r>
      <w:r w:rsidRPr="00397686">
        <w:rPr>
          <w:lang w:eastAsia="en-NZ"/>
        </w:rPr>
        <w:t>. In this way, we can identify system learning opportunities that address systemic issues affect</w:t>
      </w:r>
      <w:r w:rsidR="009F378B">
        <w:rPr>
          <w:lang w:eastAsia="en-NZ"/>
        </w:rPr>
        <w:t>ing</w:t>
      </w:r>
      <w:r w:rsidRPr="00397686">
        <w:rPr>
          <w:lang w:eastAsia="en-NZ"/>
        </w:rPr>
        <w:t xml:space="preserve"> quality and safety of care. </w:t>
      </w:r>
    </w:p>
    <w:p w14:paraId="70127146" w14:textId="77777777" w:rsidR="00B24C0E" w:rsidRPr="00397686" w:rsidRDefault="00B24C0E" w:rsidP="00B24C0E">
      <w:pPr>
        <w:pStyle w:val="BodytextHQSC"/>
      </w:pPr>
      <w:bookmarkStart w:id="3" w:name="_Toc227169410"/>
      <w:r w:rsidRPr="00397686">
        <w:br w:type="page"/>
      </w:r>
    </w:p>
    <w:p w14:paraId="2641597A" w14:textId="4E24AD20" w:rsidR="00B24C0E" w:rsidRPr="00397686" w:rsidRDefault="00B24C0E" w:rsidP="00B24C0E">
      <w:pPr>
        <w:pStyle w:val="Heading1HQSC"/>
      </w:pPr>
      <w:bookmarkStart w:id="4" w:name="_Toc233888597"/>
      <w:r w:rsidRPr="00397686">
        <w:lastRenderedPageBreak/>
        <w:t>Background</w:t>
      </w:r>
      <w:bookmarkEnd w:id="3"/>
      <w:bookmarkEnd w:id="4"/>
      <w:r w:rsidRPr="00397686">
        <w:t xml:space="preserve"> </w:t>
      </w:r>
    </w:p>
    <w:p w14:paraId="34127297" w14:textId="662D09C5" w:rsidR="00B24C0E" w:rsidRPr="00397686" w:rsidRDefault="00B24C0E" w:rsidP="00B24C0E">
      <w:pPr>
        <w:pStyle w:val="BodytextHQSC"/>
      </w:pPr>
      <w:r w:rsidRPr="00397686">
        <w:t>In New Zealand, multiple agencies (ACC, HDC, Health NZ and the Commission) have roles in monitoring and improving system safety. Each agency collects, analyses and responds to different signals of harm. Each dataset provides valuable insight, but no single source can fully describe where harm is occurring or the system influences that may have contributed</w:t>
      </w:r>
      <w:r w:rsidR="00757BCB">
        <w:t xml:space="preserve"> to that harm</w:t>
      </w:r>
      <w:r w:rsidRPr="00397686">
        <w:t>.</w:t>
      </w:r>
      <w:r w:rsidR="00D94CB3" w:rsidRPr="00397686">
        <w:t xml:space="preserve"> </w:t>
      </w:r>
    </w:p>
    <w:p w14:paraId="42C2D975" w14:textId="542EDA15" w:rsidR="00B24C0E" w:rsidRPr="00397686" w:rsidRDefault="00B24C0E" w:rsidP="00B24C0E">
      <w:pPr>
        <w:pStyle w:val="BodytextHQSC"/>
      </w:pPr>
      <w:r w:rsidRPr="00397686">
        <w:t>Examining shared harm data at a national level makes it possible to identify recurring themes and potential system influences that are not visible through isolated reviews or single</w:t>
      </w:r>
      <w:r w:rsidR="00FA6FC4">
        <w:t>-</w:t>
      </w:r>
      <w:r w:rsidRPr="00397686">
        <w:t xml:space="preserve">agency analyses. This is important to support learning beyond individual organisational or agency perspectives toward a shared data system view. </w:t>
      </w:r>
    </w:p>
    <w:p w14:paraId="481D25BC" w14:textId="1908424C" w:rsidR="00B24C0E" w:rsidRPr="00397686" w:rsidRDefault="00B24C0E" w:rsidP="00B24C0E">
      <w:pPr>
        <w:pStyle w:val="BodytextHQSC"/>
      </w:pPr>
      <w:r w:rsidRPr="00397686">
        <w:t>System safety is an approach that recognises that harm events in the system arise from the relationships and the interactions between people and the context within which they work. Understanding the realities of everyday work in a complex health system helps us understand how people navigate risk</w:t>
      </w:r>
      <w:r w:rsidR="006A0E73">
        <w:t>s</w:t>
      </w:r>
      <w:r w:rsidR="001C1ECD">
        <w:t xml:space="preserve"> in real time</w:t>
      </w:r>
      <w:r w:rsidRPr="00397686">
        <w:t xml:space="preserve"> and find solutions that better support safe care.</w:t>
      </w:r>
    </w:p>
    <w:p w14:paraId="213D7B09" w14:textId="7C4F5563" w:rsidR="00B24C0E" w:rsidRPr="00397686" w:rsidRDefault="00B24C0E" w:rsidP="00B24C0E">
      <w:pPr>
        <w:pStyle w:val="BodytextHQSC"/>
      </w:pPr>
      <w:r w:rsidRPr="00397686">
        <w:t xml:space="preserve">Despite sustained improvement efforts, potentially avoidable harm remains a significant and persistent challenge, both within New Zealand and internationally (WHO 2021). Harm occurs across the </w:t>
      </w:r>
      <w:r w:rsidR="0025501D">
        <w:t xml:space="preserve">health and disability </w:t>
      </w:r>
      <w:r w:rsidRPr="00397686">
        <w:t>system; in New Zealand, it has a disproportionate impact on older people, people with complex needs, Māori and rural communities (Moore et</w:t>
      </w:r>
      <w:r w:rsidR="00B179F9" w:rsidRPr="00397686">
        <w:t> </w:t>
      </w:r>
      <w:r w:rsidRPr="00397686">
        <w:t>al 2024).</w:t>
      </w:r>
    </w:p>
    <w:p w14:paraId="4EA5C4A9" w14:textId="2471416E" w:rsidR="00B24C0E" w:rsidRPr="00397686" w:rsidRDefault="005C69DB" w:rsidP="00B24C0E">
      <w:pPr>
        <w:pStyle w:val="BodytextHQSC"/>
      </w:pPr>
      <w:r>
        <w:t>H</w:t>
      </w:r>
      <w:r w:rsidR="00B24C0E" w:rsidRPr="00397686">
        <w:t xml:space="preserve">ow system safety risks are identified, escalated and acted upon remains a challenge </w:t>
      </w:r>
      <w:r w:rsidR="00EC12F3" w:rsidRPr="00397686">
        <w:t xml:space="preserve">within complex health systems </w:t>
      </w:r>
      <w:r w:rsidR="00B24C0E" w:rsidRPr="00397686">
        <w:t xml:space="preserve">both nationally and internationally. Where multiple organisations have responsibility for monitoring, learning and improvement within their agency, visibility is often limited to discrete parts of the care system rather than the full care journey. </w:t>
      </w:r>
      <w:r w:rsidR="005F7629" w:rsidRPr="00397686">
        <w:t>This</w:t>
      </w:r>
      <w:r w:rsidR="00B24C0E" w:rsidRPr="00397686">
        <w:t xml:space="preserve"> creates blind spots in recognising evolving risk</w:t>
      </w:r>
      <w:r w:rsidR="00E87914">
        <w:t>s and potential harm</w:t>
      </w:r>
      <w:r w:rsidR="00B24C0E" w:rsidRPr="00397686">
        <w:t>.</w:t>
      </w:r>
      <w:r w:rsidR="00D94CB3" w:rsidRPr="00397686">
        <w:t xml:space="preserve"> </w:t>
      </w:r>
    </w:p>
    <w:p w14:paraId="487670AB" w14:textId="51560387" w:rsidR="00B24C0E" w:rsidRPr="00397686" w:rsidRDefault="00B24C0E" w:rsidP="00B24C0E">
      <w:pPr>
        <w:pStyle w:val="BodytextHQSC"/>
      </w:pPr>
      <w:r w:rsidRPr="00397686">
        <w:t>As a result, the ability to prioritise risk at a system level is reduced; translation of safety information into coordinated system response</w:t>
      </w:r>
      <w:r w:rsidR="00B52A08">
        <w:t>s</w:t>
      </w:r>
      <w:r w:rsidRPr="00397686">
        <w:t xml:space="preserve"> is delayed and learning is less effectively embedded into sustained system</w:t>
      </w:r>
      <w:r w:rsidR="00F80068">
        <w:t>-</w:t>
      </w:r>
      <w:r w:rsidRPr="00397686">
        <w:t xml:space="preserve">wide improvement. </w:t>
      </w:r>
    </w:p>
    <w:p w14:paraId="02CD31D5" w14:textId="51514568" w:rsidR="00B24C0E" w:rsidRPr="00397686" w:rsidRDefault="00B24C0E" w:rsidP="00B24C0E">
      <w:pPr>
        <w:pStyle w:val="BodytextHQSC"/>
      </w:pPr>
      <w:r w:rsidRPr="00397686">
        <w:rPr>
          <w:spacing w:val="-2"/>
        </w:rPr>
        <w:t>The global significance of health care harm was formally recognised through the development</w:t>
      </w:r>
      <w:r w:rsidRPr="00397686">
        <w:t xml:space="preserve"> and adoption of the </w:t>
      </w:r>
      <w:r w:rsidR="003D2AF3">
        <w:t>World Health Organization (</w:t>
      </w:r>
      <w:r w:rsidRPr="00397686">
        <w:t>WHO</w:t>
      </w:r>
      <w:r w:rsidR="003D2AF3">
        <w:t>)</w:t>
      </w:r>
      <w:r w:rsidRPr="00397686">
        <w:t xml:space="preserve"> </w:t>
      </w:r>
      <w:r w:rsidRPr="00397686">
        <w:rPr>
          <w:i/>
          <w:iCs/>
        </w:rPr>
        <w:t>Global Patient Safety Action Plan</w:t>
      </w:r>
      <w:r w:rsidRPr="00397686">
        <w:t xml:space="preserve"> in 2021 (WHO 2021). Central to the WHO </w:t>
      </w:r>
      <w:r w:rsidR="00E64DBC" w:rsidRPr="00397686">
        <w:t xml:space="preserve">action plan </w:t>
      </w:r>
      <w:r w:rsidRPr="00397686">
        <w:t>is the expectation that member states take coordinated, system</w:t>
      </w:r>
      <w:r w:rsidRPr="00397686">
        <w:rPr>
          <w:rFonts w:ascii="Cambria Math" w:hAnsi="Cambria Math" w:cs="Cambria Math"/>
        </w:rPr>
        <w:t>‑</w:t>
      </w:r>
      <w:r w:rsidRPr="00397686">
        <w:t>level action to align existing strategies and data sources and use shared learning to identify potentially avoidable harm and prioritise improvement efforts.</w:t>
      </w:r>
    </w:p>
    <w:p w14:paraId="14FD6676" w14:textId="4CDBBF8B" w:rsidR="00B24C0E" w:rsidRPr="00397686" w:rsidRDefault="00B24C0E" w:rsidP="00B24C0E">
      <w:pPr>
        <w:pStyle w:val="BodytextHQSC"/>
      </w:pPr>
      <w:r w:rsidRPr="00397686">
        <w:t xml:space="preserve">This approach enables a wider view of the system factors that impact on </w:t>
      </w:r>
      <w:r w:rsidR="00752D4C">
        <w:t xml:space="preserve">health </w:t>
      </w:r>
      <w:r w:rsidRPr="00397686">
        <w:t xml:space="preserve">care, with the aim of making visible </w:t>
      </w:r>
      <w:r w:rsidR="00EC22A5">
        <w:t>where these</w:t>
      </w:r>
      <w:r w:rsidRPr="00397686">
        <w:t xml:space="preserve"> influence how harm occurs across the </w:t>
      </w:r>
      <w:r w:rsidR="00C50121">
        <w:t xml:space="preserve">health and disability </w:t>
      </w:r>
      <w:r w:rsidRPr="00397686">
        <w:t>system. The national perspective informs system learning opportunities</w:t>
      </w:r>
      <w:r w:rsidR="00C50121">
        <w:t>,</w:t>
      </w:r>
      <w:r w:rsidRPr="00397686">
        <w:t xml:space="preserve"> with potential to strengthen safety through the application of system re-design, enabling provision of care that is person</w:t>
      </w:r>
      <w:r w:rsidR="00932E5B">
        <w:t xml:space="preserve"> </w:t>
      </w:r>
      <w:r w:rsidRPr="00397686">
        <w:t xml:space="preserve">centred, informed by principles of system safety and resilience engineering. </w:t>
      </w:r>
    </w:p>
    <w:p w14:paraId="6536A1C4" w14:textId="6A6065F7" w:rsidR="00B24C0E" w:rsidRPr="00397686" w:rsidRDefault="00B24C0E">
      <w:pPr>
        <w:spacing w:after="200"/>
        <w:rPr>
          <w:rFonts w:cs="Arial"/>
        </w:rPr>
      </w:pPr>
      <w:r w:rsidRPr="00397686">
        <w:br w:type="page"/>
      </w:r>
    </w:p>
    <w:p w14:paraId="0DE89810" w14:textId="77777777" w:rsidR="00B54FC8" w:rsidRPr="00397686" w:rsidRDefault="00B54FC8" w:rsidP="00B54FC8">
      <w:pPr>
        <w:pStyle w:val="Heading1HQSC"/>
      </w:pPr>
      <w:bookmarkStart w:id="5" w:name="_Toc233888598"/>
      <w:r w:rsidRPr="00397686">
        <w:lastRenderedPageBreak/>
        <w:t>Agency roles and contribution of data to the report</w:t>
      </w:r>
      <w:bookmarkEnd w:id="5"/>
    </w:p>
    <w:p w14:paraId="2F1E53E9" w14:textId="77777777" w:rsidR="00B54FC8" w:rsidRPr="00397686" w:rsidRDefault="00B54FC8" w:rsidP="00B54FC8">
      <w:pPr>
        <w:rPr>
          <w:rFonts w:cs="Arial"/>
        </w:rPr>
      </w:pPr>
      <w:r w:rsidRPr="00397686">
        <w:rPr>
          <w:rFonts w:cs="Arial"/>
        </w:rPr>
        <w:t xml:space="preserve">This section describes the role of each participating agency and the specific harm data that contributed to </w:t>
      </w:r>
      <w:r w:rsidRPr="007A4C81">
        <w:rPr>
          <w:rFonts w:cs="Arial"/>
        </w:rPr>
        <w:t>the report</w:t>
      </w:r>
      <w:r w:rsidRPr="00397686">
        <w:rPr>
          <w:rFonts w:cs="Arial"/>
        </w:rPr>
        <w:t xml:space="preserve">. These data sources collectively capture system safety signals across hospital and aged residential care settings and provided the evidence base for the thematic synthesis that follows. </w:t>
      </w:r>
    </w:p>
    <w:p w14:paraId="3985F107" w14:textId="77777777" w:rsidR="00B54FC8" w:rsidRPr="00397686" w:rsidRDefault="00B54FC8" w:rsidP="00B54FC8">
      <w:pPr>
        <w:pStyle w:val="Heading2HQSC"/>
      </w:pPr>
      <w:bookmarkStart w:id="6" w:name="_Toc233888599"/>
      <w:r w:rsidRPr="00397686">
        <w:t>Health Quality &amp; Safety Commission Te Tāhū Hauora</w:t>
      </w:r>
      <w:bookmarkEnd w:id="6"/>
      <w:r w:rsidRPr="00397686">
        <w:t xml:space="preserve"> </w:t>
      </w:r>
    </w:p>
    <w:p w14:paraId="627C7C26" w14:textId="055816CF" w:rsidR="00B54FC8" w:rsidRPr="00397686" w:rsidRDefault="00B54FC8" w:rsidP="00B54FC8">
      <w:pPr>
        <w:pStyle w:val="BodytextHQSC"/>
      </w:pPr>
      <w:r w:rsidRPr="00397686">
        <w:t xml:space="preserve">The Commission is a Crown entity. Its role is </w:t>
      </w:r>
      <w:r w:rsidRPr="00397686">
        <w:rPr>
          <w:lang w:eastAsia="en-NZ"/>
        </w:rPr>
        <w:t>to lead and coordinate work across the health sector for the purposes of monitoring</w:t>
      </w:r>
      <w:r w:rsidRPr="00397686">
        <w:rPr>
          <w:rFonts w:cs="Aptos"/>
          <w:lang w:eastAsia="en-NZ"/>
        </w:rPr>
        <w:t> </w:t>
      </w:r>
      <w:r w:rsidRPr="00397686">
        <w:rPr>
          <w:lang w:eastAsia="en-NZ"/>
        </w:rPr>
        <w:t>and improving the quality and safety of services and</w:t>
      </w:r>
      <w:r w:rsidR="001C0502" w:rsidRPr="00397686">
        <w:rPr>
          <w:lang w:eastAsia="en-NZ"/>
        </w:rPr>
        <w:t xml:space="preserve"> </w:t>
      </w:r>
      <w:r w:rsidRPr="00397686">
        <w:rPr>
          <w:spacing w:val="-2"/>
          <w:lang w:eastAsia="en-NZ"/>
        </w:rPr>
        <w:t>helping providers improve the quality and safety of services, as defined in the Pae Ora</w:t>
      </w:r>
      <w:r w:rsidR="001C0502" w:rsidRPr="00397686">
        <w:rPr>
          <w:lang w:eastAsia="en-NZ"/>
        </w:rPr>
        <w:t xml:space="preserve"> </w:t>
      </w:r>
      <w:r w:rsidRPr="00397686">
        <w:rPr>
          <w:lang w:eastAsia="en-NZ"/>
        </w:rPr>
        <w:t>(Healthy Futures) Act 2022</w:t>
      </w:r>
      <w:r w:rsidRPr="00397686">
        <w:t>.</w:t>
      </w:r>
    </w:p>
    <w:p w14:paraId="5CB39924" w14:textId="03111CBA" w:rsidR="00B54FC8" w:rsidRPr="00397686" w:rsidRDefault="00B54FC8" w:rsidP="00B54FC8">
      <w:pPr>
        <w:pStyle w:val="BodytextHQSC"/>
      </w:pPr>
      <w:r w:rsidRPr="00397686">
        <w:t xml:space="preserve">Regarding harm, the Commission </w:t>
      </w:r>
      <w:r w:rsidR="00E70EC5">
        <w:t>utilises</w:t>
      </w:r>
      <w:r w:rsidR="00E70EC5" w:rsidRPr="00397686">
        <w:t xml:space="preserve"> </w:t>
      </w:r>
      <w:r w:rsidRPr="00397686">
        <w:t>quality and safety indicators (such as serious harm events or quality safety markers (QSMs)) and provides public reports measured against these</w:t>
      </w:r>
      <w:r w:rsidRPr="00397686" w:rsidDel="003C3427">
        <w:t xml:space="preserve"> </w:t>
      </w:r>
      <w:r w:rsidRPr="00397686">
        <w:t>and other information that the Commission considers relevant. The Commission promotes and disseminates information to support improved quality and safety of services.</w:t>
      </w:r>
    </w:p>
    <w:p w14:paraId="7106E406" w14:textId="662C53C0" w:rsidR="00B54FC8" w:rsidRPr="00397686" w:rsidRDefault="00B54FC8" w:rsidP="00B54FC8">
      <w:pPr>
        <w:pStyle w:val="BodytextHQSC"/>
      </w:pPr>
      <w:r w:rsidRPr="00397686">
        <w:t xml:space="preserve">The </w:t>
      </w:r>
      <w:r w:rsidR="00A129F3" w:rsidRPr="00A129F3">
        <w:t xml:space="preserve">Ngā Paerewa </w:t>
      </w:r>
      <w:r w:rsidRPr="00397686">
        <w:t xml:space="preserve">health and disability services standard NZS 8134:2021 </w:t>
      </w:r>
      <w:r w:rsidR="00C2642A" w:rsidRPr="00397686">
        <w:t>criterion 2.2.5</w:t>
      </w:r>
      <w:r w:rsidR="00523E4C">
        <w:t xml:space="preserve"> </w:t>
      </w:r>
      <w:r w:rsidRPr="00397686">
        <w:t xml:space="preserve">requires harm (adverse) events to </w:t>
      </w:r>
      <w:r w:rsidR="00C2642A">
        <w:t xml:space="preserve">be reported to </w:t>
      </w:r>
      <w:r w:rsidRPr="00397686">
        <w:t xml:space="preserve">the Commission. This standard covers a wide range of health and disability </w:t>
      </w:r>
      <w:r w:rsidR="00CE52D0">
        <w:t>services</w:t>
      </w:r>
      <w:r w:rsidR="00CE52D0" w:rsidRPr="00397686">
        <w:t xml:space="preserve"> </w:t>
      </w:r>
      <w:r w:rsidRPr="00397686">
        <w:t xml:space="preserve">and </w:t>
      </w:r>
      <w:r w:rsidR="00E34464">
        <w:t>provide</w:t>
      </w:r>
      <w:r w:rsidR="00344A8D">
        <w:t>s</w:t>
      </w:r>
      <w:r w:rsidR="00E34464">
        <w:t xml:space="preserve"> the foundation for describing </w:t>
      </w:r>
      <w:r w:rsidR="008B32ED">
        <w:t>best practice</w:t>
      </w:r>
      <w:r w:rsidRPr="00397686">
        <w:t xml:space="preserve">. The Commission’s role is to actively support the health and disability sector with its responsibilities </w:t>
      </w:r>
      <w:r w:rsidR="00162584">
        <w:t>to</w:t>
      </w:r>
      <w:r w:rsidRPr="00397686">
        <w:t xml:space="preserve"> follow the national policy (HQSC 2023b)</w:t>
      </w:r>
      <w:r w:rsidR="00E20634">
        <w:t>,</w:t>
      </w:r>
      <w:r w:rsidRPr="00397686" w:rsidDel="00963AFF">
        <w:t xml:space="preserve"> </w:t>
      </w:r>
      <w:r w:rsidR="00963AFF">
        <w:t>which</w:t>
      </w:r>
      <w:r w:rsidR="00963AFF" w:rsidRPr="00397686">
        <w:t xml:space="preserve"> </w:t>
      </w:r>
      <w:r w:rsidRPr="00397686">
        <w:t>support</w:t>
      </w:r>
      <w:r w:rsidR="00963AFF">
        <w:t>s</w:t>
      </w:r>
      <w:r w:rsidRPr="00397686">
        <w:t xml:space="preserve"> healing, learning and improvement from harm. </w:t>
      </w:r>
    </w:p>
    <w:p w14:paraId="3066B43D" w14:textId="5BA4E4A7" w:rsidR="00B54FC8" w:rsidRPr="00397686" w:rsidRDefault="00B54FC8" w:rsidP="00B54FC8">
      <w:pPr>
        <w:pStyle w:val="BodytextHQSC"/>
        <w:rPr>
          <w:shd w:val="clear" w:color="auto" w:fill="FFFFFF"/>
        </w:rPr>
      </w:pPr>
      <w:r w:rsidRPr="00397686">
        <w:t xml:space="preserve">The Commission shares national annual serious harm event data, informed by statistical analysis, publicly via </w:t>
      </w:r>
      <w:r w:rsidRPr="00397686">
        <w:rPr>
          <w:shd w:val="clear" w:color="auto" w:fill="FFFFFF"/>
        </w:rPr>
        <w:t xml:space="preserve">infographics </w:t>
      </w:r>
      <w:r w:rsidRPr="00397686">
        <w:rPr>
          <w:sz w:val="24"/>
          <w:szCs w:val="24"/>
        </w:rPr>
        <w:t>(</w:t>
      </w:r>
      <w:r w:rsidRPr="00397686">
        <w:rPr>
          <w:shd w:val="clear" w:color="auto" w:fill="FFFFFF"/>
        </w:rPr>
        <w:t>HQSC</w:t>
      </w:r>
      <w:r w:rsidRPr="00397686">
        <w:rPr>
          <w:bCs/>
          <w:shd w:val="clear" w:color="auto" w:fill="FFFFFF"/>
        </w:rPr>
        <w:t xml:space="preserve"> nd(a))</w:t>
      </w:r>
      <w:r w:rsidRPr="00397686">
        <w:rPr>
          <w:shd w:val="clear" w:color="auto" w:fill="FFFFFF"/>
        </w:rPr>
        <w:t>.</w:t>
      </w:r>
      <w:r w:rsidRPr="00397686" w:rsidDel="00B447A5">
        <w:rPr>
          <w:shd w:val="clear" w:color="auto" w:fill="FFFFFF"/>
        </w:rPr>
        <w:t xml:space="preserve"> </w:t>
      </w:r>
      <w:r w:rsidRPr="00397686">
        <w:rPr>
          <w:shd w:val="clear" w:color="auto" w:fill="FFFFFF"/>
        </w:rPr>
        <w:t>This is based on the harm (adverse) events reported to the commission from providers using WHO conceptual framework for patient safety</w:t>
      </w:r>
      <w:r w:rsidRPr="00397686">
        <w:rPr>
          <w:rFonts w:ascii="Times New Roman" w:hAnsi="Times New Roman"/>
          <w:sz w:val="24"/>
          <w:szCs w:val="24"/>
          <w:lang w:eastAsia="en-NZ"/>
        </w:rPr>
        <w:t xml:space="preserve"> </w:t>
      </w:r>
      <w:hyperlink r:id="rId16" w:history="1">
        <w:r w:rsidRPr="00397686">
          <w:rPr>
            <w:rStyle w:val="Hyperlink"/>
            <w:shd w:val="clear" w:color="auto" w:fill="FFFFFF"/>
          </w:rPr>
          <w:t>WHO Conceptual Framework for the International Classification for Patient Safety</w:t>
        </w:r>
      </w:hyperlink>
      <w:r w:rsidRPr="00397686">
        <w:rPr>
          <w:shd w:val="clear" w:color="auto" w:fill="FFFFFF"/>
        </w:rPr>
        <w:t>,</w:t>
      </w:r>
      <w:r w:rsidRPr="00397686">
        <w:t xml:space="preserve"> </w:t>
      </w:r>
      <w:r w:rsidR="005E46FA">
        <w:t xml:space="preserve">and </w:t>
      </w:r>
      <w:hyperlink r:id="rId17" w:anchor="!/background" w:history="1">
        <w:r w:rsidRPr="4AC41945">
          <w:rPr>
            <w:rStyle w:val="Hyperlink"/>
            <w:shd w:val="clear" w:color="auto" w:fill="FFFFFF"/>
          </w:rPr>
          <w:t>WHO codes and definitions</w:t>
        </w:r>
        <w:r w:rsidR="00AB38A9">
          <w:rPr>
            <w:rStyle w:val="Hyperlink"/>
            <w:shd w:val="clear" w:color="auto" w:fill="FFFFFF"/>
          </w:rPr>
          <w:t>.</w:t>
        </w:r>
        <w:r w:rsidR="00BA5846" w:rsidRPr="4AC41945">
          <w:rPr>
            <w:rStyle w:val="Hyperlink"/>
            <w:color w:val="auto"/>
            <w:u w:val="none"/>
            <w:shd w:val="clear" w:color="auto" w:fill="FFFFFF"/>
          </w:rPr>
          <w:t xml:space="preserve"> </w:t>
        </w:r>
        <w:r w:rsidRPr="4AC41945">
          <w:rPr>
            <w:rStyle w:val="Hyperlink"/>
            <w:shd w:val="clear" w:color="auto" w:fill="FFFFFF"/>
          </w:rPr>
          <w:t xml:space="preserve"> </w:t>
        </w:r>
      </w:hyperlink>
    </w:p>
    <w:p w14:paraId="6F1D5DF3" w14:textId="0A9E4913" w:rsidR="00B54FC8" w:rsidRPr="00397686" w:rsidRDefault="00B54FC8" w:rsidP="00B54FC8">
      <w:pPr>
        <w:pStyle w:val="BodytextHQSC"/>
        <w:rPr>
          <w:shd w:val="clear" w:color="auto" w:fill="FFFFFF"/>
        </w:rPr>
      </w:pPr>
      <w:r w:rsidRPr="00397686">
        <w:rPr>
          <w:shd w:val="clear" w:color="auto" w:fill="FFFFFF"/>
        </w:rPr>
        <w:t xml:space="preserve">Our summary of findings from 1 July 2022 to 30 June 2025 draws on this analysis to highlight key patterns of harm across the </w:t>
      </w:r>
      <w:r w:rsidR="004928B0">
        <w:rPr>
          <w:shd w:val="clear" w:color="auto" w:fill="FFFFFF"/>
        </w:rPr>
        <w:t xml:space="preserve">health and disability </w:t>
      </w:r>
      <w:r w:rsidRPr="00397686">
        <w:rPr>
          <w:shd w:val="clear" w:color="auto" w:fill="FFFFFF"/>
        </w:rPr>
        <w:t xml:space="preserve">system. Outlined below are some of the Commissions key data and information that have contributed to this report. </w:t>
      </w:r>
    </w:p>
    <w:p w14:paraId="54AA32A8" w14:textId="77777777" w:rsidR="00B54FC8" w:rsidRPr="00397686" w:rsidRDefault="00B54FC8" w:rsidP="00B54FC8">
      <w:pPr>
        <w:pStyle w:val="Heading3HQSC"/>
      </w:pPr>
      <w:r w:rsidRPr="00397686">
        <w:t>Statistical analysis of harm event data</w:t>
      </w:r>
    </w:p>
    <w:p w14:paraId="206628C8" w14:textId="1CC3C73E" w:rsidR="00B54FC8" w:rsidRPr="00397686" w:rsidRDefault="00B54FC8" w:rsidP="00B54FC8">
      <w:pPr>
        <w:pStyle w:val="BodytextHQSC"/>
      </w:pPr>
      <w:r w:rsidRPr="00397686">
        <w:t>Analysis of reported harm events from July 2022 to June 2025 (Appendix Figures A2–A3, A6</w:t>
      </w:r>
      <w:r w:rsidR="00D338E6">
        <w:t>–</w:t>
      </w:r>
      <w:r w:rsidRPr="00397686">
        <w:t xml:space="preserve">A11) provides insight into where significant harm is occurring and where further analysis and action is required. </w:t>
      </w:r>
      <w:r w:rsidR="00C71F19">
        <w:t>‘</w:t>
      </w:r>
      <w:r w:rsidRPr="00397686">
        <w:t xml:space="preserve">Special cause </w:t>
      </w:r>
      <w:r>
        <w:t>variation</w:t>
      </w:r>
      <w:r w:rsidR="00C71F19">
        <w:t>’</w:t>
      </w:r>
      <w:r>
        <w:t xml:space="preserve"> </w:t>
      </w:r>
      <w:r w:rsidR="2E4162A4">
        <w:t>in the control charts</w:t>
      </w:r>
      <w:r w:rsidRPr="00397686">
        <w:t xml:space="preserve"> refers to unexpected fluctuations in a process caused by specific, identifiable factors </w:t>
      </w:r>
      <w:r>
        <w:t>rather than natural, everyday operation (common cause variation). This formed the foundation from which triangulation of other datasets occurred to inform system-level themes</w:t>
      </w:r>
      <w:r w:rsidRPr="00397686">
        <w:t>.</w:t>
      </w:r>
      <w:r w:rsidR="00D94CB3" w:rsidRPr="00397686">
        <w:t xml:space="preserve"> </w:t>
      </w:r>
    </w:p>
    <w:p w14:paraId="58955674" w14:textId="18A39799" w:rsidR="00387005" w:rsidRDefault="00B54FC8" w:rsidP="00B54FC8">
      <w:pPr>
        <w:pStyle w:val="BodytextHQSC"/>
      </w:pPr>
      <w:r w:rsidRPr="00397686">
        <w:t xml:space="preserve">A review of this data shows there has been a sustained decrease in </w:t>
      </w:r>
      <w:r w:rsidR="004C57A5">
        <w:t>hospital</w:t>
      </w:r>
      <w:r w:rsidRPr="00397686">
        <w:t xml:space="preserve"> falls resulting in serious harm, including fractures, life-saving intervention or death (Appendix, Figure A2). </w:t>
      </w:r>
      <w:r w:rsidRPr="00397686">
        <w:lastRenderedPageBreak/>
        <w:t>This reflects the sustained impact of the Commission’s falls prevention quality improvement programme, alongside the continued use of current resources, supporting improved clinical</w:t>
      </w:r>
      <w:r w:rsidR="002C6C01">
        <w:t> </w:t>
      </w:r>
      <w:r w:rsidRPr="00397686">
        <w:t xml:space="preserve">practice. Similarly, </w:t>
      </w:r>
      <w:r w:rsidR="002D584C">
        <w:t xml:space="preserve">early signs of </w:t>
      </w:r>
      <w:r w:rsidRPr="00397686">
        <w:t>a decrease in complications was observed</w:t>
      </w:r>
      <w:r w:rsidR="0053423C">
        <w:t>,</w:t>
      </w:r>
      <w:r w:rsidRPr="00397686">
        <w:t xml:space="preserve"> indicating improvement in some areas of clinical care</w:t>
      </w:r>
      <w:r w:rsidR="00387005" w:rsidRPr="00397686">
        <w:t xml:space="preserve"> </w:t>
      </w:r>
      <w:r w:rsidRPr="00397686">
        <w:t xml:space="preserve">(Appendix, Figure A8; </w:t>
      </w:r>
      <w:r w:rsidR="00B331B2">
        <w:t xml:space="preserve">see also </w:t>
      </w:r>
      <w:r w:rsidR="00103BC4">
        <w:t>our</w:t>
      </w:r>
      <w:r w:rsidR="00B331B2">
        <w:t xml:space="preserve"> </w:t>
      </w:r>
      <w:hyperlink r:id="rId18" w:anchor="!/background" w:history="1">
        <w:r w:rsidR="00D059C8" w:rsidRPr="00D059C8">
          <w:rPr>
            <w:rStyle w:val="Hyperlink"/>
          </w:rPr>
          <w:t>Harm (adverse) events quarterly dashboard: Background: Data definitions: WHO codes and definitions</w:t>
        </w:r>
        <w:r w:rsidR="003B0AB7">
          <w:rPr>
            <w:rStyle w:val="Hyperlink"/>
          </w:rPr>
          <w:t>)</w:t>
        </w:r>
      </w:hyperlink>
      <w:r w:rsidRPr="00397686">
        <w:t>.</w:t>
      </w:r>
      <w:r w:rsidR="00D94CB3" w:rsidRPr="00397686">
        <w:t xml:space="preserve"> </w:t>
      </w:r>
    </w:p>
    <w:p w14:paraId="0A373AA8" w14:textId="23D25F0E" w:rsidR="00B54FC8" w:rsidRPr="00397686" w:rsidRDefault="00B54FC8" w:rsidP="00B54FC8">
      <w:pPr>
        <w:pStyle w:val="BodytextHQSC"/>
      </w:pPr>
      <w:r w:rsidRPr="00397686">
        <w:t>Harm events associated with delayed recognition of deterioration have shown a sustained decrease (Appendix, Figure A6). This aligns with the Commission’s Early Warning Score Quality Improvement Programme and indicates strengthened recognition and response to clinical deterioration.</w:t>
      </w:r>
      <w:r w:rsidR="00D94CB3" w:rsidRPr="00397686">
        <w:t xml:space="preserve"> </w:t>
      </w:r>
    </w:p>
    <w:p w14:paraId="03D1E2C7" w14:textId="4BF8EAE7" w:rsidR="00B54FC8" w:rsidRPr="00397686" w:rsidRDefault="00B54FC8" w:rsidP="00B54FC8">
      <w:pPr>
        <w:pStyle w:val="BodytextHQSC"/>
      </w:pPr>
      <w:r w:rsidRPr="00397686">
        <w:t>In contrast, there has been a sustained increase in non-hospital-acquired pressure injuries (Appendix, Figure A3) and hospital-acquired pressure injuries (Stage 3, 4 and unstageable) (Appendix, Figure A4 &amp; A5). This prompted a multi-agency review between the Commission, ACC and Health NZ in September 2024</w:t>
      </w:r>
      <w:r w:rsidR="00DE0B89">
        <w:t>.</w:t>
      </w:r>
      <w:r w:rsidRPr="00397686">
        <w:t xml:space="preserve"> (</w:t>
      </w:r>
      <w:r w:rsidR="00DE0B89">
        <w:t>T</w:t>
      </w:r>
      <w:r w:rsidRPr="00397686">
        <w:t>he outcome of this improvement work is outlined in Theme 4 – pressure injuries and falls.)</w:t>
      </w:r>
    </w:p>
    <w:p w14:paraId="25F5920F" w14:textId="2A6C4CC2" w:rsidR="00B54FC8" w:rsidRPr="009950C0" w:rsidRDefault="00B54FC8" w:rsidP="00B54FC8">
      <w:pPr>
        <w:pStyle w:val="BodytextHQSC"/>
      </w:pPr>
      <w:r w:rsidRPr="009950C0">
        <w:t>Clinical administration</w:t>
      </w:r>
      <w:r w:rsidR="00DE0B89">
        <w:t>-</w:t>
      </w:r>
      <w:r w:rsidRPr="009950C0">
        <w:t xml:space="preserve">related harm events have </w:t>
      </w:r>
      <w:r w:rsidR="005D729D" w:rsidRPr="009950C0">
        <w:t>indicated an</w:t>
      </w:r>
      <w:r w:rsidRPr="009950C0">
        <w:t xml:space="preserve"> increase </w:t>
      </w:r>
      <w:r w:rsidR="005D729D" w:rsidRPr="009950C0">
        <w:t xml:space="preserve">since </w:t>
      </w:r>
      <w:r w:rsidR="0034352E" w:rsidRPr="009950C0">
        <w:t>2023</w:t>
      </w:r>
      <w:r w:rsidRPr="009950C0">
        <w:t xml:space="preserve"> (Appendix, Figure A7). This trend suggests the presence of underlying system or process-related issues that require further detailed examination. The persistence of this pattern indicates that these events are unlikely to be random variation and instead may reflect structural inefficiencies or workflow vulnerabilities </w:t>
      </w:r>
      <w:r w:rsidR="00F31FA3">
        <w:t>in how care is delivered in the clinical setting</w:t>
      </w:r>
      <w:r w:rsidRPr="009950C0">
        <w:t>.</w:t>
      </w:r>
    </w:p>
    <w:p w14:paraId="58F111E7" w14:textId="79C3D5EF" w:rsidR="00B54FC8" w:rsidRPr="00397686" w:rsidRDefault="00B54FC8" w:rsidP="00B54FC8">
      <w:pPr>
        <w:pStyle w:val="BodytextHQSC"/>
      </w:pPr>
      <w:r w:rsidRPr="009950C0">
        <w:t xml:space="preserve">We identified </w:t>
      </w:r>
      <w:r w:rsidR="00C214CB" w:rsidRPr="009950C0">
        <w:t xml:space="preserve">wrong consumer and wrong site events as an area requiring further review </w:t>
      </w:r>
      <w:r w:rsidRPr="009950C0">
        <w:t xml:space="preserve">(Appendix, Figure A10). On further examination, these incidents were predominantly low-harm radiology events, classified as severity assessment code (SAC) 4 (Appendix, Figure A11). Many of these were near-miss events, which highlights both the effectiveness of existing safety </w:t>
      </w:r>
      <w:r w:rsidRPr="009950C0">
        <w:rPr>
          <w:spacing w:val="-2"/>
        </w:rPr>
        <w:t>barriers and a strong culture of reporting within radiology</w:t>
      </w:r>
      <w:r w:rsidRPr="00821047">
        <w:rPr>
          <w:spacing w:val="-2"/>
        </w:rPr>
        <w:t xml:space="preserve"> services. The visibility of these events likely reflects high reporting transparency rather than a deterioration in clinical practic</w:t>
      </w:r>
      <w:r w:rsidRPr="00821047">
        <w:t>e.</w:t>
      </w:r>
    </w:p>
    <w:p w14:paraId="3348BD8F" w14:textId="5F08BE81" w:rsidR="00B54FC8" w:rsidRPr="00397686" w:rsidRDefault="00B54FC8" w:rsidP="00B54FC8">
      <w:pPr>
        <w:pStyle w:val="BodytextHQSC"/>
      </w:pPr>
      <w:r w:rsidRPr="00397686">
        <w:t xml:space="preserve">Special cause variation was also observed in harm events related to delays in care (Appendix, Figure </w:t>
      </w:r>
      <w:r w:rsidR="00044DD8">
        <w:t>A</w:t>
      </w:r>
      <w:r w:rsidRPr="00397686">
        <w:t>9). These signals prompted further triangulation with additional system-level datasets to better understand the contributing factors. This broader analysis identified</w:t>
      </w:r>
      <w:r w:rsidR="00BB5FA9">
        <w:t xml:space="preserve"> </w:t>
      </w:r>
      <w:r w:rsidRPr="00397686">
        <w:t>system flow pressures as a key</w:t>
      </w:r>
      <w:r w:rsidRPr="00397686" w:rsidDel="009C5835">
        <w:t xml:space="preserve"> </w:t>
      </w:r>
      <w:r w:rsidR="009C5835">
        <w:t>concern</w:t>
      </w:r>
      <w:r w:rsidRPr="00397686">
        <w:t xml:space="preserve">, influencing </w:t>
      </w:r>
      <w:r w:rsidR="00FE7967">
        <w:t>delayed</w:t>
      </w:r>
      <w:r w:rsidR="00FE7967" w:rsidRPr="00397686">
        <w:t xml:space="preserve"> </w:t>
      </w:r>
      <w:r w:rsidRPr="00397686">
        <w:t xml:space="preserve">access to </w:t>
      </w:r>
      <w:r w:rsidR="000920F3">
        <w:t xml:space="preserve">health </w:t>
      </w:r>
      <w:r w:rsidRPr="00397686">
        <w:t>care (Appendix, Figure A12).</w:t>
      </w:r>
    </w:p>
    <w:p w14:paraId="089CED58" w14:textId="3F11DA18" w:rsidR="00B54FC8" w:rsidRPr="00397686" w:rsidRDefault="00B54FC8" w:rsidP="00B54FC8">
      <w:pPr>
        <w:pStyle w:val="BodytextHQSC"/>
      </w:pPr>
      <w:r w:rsidRPr="00397686">
        <w:t xml:space="preserve">Access to primary </w:t>
      </w:r>
      <w:r w:rsidR="000920F3">
        <w:t>health</w:t>
      </w:r>
      <w:r w:rsidRPr="00397686">
        <w:t xml:space="preserve"> care has deteriorated since the COVID-19 pandemic, contributing to increased demand on acute services. From 2023 onwards, there has been a marked rise in emergency department presentations, especially among higher-acuity triage categories (Appendix, Figure A12). This shift indicates both increased patient complexity and potential unmet need in the community setting.</w:t>
      </w:r>
    </w:p>
    <w:p w14:paraId="3EE1B681" w14:textId="227D5FDE" w:rsidR="00B54FC8" w:rsidRPr="00397686" w:rsidRDefault="00B54FC8" w:rsidP="00E51F86">
      <w:r w:rsidRPr="00397686">
        <w:t xml:space="preserve">There has also been a significant increase in acute hospital admissions among people aged 65 years and over (Appendix, Figure A12). In parallel, people aged 75 years and older have experienced longer average lengths of stay, often with repeated admissions (Appendix, </w:t>
      </w:r>
      <w:r w:rsidRPr="00397686">
        <w:lastRenderedPageBreak/>
        <w:t xml:space="preserve">Figure A13). These patterns </w:t>
      </w:r>
      <w:r w:rsidR="00D72A91">
        <w:t>could reflect</w:t>
      </w:r>
      <w:r w:rsidR="005A0D71">
        <w:t xml:space="preserve"> increasing</w:t>
      </w:r>
      <w:r w:rsidRPr="00397686">
        <w:t xml:space="preserve"> clinical complexity, frailty and challenges in</w:t>
      </w:r>
      <w:r w:rsidR="00B179F9" w:rsidRPr="00397686">
        <w:t> </w:t>
      </w:r>
      <w:r w:rsidRPr="00397686">
        <w:t>achieving timely discharge</w:t>
      </w:r>
      <w:r w:rsidR="004835D6">
        <w:t xml:space="preserve"> for this </w:t>
      </w:r>
      <w:r w:rsidR="00A94DB6">
        <w:t>patient group</w:t>
      </w:r>
      <w:r w:rsidRPr="00397686">
        <w:t>.</w:t>
      </w:r>
      <w:r w:rsidR="004312F2">
        <w:t xml:space="preserve"> A</w:t>
      </w:r>
      <w:r w:rsidRPr="00397686" w:rsidDel="000E4A16">
        <w:t xml:space="preserve"> </w:t>
      </w:r>
      <w:r w:rsidRPr="00397686">
        <w:t>growth in occupied bed days among older patients with reduced mobility (Appendix, Figure A13)</w:t>
      </w:r>
      <w:r w:rsidR="00D439D9">
        <w:t>,</w:t>
      </w:r>
      <w:r w:rsidRPr="00397686">
        <w:t xml:space="preserve"> </w:t>
      </w:r>
      <w:r w:rsidR="0062561B">
        <w:t xml:space="preserve">further </w:t>
      </w:r>
      <w:r w:rsidRPr="00397686">
        <w:t>reflects rising demand for inpatient care</w:t>
      </w:r>
      <w:r w:rsidRPr="00397686" w:rsidDel="00AE45A5">
        <w:t>,</w:t>
      </w:r>
      <w:r w:rsidRPr="00397686">
        <w:t xml:space="preserve"> placing further strain on hospital capacity and patient flow.</w:t>
      </w:r>
    </w:p>
    <w:p w14:paraId="74235637" w14:textId="1033D8FA" w:rsidR="00B54FC8" w:rsidRPr="00397686" w:rsidRDefault="00B54FC8" w:rsidP="00B179F9">
      <w:pPr>
        <w:pStyle w:val="BodytextHQSC"/>
        <w:spacing w:after="100"/>
      </w:pPr>
      <w:r w:rsidRPr="00397686">
        <w:t xml:space="preserve">Taken together, these system-wide flow pressures are contributing to delays in care and affecting the delivery of timely </w:t>
      </w:r>
      <w:r w:rsidR="00C510CE">
        <w:t xml:space="preserve">health </w:t>
      </w:r>
      <w:r w:rsidRPr="00397686">
        <w:t>services (HQSC 2024d). The observed patterns highlight the influence of broader health system dynamics, rather than isolated service-level issues, underscoring the need for coordinated, whole-of-system responses.</w:t>
      </w:r>
    </w:p>
    <w:p w14:paraId="0AAF76A4" w14:textId="67018BA7" w:rsidR="00B54FC8" w:rsidRPr="00397686" w:rsidRDefault="00B54FC8" w:rsidP="00B54FC8">
      <w:pPr>
        <w:pStyle w:val="Heading3HQSC"/>
      </w:pPr>
      <w:r w:rsidRPr="00397686">
        <w:t xml:space="preserve">Thematic analysis of maternity adverse events reported </w:t>
      </w:r>
      <w:r w:rsidRPr="00397686">
        <w:br/>
        <w:t>1 July 2018–30 June 2023</w:t>
      </w:r>
    </w:p>
    <w:p w14:paraId="08673265" w14:textId="0F604E1B" w:rsidR="00B54FC8" w:rsidRPr="00397686" w:rsidRDefault="00B54FC8" w:rsidP="00B179F9">
      <w:pPr>
        <w:pStyle w:val="BodytextHQSC"/>
        <w:spacing w:before="100" w:after="100"/>
      </w:pPr>
      <w:r w:rsidRPr="00397686">
        <w:t xml:space="preserve">The maternity thematic analysis (HQSC 2023a) report highlights how the underpinning safety model and tools used in the past have led to a focus on individual actions, with a relative absence of wider system influences. As a result, this has limited learning about the wider </w:t>
      </w:r>
      <w:r w:rsidR="00B90B93">
        <w:t xml:space="preserve">health and disability </w:t>
      </w:r>
      <w:r w:rsidRPr="00397686">
        <w:t>system and how best to improve the conditions in which maternity care is provided. By changing the underpinning safety model and tools, we can gain a better understanding of the context and influences that shape care, bringing together multiple perspectives to develop sustainable system-focused improvements.</w:t>
      </w:r>
    </w:p>
    <w:p w14:paraId="7A0504BC" w14:textId="56DCF725" w:rsidR="00B54FC8" w:rsidRPr="00397686" w:rsidRDefault="00B54FC8" w:rsidP="00B54FC8">
      <w:pPr>
        <w:pStyle w:val="Heading3HQSC"/>
      </w:pPr>
      <w:r w:rsidRPr="00397686">
        <w:t>Thematic analysis of aged residential care harm (adverse) events reported 1</w:t>
      </w:r>
      <w:r w:rsidR="006928DB" w:rsidRPr="00397686">
        <w:t> </w:t>
      </w:r>
      <w:r w:rsidRPr="00397686">
        <w:t>July 2024–30 June 2025</w:t>
      </w:r>
      <w:r w:rsidR="00DC24F2">
        <w:t xml:space="preserve"> </w:t>
      </w:r>
    </w:p>
    <w:p w14:paraId="2D939B68" w14:textId="2BDFF233" w:rsidR="00B54FC8" w:rsidRDefault="0048307E" w:rsidP="00B179F9">
      <w:pPr>
        <w:pStyle w:val="BodytextHQSC"/>
        <w:spacing w:before="100" w:after="100"/>
      </w:pPr>
      <w:r>
        <w:t>A</w:t>
      </w:r>
      <w:r w:rsidR="00DC24F2" w:rsidRPr="00DC24F2">
        <w:t>s of 1 July 2024</w:t>
      </w:r>
      <w:r>
        <w:t>,</w:t>
      </w:r>
      <w:r w:rsidR="00DC24F2" w:rsidRPr="00DC24F2">
        <w:t xml:space="preserve"> clinical harm events for </w:t>
      </w:r>
      <w:r w:rsidR="00723E64">
        <w:t>aged residential care (</w:t>
      </w:r>
      <w:r w:rsidR="00DC24F2" w:rsidRPr="00DC24F2">
        <w:t>ARC</w:t>
      </w:r>
      <w:r w:rsidR="00723E64">
        <w:t>)</w:t>
      </w:r>
      <w:r w:rsidR="00DC24F2" w:rsidRPr="00DC24F2">
        <w:t xml:space="preserve"> </w:t>
      </w:r>
      <w:r w:rsidR="00E839CC">
        <w:t>must be reported</w:t>
      </w:r>
      <w:r w:rsidR="00E839CC" w:rsidRPr="00DC24F2">
        <w:t xml:space="preserve"> </w:t>
      </w:r>
      <w:r w:rsidR="00DC24F2" w:rsidRPr="00DC24F2">
        <w:t xml:space="preserve">pursuant to the requirements of </w:t>
      </w:r>
      <w:r w:rsidR="000318E3">
        <w:t>the Commission</w:t>
      </w:r>
      <w:r w:rsidR="00DC24F2" w:rsidRPr="00DC24F2">
        <w:t xml:space="preserve">’s ‘healing learning and improving from harm: national adverse events policy. </w:t>
      </w:r>
      <w:r w:rsidR="00B54FC8" w:rsidRPr="00397686">
        <w:t xml:space="preserve">The Commission has completed an analysis of the first year (2024/25) of </w:t>
      </w:r>
      <w:r w:rsidR="001A2FF4">
        <w:t>ARC</w:t>
      </w:r>
      <w:r w:rsidR="00B54FC8" w:rsidRPr="00397686">
        <w:t xml:space="preserve"> harm events reported directly to the Commission. The report</w:t>
      </w:r>
      <w:r w:rsidR="00C302B8">
        <w:t>, which is available on the Commission’s website,</w:t>
      </w:r>
      <w:r w:rsidR="00B54FC8" w:rsidRPr="00397686">
        <w:t xml:space="preserve"> identifies opportunity for improv</w:t>
      </w:r>
      <w:r w:rsidR="00C302B8">
        <w:t>ing</w:t>
      </w:r>
      <w:r w:rsidR="00B54FC8" w:rsidRPr="00397686">
        <w:t xml:space="preserve"> learning</w:t>
      </w:r>
      <w:r w:rsidR="00B54FC8" w:rsidRPr="00397686" w:rsidDel="00981344">
        <w:t xml:space="preserve"> </w:t>
      </w:r>
      <w:r w:rsidR="00B54FC8" w:rsidRPr="00397686">
        <w:t>from reviews that focus on system change rather than person-focused improvement</w:t>
      </w:r>
      <w:r w:rsidR="00DA3991">
        <w:t xml:space="preserve"> (H</w:t>
      </w:r>
      <w:r w:rsidR="002A57CE">
        <w:t>QSC 2026)</w:t>
      </w:r>
      <w:r w:rsidR="00B54FC8" w:rsidRPr="00397686">
        <w:t>.</w:t>
      </w:r>
      <w:r w:rsidR="00D94CB3" w:rsidRPr="00397686">
        <w:t xml:space="preserve"> </w:t>
      </w:r>
    </w:p>
    <w:p w14:paraId="12BDA90B" w14:textId="77777777" w:rsidR="00B54FC8" w:rsidRPr="00397686" w:rsidRDefault="00B54FC8" w:rsidP="00ED7437">
      <w:pPr>
        <w:pStyle w:val="Heading3HQSC"/>
      </w:pPr>
      <w:r w:rsidRPr="00397686">
        <w:t>Use of insight reports</w:t>
      </w:r>
    </w:p>
    <w:p w14:paraId="110AD0AF" w14:textId="056924ED" w:rsidR="00B54FC8" w:rsidRPr="00397686" w:rsidRDefault="00B54FC8" w:rsidP="00B179F9">
      <w:pPr>
        <w:pStyle w:val="BodytextHQSC"/>
        <w:spacing w:before="100" w:after="100"/>
      </w:pPr>
      <w:r w:rsidRPr="00397686">
        <w:rPr>
          <w:lang w:eastAsia="en-NZ"/>
        </w:rPr>
        <w:t>The previously published insight reports (HQSC 2024a (September), 2024b (November), 2025a)</w:t>
      </w:r>
      <w:r w:rsidRPr="00397686" w:rsidDel="00615BE7">
        <w:rPr>
          <w:lang w:eastAsia="en-NZ"/>
        </w:rPr>
        <w:t xml:space="preserve"> </w:t>
      </w:r>
      <w:r w:rsidRPr="00397686">
        <w:rPr>
          <w:lang w:eastAsia="en-NZ"/>
        </w:rPr>
        <w:t>contributed to the analytical evidence base for this report’s thematic analysis.</w:t>
      </w:r>
      <w:r w:rsidRPr="00397686">
        <w:t xml:space="preserve"> This thematic foundation underpins the prioritisation process described later in </w:t>
      </w:r>
      <w:r w:rsidR="00A04E00">
        <w:t>this</w:t>
      </w:r>
      <w:r w:rsidRPr="00397686">
        <w:t xml:space="preserve"> report, which consolidates the 10 themes into three priority focus areas.</w:t>
      </w:r>
      <w:r w:rsidRPr="00397686">
        <w:rPr>
          <w:lang w:eastAsia="en-NZ"/>
        </w:rPr>
        <w:t xml:space="preserve"> </w:t>
      </w:r>
    </w:p>
    <w:p w14:paraId="7589AF08" w14:textId="77777777" w:rsidR="000C5316" w:rsidRPr="00397686" w:rsidRDefault="000C5316" w:rsidP="000C5316">
      <w:pPr>
        <w:pStyle w:val="Heading2HQSC"/>
      </w:pPr>
      <w:bookmarkStart w:id="7" w:name="_Toc233888600"/>
      <w:r w:rsidRPr="00397686">
        <w:t>Health NZ</w:t>
      </w:r>
      <w:bookmarkEnd w:id="7"/>
    </w:p>
    <w:p w14:paraId="3E0CAD02" w14:textId="58AAAAC6" w:rsidR="000C5316" w:rsidRPr="00397686" w:rsidRDefault="000C5316" w:rsidP="00B179F9">
      <w:pPr>
        <w:pStyle w:val="BodytextHQSC"/>
        <w:spacing w:before="100" w:after="100"/>
      </w:pPr>
      <w:r w:rsidRPr="00397686">
        <w:t>Health NZ designs, commissions and delivers public health services for New Zealanders. For</w:t>
      </w:r>
      <w:r w:rsidR="00B179F9" w:rsidRPr="00397686">
        <w:t> </w:t>
      </w:r>
      <w:r w:rsidRPr="00397686">
        <w:t xml:space="preserve">this report, Health NZ contributed context and supported understanding of harm associated with hospital-based care, drawing on its national system insights from </w:t>
      </w:r>
      <w:r w:rsidR="00A04E00" w:rsidRPr="00397686">
        <w:t>quality alerts</w:t>
      </w:r>
      <w:r w:rsidRPr="00397686">
        <w:t xml:space="preserve"> (informed by the QSM</w:t>
      </w:r>
      <w:r w:rsidRPr="00397686">
        <w:rPr>
          <w:vertAlign w:val="superscript"/>
        </w:rPr>
        <w:footnoteReference w:id="2"/>
      </w:r>
      <w:r w:rsidRPr="00397686">
        <w:t xml:space="preserve">) and harm events. </w:t>
      </w:r>
    </w:p>
    <w:p w14:paraId="0755FD2C" w14:textId="3F078574" w:rsidR="000C5316" w:rsidRPr="00397686" w:rsidRDefault="000C5316" w:rsidP="000C5316">
      <w:pPr>
        <w:pStyle w:val="BodytextHQSC"/>
      </w:pPr>
      <w:r w:rsidRPr="00397686">
        <w:lastRenderedPageBreak/>
        <w:t>Health NZ undertook a strategic assessment of the aged care sector in New Zealand in a review of aged care funding and service models that led to the Sapere report (Moore et al 2024).</w:t>
      </w:r>
      <w:r w:rsidRPr="00397686" w:rsidDel="006C2BEF">
        <w:t xml:space="preserve"> </w:t>
      </w:r>
      <w:r w:rsidRPr="00397686">
        <w:t>The</w:t>
      </w:r>
      <w:r w:rsidR="004A2F67">
        <w:t xml:space="preserve"> report raised</w:t>
      </w:r>
      <w:r w:rsidR="00897D74">
        <w:t xml:space="preserve"> concerns </w:t>
      </w:r>
      <w:r w:rsidR="005D7AF0">
        <w:t>about</w:t>
      </w:r>
      <w:r w:rsidRPr="00397686" w:rsidDel="00AD7166">
        <w:t xml:space="preserve"> </w:t>
      </w:r>
      <w:r w:rsidRPr="00397686">
        <w:t>the supply and commissioning of</w:t>
      </w:r>
      <w:r w:rsidR="00B179F9" w:rsidRPr="00397686">
        <w:t> </w:t>
      </w:r>
      <w:r w:rsidRPr="00397686">
        <w:t xml:space="preserve">aged care services. Equitable and timely service access has become compromised </w:t>
      </w:r>
      <w:r w:rsidR="003A210A">
        <w:t>due to</w:t>
      </w:r>
      <w:r w:rsidRPr="00397686">
        <w:t xml:space="preserve"> workforce pressures, rural shortages and funding inadequacies. As is seen in other jurisdictions, the ageing population will put significant pressure on health care services</w:t>
      </w:r>
      <w:r w:rsidR="008913EA">
        <w:t>.</w:t>
      </w:r>
    </w:p>
    <w:p w14:paraId="08DE337D" w14:textId="77777777" w:rsidR="000C5316" w:rsidRPr="00397686" w:rsidRDefault="000C5316" w:rsidP="000C5316">
      <w:pPr>
        <w:pStyle w:val="Heading2HQSC"/>
      </w:pPr>
      <w:bookmarkStart w:id="8" w:name="_Toc233888601"/>
      <w:r w:rsidRPr="00397686">
        <w:t>Accident Compensation Corporation</w:t>
      </w:r>
      <w:bookmarkEnd w:id="8"/>
      <w:r w:rsidRPr="00397686">
        <w:t xml:space="preserve"> </w:t>
      </w:r>
    </w:p>
    <w:p w14:paraId="4F6A0638" w14:textId="48A805A8" w:rsidR="000C5316" w:rsidRPr="00397686" w:rsidRDefault="000C5316" w:rsidP="000C5316">
      <w:pPr>
        <w:pStyle w:val="BodytextHQSC"/>
      </w:pPr>
      <w:r w:rsidRPr="00397686">
        <w:t xml:space="preserve">The ACC is a purchaser, steward and injury prevention partner within the </w:t>
      </w:r>
      <w:r w:rsidR="00D05ED7">
        <w:t xml:space="preserve">health and disability </w:t>
      </w:r>
      <w:r w:rsidRPr="00397686">
        <w:t>system. We reviewed ACC risk-of-harm notification analysis (2022–June 2025) and grouped it by common patterns to identify the following recurring system</w:t>
      </w:r>
      <w:r w:rsidRPr="00397686">
        <w:rPr>
          <w:rFonts w:ascii="Cambria Math" w:hAnsi="Cambria Math" w:cs="Cambria Math"/>
        </w:rPr>
        <w:t>‑</w:t>
      </w:r>
      <w:r w:rsidRPr="00397686">
        <w:t>level causes of serious harm (Appendix, Figure A15).</w:t>
      </w:r>
    </w:p>
    <w:p w14:paraId="317D7AF2" w14:textId="0BCA7EFF" w:rsidR="000C5316" w:rsidRPr="00397686" w:rsidRDefault="008F0987" w:rsidP="000C5316">
      <w:pPr>
        <w:pStyle w:val="BulletsHQSC"/>
      </w:pPr>
      <w:r w:rsidRPr="00397686">
        <w:t>Sur</w:t>
      </w:r>
      <w:r w:rsidR="000C5316" w:rsidRPr="00397686">
        <w:t>gical and procedural complications</w:t>
      </w:r>
    </w:p>
    <w:p w14:paraId="35E25F45" w14:textId="4C0A7455" w:rsidR="000C5316" w:rsidRPr="00397686" w:rsidRDefault="008F0987" w:rsidP="000C5316">
      <w:pPr>
        <w:pStyle w:val="BulletsHQSC"/>
      </w:pPr>
      <w:r w:rsidRPr="00397686">
        <w:t>Healthcare</w:t>
      </w:r>
      <w:r w:rsidR="000C5316" w:rsidRPr="00397686">
        <w:rPr>
          <w:rFonts w:ascii="Cambria Math" w:hAnsi="Cambria Math" w:cs="Cambria Math"/>
        </w:rPr>
        <w:t>‑</w:t>
      </w:r>
      <w:r w:rsidR="000C5316" w:rsidRPr="00397686">
        <w:t>associated infection and sepsis</w:t>
      </w:r>
    </w:p>
    <w:p w14:paraId="486DAD3D" w14:textId="35C50B35" w:rsidR="000C5316" w:rsidRPr="00397686" w:rsidRDefault="008F0987" w:rsidP="000C5316">
      <w:pPr>
        <w:pStyle w:val="BulletsHQSC"/>
      </w:pPr>
      <w:r w:rsidRPr="00397686">
        <w:t>Equipment</w:t>
      </w:r>
      <w:r w:rsidR="000C5316" w:rsidRPr="00397686">
        <w:t xml:space="preserve"> and medical device incidents</w:t>
      </w:r>
    </w:p>
    <w:p w14:paraId="329BC877" w14:textId="6E9780C0" w:rsidR="000C5316" w:rsidRPr="00397686" w:rsidRDefault="008F0987" w:rsidP="000C5316">
      <w:pPr>
        <w:pStyle w:val="BulletsHQSC"/>
      </w:pPr>
      <w:r w:rsidRPr="00397686">
        <w:t>Diagnostic</w:t>
      </w:r>
      <w:r w:rsidR="000C5316" w:rsidRPr="00397686">
        <w:t xml:space="preserve"> error and failure to follow</w:t>
      </w:r>
      <w:r w:rsidR="000C5316" w:rsidRPr="00397686">
        <w:rPr>
          <w:rFonts w:ascii="Cambria Math" w:hAnsi="Cambria Math" w:cs="Cambria Math"/>
        </w:rPr>
        <w:t xml:space="preserve"> </w:t>
      </w:r>
      <w:r w:rsidR="000C5316" w:rsidRPr="00397686">
        <w:t>up</w:t>
      </w:r>
    </w:p>
    <w:p w14:paraId="1D6645C3" w14:textId="57272064" w:rsidR="000C5316" w:rsidRPr="00397686" w:rsidRDefault="008F0987" w:rsidP="000C5316">
      <w:pPr>
        <w:pStyle w:val="BulletsHQSC"/>
      </w:pPr>
      <w:r w:rsidRPr="00397686">
        <w:t>Anticoagulation</w:t>
      </w:r>
      <w:r w:rsidR="000C5316" w:rsidRPr="00397686">
        <w:t xml:space="preserve"> and antiplatelet</w:t>
      </w:r>
      <w:r w:rsidR="000C5316" w:rsidRPr="00397686">
        <w:rPr>
          <w:rFonts w:ascii="Cambria Math" w:hAnsi="Cambria Math" w:cs="Cambria Math"/>
        </w:rPr>
        <w:t>‑</w:t>
      </w:r>
      <w:r w:rsidR="000C5316" w:rsidRPr="00397686">
        <w:t>related events</w:t>
      </w:r>
    </w:p>
    <w:p w14:paraId="778F1D15" w14:textId="49799CB2" w:rsidR="000C5316" w:rsidRPr="00397686" w:rsidRDefault="008F0987" w:rsidP="000C5316">
      <w:pPr>
        <w:pStyle w:val="BulletsHQSC"/>
      </w:pPr>
      <w:r w:rsidRPr="00397686">
        <w:t>Medication</w:t>
      </w:r>
      <w:r w:rsidR="000C5316" w:rsidRPr="00397686">
        <w:t xml:space="preserve"> errors and adverse drug events</w:t>
      </w:r>
    </w:p>
    <w:p w14:paraId="485BA743" w14:textId="30A8CBD3" w:rsidR="000C5316" w:rsidRPr="00397686" w:rsidRDefault="008F0987" w:rsidP="000C5316">
      <w:pPr>
        <w:pStyle w:val="BulletsHQSC"/>
      </w:pPr>
      <w:r w:rsidRPr="00397686">
        <w:t>Obstetr</w:t>
      </w:r>
      <w:r w:rsidR="000C5316" w:rsidRPr="00397686">
        <w:t>ic and maternity</w:t>
      </w:r>
      <w:r w:rsidR="000C5316" w:rsidRPr="00397686">
        <w:rPr>
          <w:rFonts w:ascii="Cambria Math" w:hAnsi="Cambria Math" w:cs="Cambria Math"/>
        </w:rPr>
        <w:t>‑</w:t>
      </w:r>
      <w:r w:rsidR="000C5316" w:rsidRPr="00397686">
        <w:t>related incidents</w:t>
      </w:r>
    </w:p>
    <w:p w14:paraId="7F2CA042" w14:textId="5980E556" w:rsidR="000C5316" w:rsidRPr="00397686" w:rsidRDefault="008F0987" w:rsidP="000C5316">
      <w:pPr>
        <w:pStyle w:val="BulletsHQSC"/>
      </w:pPr>
      <w:r w:rsidRPr="00397686">
        <w:t>Clinical</w:t>
      </w:r>
      <w:r w:rsidR="000C5316" w:rsidRPr="00397686">
        <w:t xml:space="preserve"> deterioration and monitoring failures</w:t>
      </w:r>
    </w:p>
    <w:p w14:paraId="6E0D0BE5" w14:textId="0FBF4D2D" w:rsidR="000C5316" w:rsidRPr="00397686" w:rsidRDefault="008F0987" w:rsidP="000C5316">
      <w:pPr>
        <w:pStyle w:val="BulletsHQSC"/>
      </w:pPr>
      <w:r w:rsidRPr="00397686">
        <w:t>Retained</w:t>
      </w:r>
      <w:r w:rsidR="000C5316" w:rsidRPr="00397686">
        <w:t xml:space="preserve"> foreign objects and retained surgical items</w:t>
      </w:r>
    </w:p>
    <w:p w14:paraId="058E3D37" w14:textId="5F5F9A36" w:rsidR="000C5316" w:rsidRPr="00397686" w:rsidRDefault="008F0987" w:rsidP="000C5316">
      <w:pPr>
        <w:pStyle w:val="BulletsHQSC"/>
        <w:rPr>
          <w:b/>
          <w:bCs/>
        </w:rPr>
      </w:pPr>
      <w:r w:rsidRPr="00397686">
        <w:t>Blood</w:t>
      </w:r>
      <w:r w:rsidR="000C5316" w:rsidRPr="00397686">
        <w:t xml:space="preserve"> and transfusion</w:t>
      </w:r>
      <w:r w:rsidR="000C5316" w:rsidRPr="00397686">
        <w:rPr>
          <w:rFonts w:ascii="Cambria Math" w:hAnsi="Cambria Math" w:cs="Cambria Math"/>
        </w:rPr>
        <w:t>‑</w:t>
      </w:r>
      <w:r w:rsidR="000C5316" w:rsidRPr="00397686">
        <w:t>related events.</w:t>
      </w:r>
    </w:p>
    <w:p w14:paraId="3CCF258C" w14:textId="49A7839F" w:rsidR="000C5316" w:rsidRPr="00397686" w:rsidRDefault="000C5316" w:rsidP="000C5316">
      <w:pPr>
        <w:pStyle w:val="BodytextHQSC"/>
      </w:pPr>
      <w:r w:rsidRPr="00397686">
        <w:t>ACC treatment injury data provides additional insight into harm patterns, including trends in infection-related harm and pressure injuries (Appendix, Figures A14–A17). The data shows increasing rates of accepted treatment injury claims over time, as well as growth in pressure injury claims, providing further evidence of system-level pressures and patterns of harm identified in this report.</w:t>
      </w:r>
    </w:p>
    <w:p w14:paraId="71E03908" w14:textId="77777777" w:rsidR="000C5316" w:rsidRPr="00397686" w:rsidRDefault="000C5316" w:rsidP="000C5316">
      <w:pPr>
        <w:pStyle w:val="Heading2HQSC"/>
      </w:pPr>
      <w:bookmarkStart w:id="9" w:name="_Toc233888602"/>
      <w:r w:rsidRPr="00397686">
        <w:t>Health and Disability Commissioner complaints data</w:t>
      </w:r>
      <w:bookmarkEnd w:id="9"/>
    </w:p>
    <w:p w14:paraId="41F8EB8E" w14:textId="1E978AA9" w:rsidR="000C5316" w:rsidRPr="00397686" w:rsidRDefault="000C5316" w:rsidP="000C5316">
      <w:pPr>
        <w:pStyle w:val="BodytextHQSC"/>
      </w:pPr>
      <w:r w:rsidRPr="00397686">
        <w:t xml:space="preserve">The HDC is an independent Crown entity whose role is to promote and protect the rights of people using health and disability services, as set out in the Code of Health and Disability Services Consumers’ Rights. The HDC does this </w:t>
      </w:r>
      <w:r w:rsidR="00282F59">
        <w:t>by resolving</w:t>
      </w:r>
      <w:r w:rsidRPr="00397686">
        <w:t xml:space="preserve"> complaints from consumers and whānau about quality of care and making specific recommendations to improve the quality and safety of the </w:t>
      </w:r>
      <w:r w:rsidR="00282F59">
        <w:t xml:space="preserve">health and disability </w:t>
      </w:r>
      <w:r w:rsidRPr="00397686">
        <w:t>system.</w:t>
      </w:r>
    </w:p>
    <w:p w14:paraId="057185F9" w14:textId="77777777" w:rsidR="000C5316" w:rsidRPr="00397686" w:rsidRDefault="000C5316" w:rsidP="008D4ACA">
      <w:pPr>
        <w:pStyle w:val="BodytextHQSC"/>
      </w:pPr>
      <w:r w:rsidRPr="00397686">
        <w:t xml:space="preserve">The HDC’s contributed </w:t>
      </w:r>
      <w:r w:rsidRPr="00397686" w:rsidDel="00737F7F">
        <w:t>complaints data</w:t>
      </w:r>
      <w:r w:rsidRPr="00397686">
        <w:t xml:space="preserve"> highlights how system pressures are experienced in practice, including issues related to access, delays, communication, informed consent and quality of care across health and disability services. </w:t>
      </w:r>
    </w:p>
    <w:p w14:paraId="6F2D5DB2" w14:textId="77777777" w:rsidR="000C5316" w:rsidRPr="00397686" w:rsidRDefault="000C5316" w:rsidP="009F505C">
      <w:pPr>
        <w:pStyle w:val="BodytextHQSC"/>
        <w:keepNext/>
      </w:pPr>
      <w:r w:rsidRPr="00397686">
        <w:lastRenderedPageBreak/>
        <w:t>During 2024/25, complaints about public hospital services commonly related to:</w:t>
      </w:r>
    </w:p>
    <w:p w14:paraId="3A70775E" w14:textId="4A47FA19" w:rsidR="000C5316" w:rsidRPr="00397686" w:rsidRDefault="000C5316" w:rsidP="2D8EBDBA">
      <w:pPr>
        <w:pStyle w:val="BulletsHQSC"/>
        <w:keepNext/>
        <w:numPr>
          <w:ilvl w:val="0"/>
          <w:numId w:val="0"/>
        </w:numPr>
      </w:pPr>
      <w:r w:rsidRPr="00397686">
        <w:t>care and treatment, including delayed access to care across a number of service areas (emergency departments, cancer care, maternity care, ophthalmology follow-up, primary care and radiology)</w:t>
      </w:r>
    </w:p>
    <w:p w14:paraId="07A014D0" w14:textId="77777777" w:rsidR="000C5316" w:rsidRPr="00397686" w:rsidRDefault="000C5316" w:rsidP="008D4ACA">
      <w:pPr>
        <w:pStyle w:val="BulletsHQSC"/>
      </w:pPr>
      <w:r w:rsidRPr="00397686">
        <w:t>communication issues</w:t>
      </w:r>
    </w:p>
    <w:p w14:paraId="234B23DD" w14:textId="77777777" w:rsidR="000C5316" w:rsidRPr="00397686" w:rsidRDefault="000C5316" w:rsidP="008D4ACA">
      <w:pPr>
        <w:pStyle w:val="BulletsHQSC"/>
      </w:pPr>
      <w:r w:rsidRPr="00397686">
        <w:t>informed consent (including pressure on informed consent processes).</w:t>
      </w:r>
    </w:p>
    <w:p w14:paraId="14ABA6E3" w14:textId="77777777" w:rsidR="000C5316" w:rsidRPr="00397686" w:rsidRDefault="000C5316" w:rsidP="008D4ACA">
      <w:pPr>
        <w:pStyle w:val="BodytextHQSC"/>
      </w:pPr>
      <w:r w:rsidRPr="00397686">
        <w:t>During 2024/2025, complaints about the aged care sector related to:</w:t>
      </w:r>
    </w:p>
    <w:p w14:paraId="182DFE87" w14:textId="77777777" w:rsidR="000C5316" w:rsidRPr="00397686" w:rsidRDefault="000C5316" w:rsidP="008D4ACA">
      <w:pPr>
        <w:pStyle w:val="BulletsHQSC"/>
      </w:pPr>
      <w:r w:rsidRPr="00397686">
        <w:t>challenges in discharge planning and transitions from hospital to aged residential care and community services</w:t>
      </w:r>
    </w:p>
    <w:p w14:paraId="378A2D07" w14:textId="77777777" w:rsidR="000C5316" w:rsidRPr="00397686" w:rsidRDefault="000C5316" w:rsidP="008D4ACA">
      <w:pPr>
        <w:pStyle w:val="BulletsHQSC"/>
      </w:pPr>
      <w:r w:rsidRPr="00397686">
        <w:t>gaps in access to psychogeriatric care</w:t>
      </w:r>
    </w:p>
    <w:p w14:paraId="4AEE30EC" w14:textId="77777777" w:rsidR="000C5316" w:rsidRPr="00397686" w:rsidRDefault="000C5316" w:rsidP="008D4ACA">
      <w:pPr>
        <w:pStyle w:val="BulletsHQSC"/>
      </w:pPr>
      <w:r w:rsidRPr="00397686">
        <w:t>workforce sustainability and capability pressures</w:t>
      </w:r>
    </w:p>
    <w:p w14:paraId="2ED79D3C" w14:textId="77777777" w:rsidR="000C5316" w:rsidRPr="00397686" w:rsidRDefault="000C5316" w:rsidP="008D4ACA">
      <w:pPr>
        <w:pStyle w:val="BulletsHQSC"/>
      </w:pPr>
      <w:r w:rsidRPr="00397686">
        <w:t>escalation of care and access to timely medical review</w:t>
      </w:r>
    </w:p>
    <w:p w14:paraId="20B7D5EC" w14:textId="77777777" w:rsidR="000C5316" w:rsidRPr="00397686" w:rsidRDefault="000C5316" w:rsidP="008D4ACA">
      <w:pPr>
        <w:pStyle w:val="BulletsHQSC"/>
      </w:pPr>
      <w:r w:rsidRPr="00397686">
        <w:t>dementia care and management of behaviours of stress and distress</w:t>
      </w:r>
    </w:p>
    <w:p w14:paraId="47969161" w14:textId="77777777" w:rsidR="000C5316" w:rsidRPr="00397686" w:rsidRDefault="000C5316" w:rsidP="008D4ACA">
      <w:pPr>
        <w:pStyle w:val="BulletsHQSC"/>
      </w:pPr>
      <w:r w:rsidRPr="00397686">
        <w:t>documentation and care planning</w:t>
      </w:r>
    </w:p>
    <w:p w14:paraId="76541D7D" w14:textId="77777777" w:rsidR="000C5316" w:rsidRPr="00397686" w:rsidRDefault="000C5316" w:rsidP="008D4ACA">
      <w:pPr>
        <w:pStyle w:val="BulletsHQSC"/>
      </w:pPr>
      <w:r w:rsidRPr="00397686">
        <w:t>provision of end</w:t>
      </w:r>
      <w:r w:rsidRPr="00397686">
        <w:rPr>
          <w:rFonts w:ascii="Cambria Math" w:hAnsi="Cambria Math" w:cs="Cambria Math"/>
        </w:rPr>
        <w:t>‑</w:t>
      </w:r>
      <w:r w:rsidRPr="00397686">
        <w:t>of</w:t>
      </w:r>
      <w:r w:rsidRPr="00397686">
        <w:rPr>
          <w:rFonts w:ascii="Cambria Math" w:hAnsi="Cambria Math" w:cs="Cambria Math"/>
        </w:rPr>
        <w:t>‑</w:t>
      </w:r>
      <w:r w:rsidRPr="00397686">
        <w:t>life care</w:t>
      </w:r>
    </w:p>
    <w:p w14:paraId="13FC29CB" w14:textId="77777777" w:rsidR="000C5316" w:rsidRPr="00397686" w:rsidRDefault="000C5316" w:rsidP="008D4ACA">
      <w:pPr>
        <w:pStyle w:val="BulletsHQSC"/>
      </w:pPr>
      <w:r w:rsidRPr="00397686">
        <w:t>inadequate communication with family and welfare guardians</w:t>
      </w:r>
    </w:p>
    <w:p w14:paraId="4BDBFB15" w14:textId="77777777" w:rsidR="000C5316" w:rsidRPr="00397686" w:rsidRDefault="000C5316" w:rsidP="008D4ACA">
      <w:pPr>
        <w:pStyle w:val="BulletsHQSC"/>
      </w:pPr>
      <w:r w:rsidRPr="00397686">
        <w:t>variability in complaints management capability.</w:t>
      </w:r>
    </w:p>
    <w:p w14:paraId="4478A1E8" w14:textId="77777777" w:rsidR="00BD0DFB" w:rsidRPr="00397686" w:rsidRDefault="00BD0DFB" w:rsidP="00BD0DFB">
      <w:pPr>
        <w:pStyle w:val="BodytextHQSC"/>
      </w:pPr>
      <w:bookmarkStart w:id="10" w:name="_Toc227169412"/>
      <w:r w:rsidRPr="00397686">
        <w:br w:type="page"/>
      </w:r>
    </w:p>
    <w:p w14:paraId="5BB53777" w14:textId="5461BC10" w:rsidR="00BD0DFB" w:rsidRPr="00397686" w:rsidRDefault="00BD0DFB" w:rsidP="00BD0DFB">
      <w:pPr>
        <w:pStyle w:val="Heading1HQSC"/>
      </w:pPr>
      <w:bookmarkStart w:id="11" w:name="_Toc233888603"/>
      <w:r w:rsidRPr="00397686">
        <w:lastRenderedPageBreak/>
        <w:t>Method</w:t>
      </w:r>
      <w:bookmarkEnd w:id="10"/>
      <w:bookmarkEnd w:id="11"/>
    </w:p>
    <w:p w14:paraId="521DB036" w14:textId="7B9920BD" w:rsidR="00BD0DFB" w:rsidRPr="00397686" w:rsidRDefault="00BD0DFB" w:rsidP="00B179F9">
      <w:pPr>
        <w:pStyle w:val="BodytextHQSC"/>
        <w:spacing w:before="100"/>
      </w:pPr>
      <w:r w:rsidRPr="00397686">
        <w:t>The focus of</w:t>
      </w:r>
      <w:r w:rsidRPr="00397686" w:rsidDel="00760C16">
        <w:t xml:space="preserve"> </w:t>
      </w:r>
      <w:r w:rsidRPr="00397686">
        <w:t xml:space="preserve">our analysis was not to quantify harm rates or attribute causality but to interpret statistical signals alongside other quantitative and qualitative insights to understand where harm is occurring within the </w:t>
      </w:r>
      <w:r w:rsidR="00A86F2D">
        <w:t xml:space="preserve">health and disability </w:t>
      </w:r>
      <w:r w:rsidRPr="00397686">
        <w:t>system.</w:t>
      </w:r>
    </w:p>
    <w:p w14:paraId="57FDFB9B" w14:textId="6B2D5040" w:rsidR="00BD0DFB" w:rsidRPr="00397686" w:rsidRDefault="36F67F67" w:rsidP="00B179F9">
      <w:pPr>
        <w:pStyle w:val="BodytextHQSC"/>
        <w:spacing w:before="100"/>
      </w:pPr>
      <w:r>
        <w:t xml:space="preserve">During the three-year period of this report, </w:t>
      </w:r>
      <w:r w:rsidR="006E1F62">
        <w:t xml:space="preserve">the Commission undertook </w:t>
      </w:r>
      <w:r>
        <w:t>annual statistical analysis of harm</w:t>
      </w:r>
      <w:r w:rsidR="0A95EA70">
        <w:t> </w:t>
      </w:r>
      <w:r w:rsidR="583F2A8B">
        <w:t xml:space="preserve">(adverse) </w:t>
      </w:r>
      <w:r>
        <w:t>data (see Appendix, Figures A2–A10) to identify common cause and special cause variation. These findings were then reviewed and triangulated with data from ACC, HDC and Health NZ to provide broader system context and identif</w:t>
      </w:r>
      <w:r w:rsidR="00A73F48">
        <w:t>y</w:t>
      </w:r>
      <w:r w:rsidR="0A95EA70">
        <w:t> </w:t>
      </w:r>
      <w:r>
        <w:t xml:space="preserve">10 themes. We held internal discussions to validate emerging insights. This approach reduced reliance on any single dataset or organisational perspective and strengthened our confidence in the resulting findings. </w:t>
      </w:r>
    </w:p>
    <w:p w14:paraId="45AA4A0A" w14:textId="77777777" w:rsidR="00BD0DFB" w:rsidRPr="00397686" w:rsidRDefault="00BD0DFB" w:rsidP="00B179F9">
      <w:pPr>
        <w:pStyle w:val="BodytextHQSC"/>
        <w:spacing w:before="100" w:after="100"/>
      </w:pPr>
      <w:r w:rsidRPr="00397686">
        <w:t>The 10 system-level themes are:</w:t>
      </w:r>
    </w:p>
    <w:p w14:paraId="30E74E94" w14:textId="77777777" w:rsidR="00BD0DFB" w:rsidRPr="00397686" w:rsidRDefault="00BD0DFB" w:rsidP="00B179F9">
      <w:pPr>
        <w:pStyle w:val="ListParagraph"/>
        <w:numPr>
          <w:ilvl w:val="0"/>
          <w:numId w:val="27"/>
        </w:numPr>
        <w:spacing w:after="100" w:line="300" w:lineRule="atLeast"/>
        <w:ind w:left="510" w:hanging="510"/>
        <w:contextualSpacing w:val="0"/>
        <w:rPr>
          <w:rFonts w:cs="Arial"/>
        </w:rPr>
      </w:pPr>
      <w:r w:rsidRPr="00397686">
        <w:rPr>
          <w:rFonts w:cs="Arial"/>
        </w:rPr>
        <w:t>timeliness and transitions of care</w:t>
      </w:r>
    </w:p>
    <w:p w14:paraId="34BE61A7"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procedure and clinical process reliability</w:t>
      </w:r>
    </w:p>
    <w:p w14:paraId="06B50E00"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infection and sepsis risk</w:t>
      </w:r>
    </w:p>
    <w:p w14:paraId="6AE6D0AB"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pressure injuries and falls</w:t>
      </w:r>
    </w:p>
    <w:p w14:paraId="33E01294"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escalation and early recognition of deterioration</w:t>
      </w:r>
    </w:p>
    <w:p w14:paraId="36358551"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workforce capacity and sustainability</w:t>
      </w:r>
    </w:p>
    <w:p w14:paraId="3E484E31"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clinical governance maturity and feedback loops</w:t>
      </w:r>
    </w:p>
    <w:p w14:paraId="76EC7880"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data visibility and quality improvement capacity</w:t>
      </w:r>
    </w:p>
    <w:p w14:paraId="68D7CA5F" w14:textId="77777777" w:rsidR="00BD0DFB" w:rsidRPr="00397686" w:rsidRDefault="00BD0DFB" w:rsidP="00B179F9">
      <w:pPr>
        <w:numPr>
          <w:ilvl w:val="0"/>
          <w:numId w:val="27"/>
        </w:numPr>
        <w:spacing w:after="100" w:line="300" w:lineRule="atLeast"/>
        <w:ind w:left="510" w:hanging="510"/>
        <w:rPr>
          <w:rFonts w:cs="Arial"/>
        </w:rPr>
      </w:pPr>
      <w:r w:rsidRPr="00397686">
        <w:rPr>
          <w:rFonts w:cs="Arial"/>
        </w:rPr>
        <w:t>equity and cultural safety</w:t>
      </w:r>
    </w:p>
    <w:p w14:paraId="397B92BA" w14:textId="20E6F079" w:rsidR="00BD0DFB" w:rsidRPr="00397686" w:rsidRDefault="00BD0DFB" w:rsidP="00727F57">
      <w:pPr>
        <w:pStyle w:val="ListParagraph"/>
        <w:numPr>
          <w:ilvl w:val="0"/>
          <w:numId w:val="27"/>
        </w:numPr>
        <w:spacing w:line="300" w:lineRule="atLeast"/>
        <w:ind w:left="510" w:hanging="510"/>
        <w:contextualSpacing w:val="0"/>
        <w:rPr>
          <w:rFonts w:cs="Arial"/>
        </w:rPr>
      </w:pPr>
      <w:r w:rsidRPr="00397686">
        <w:rPr>
          <w:rFonts w:cs="Arial"/>
        </w:rPr>
        <w:t>transitions of care for older people (65+</w:t>
      </w:r>
      <w:r w:rsidR="00CE48CE">
        <w:rPr>
          <w:rFonts w:cs="Arial"/>
        </w:rPr>
        <w:t xml:space="preserve"> years</w:t>
      </w:r>
      <w:r w:rsidRPr="00397686">
        <w:rPr>
          <w:rFonts w:cs="Arial"/>
        </w:rPr>
        <w:t>).</w:t>
      </w:r>
    </w:p>
    <w:p w14:paraId="54B8B8D8" w14:textId="77777777" w:rsidR="00BD0DFB" w:rsidRPr="00397686" w:rsidRDefault="00BD0DFB" w:rsidP="00B179F9">
      <w:pPr>
        <w:pStyle w:val="BodytextHQSC"/>
        <w:spacing w:before="100" w:after="100"/>
      </w:pPr>
      <w:r w:rsidRPr="00397686">
        <w:t>To test the robustness of the thematic structure, we mapped the 10 themes to WHO incident classification categories (WHO 2010). The mapping spans clinical administration, clinical processes, infection, medication, staffing, organisational factors and patient accidents. This alignment provides assurance that the themes reflect recognised domains of system safety risk rather than localised or anecdotal issues.</w:t>
      </w:r>
    </w:p>
    <w:p w14:paraId="44D10206" w14:textId="56703D81" w:rsidR="00367EBA" w:rsidRPr="00397686" w:rsidRDefault="00367EBA" w:rsidP="00367EBA">
      <w:pPr>
        <w:pStyle w:val="TablecaptionHQSC"/>
      </w:pPr>
      <w:bookmarkStart w:id="12" w:name="_Toc233888613"/>
      <w:r w:rsidRPr="00397686">
        <w:t>Table 1: World Health Organization incident classification codes and categories and the</w:t>
      </w:r>
      <w:r w:rsidR="00DC1927" w:rsidRPr="00397686">
        <w:t> </w:t>
      </w:r>
      <w:r w:rsidRPr="00397686">
        <w:t>themes of this report</w:t>
      </w:r>
      <w:bookmarkEnd w:id="12"/>
    </w:p>
    <w:tbl>
      <w:tblPr>
        <w:tblStyle w:val="TableGrid"/>
        <w:tblW w:w="0" w:type="auto"/>
        <w:tblLook w:val="04A0" w:firstRow="1" w:lastRow="0" w:firstColumn="1" w:lastColumn="0" w:noHBand="0" w:noVBand="1"/>
      </w:tblPr>
      <w:tblGrid>
        <w:gridCol w:w="1395"/>
        <w:gridCol w:w="4551"/>
        <w:gridCol w:w="3124"/>
      </w:tblGrid>
      <w:tr w:rsidR="00853670" w:rsidRPr="00397686" w14:paraId="64C73A53" w14:textId="77777777" w:rsidTr="00B179F9">
        <w:tc>
          <w:tcPr>
            <w:tcW w:w="1555" w:type="dxa"/>
            <w:tcBorders>
              <w:left w:val="nil"/>
            </w:tcBorders>
            <w:shd w:val="clear" w:color="auto" w:fill="F2F2F2" w:themeFill="background1" w:themeFillShade="F2"/>
          </w:tcPr>
          <w:p w14:paraId="21476FE8" w14:textId="77777777" w:rsidR="00367EBA" w:rsidRPr="00397686" w:rsidRDefault="00367EBA" w:rsidP="00B179F9">
            <w:pPr>
              <w:pStyle w:val="TablecolumnheadingHQSC"/>
              <w:spacing w:before="50" w:after="50"/>
              <w:rPr>
                <w:lang w:eastAsia="en-NZ"/>
              </w:rPr>
            </w:pPr>
            <w:r w:rsidRPr="00397686">
              <w:rPr>
                <w:lang w:eastAsia="en-NZ"/>
              </w:rPr>
              <w:t>WHO code</w:t>
            </w:r>
          </w:p>
        </w:tc>
        <w:tc>
          <w:tcPr>
            <w:tcW w:w="4677" w:type="dxa"/>
            <w:shd w:val="clear" w:color="auto" w:fill="F2F2F2" w:themeFill="background1" w:themeFillShade="F2"/>
          </w:tcPr>
          <w:p w14:paraId="4C9CD4F2" w14:textId="77777777" w:rsidR="00367EBA" w:rsidRPr="00397686" w:rsidRDefault="00367EBA" w:rsidP="00B179F9">
            <w:pPr>
              <w:pStyle w:val="TablecolumnheadingHQSC"/>
              <w:spacing w:before="50" w:after="50"/>
              <w:rPr>
                <w:lang w:eastAsia="en-NZ"/>
              </w:rPr>
            </w:pPr>
            <w:r w:rsidRPr="00397686">
              <w:rPr>
                <w:lang w:eastAsia="en-NZ"/>
              </w:rPr>
              <w:t>WHO category</w:t>
            </w:r>
          </w:p>
        </w:tc>
        <w:tc>
          <w:tcPr>
            <w:tcW w:w="3658" w:type="dxa"/>
            <w:tcBorders>
              <w:right w:val="nil"/>
            </w:tcBorders>
            <w:shd w:val="clear" w:color="auto" w:fill="F2F2F2" w:themeFill="background1" w:themeFillShade="F2"/>
          </w:tcPr>
          <w:p w14:paraId="37A23490" w14:textId="252F9547" w:rsidR="00367EBA" w:rsidRPr="00397686" w:rsidRDefault="00C4408B" w:rsidP="00B179F9">
            <w:pPr>
              <w:pStyle w:val="TablecolumnheadingHQSC"/>
              <w:spacing w:before="50" w:after="50"/>
              <w:rPr>
                <w:lang w:eastAsia="en-NZ"/>
              </w:rPr>
            </w:pPr>
            <w:r>
              <w:rPr>
                <w:lang w:eastAsia="en-NZ"/>
              </w:rPr>
              <w:t>O</w:t>
            </w:r>
            <w:r w:rsidR="00367EBA" w:rsidRPr="00397686">
              <w:rPr>
                <w:lang w:eastAsia="en-NZ"/>
              </w:rPr>
              <w:t>ur themes</w:t>
            </w:r>
          </w:p>
        </w:tc>
      </w:tr>
      <w:tr w:rsidR="00853670" w:rsidRPr="00397686" w14:paraId="5DB08A32" w14:textId="77777777" w:rsidTr="00B179F9">
        <w:tc>
          <w:tcPr>
            <w:tcW w:w="1555" w:type="dxa"/>
            <w:tcBorders>
              <w:left w:val="nil"/>
            </w:tcBorders>
          </w:tcPr>
          <w:p w14:paraId="4A155CF7" w14:textId="77777777" w:rsidR="00367EBA" w:rsidRPr="00397686" w:rsidRDefault="00367EBA" w:rsidP="00B179F9">
            <w:pPr>
              <w:pStyle w:val="TabletextHQSC"/>
              <w:spacing w:before="50" w:after="50"/>
              <w:rPr>
                <w:lang w:eastAsia="en-NZ"/>
              </w:rPr>
            </w:pPr>
            <w:r w:rsidRPr="00397686">
              <w:rPr>
                <w:lang w:eastAsia="en-NZ"/>
              </w:rPr>
              <w:t>1</w:t>
            </w:r>
          </w:p>
        </w:tc>
        <w:tc>
          <w:tcPr>
            <w:tcW w:w="4677" w:type="dxa"/>
          </w:tcPr>
          <w:p w14:paraId="309C4F44" w14:textId="77777777" w:rsidR="00367EBA" w:rsidRPr="00397686" w:rsidRDefault="00367EBA" w:rsidP="00B179F9">
            <w:pPr>
              <w:pStyle w:val="TabletextHQSC"/>
              <w:spacing w:before="50" w:after="50"/>
              <w:rPr>
                <w:lang w:eastAsia="en-NZ"/>
              </w:rPr>
            </w:pPr>
            <w:r w:rsidRPr="00397686">
              <w:rPr>
                <w:lang w:eastAsia="en-NZ"/>
              </w:rPr>
              <w:t>Clinical administration</w:t>
            </w:r>
          </w:p>
        </w:tc>
        <w:tc>
          <w:tcPr>
            <w:tcW w:w="3658" w:type="dxa"/>
            <w:tcBorders>
              <w:right w:val="nil"/>
            </w:tcBorders>
          </w:tcPr>
          <w:p w14:paraId="7799ADE1" w14:textId="77777777" w:rsidR="00367EBA" w:rsidRPr="00397686" w:rsidRDefault="00367EBA" w:rsidP="00B179F9">
            <w:pPr>
              <w:pStyle w:val="TabletextHQSC"/>
              <w:spacing w:before="50" w:after="50"/>
              <w:rPr>
                <w:lang w:eastAsia="en-NZ"/>
              </w:rPr>
            </w:pPr>
            <w:r w:rsidRPr="00397686">
              <w:rPr>
                <w:lang w:eastAsia="en-NZ"/>
              </w:rPr>
              <w:t>9</w:t>
            </w:r>
          </w:p>
        </w:tc>
      </w:tr>
      <w:tr w:rsidR="00853670" w:rsidRPr="00397686" w14:paraId="052C3373" w14:textId="77777777" w:rsidTr="00B179F9">
        <w:tc>
          <w:tcPr>
            <w:tcW w:w="1555" w:type="dxa"/>
            <w:tcBorders>
              <w:left w:val="nil"/>
            </w:tcBorders>
          </w:tcPr>
          <w:p w14:paraId="58B28AF0" w14:textId="77777777" w:rsidR="00367EBA" w:rsidRPr="00397686" w:rsidRDefault="00367EBA" w:rsidP="00B179F9">
            <w:pPr>
              <w:pStyle w:val="TabletextHQSC"/>
              <w:spacing w:before="50" w:after="50"/>
              <w:rPr>
                <w:lang w:eastAsia="en-NZ"/>
              </w:rPr>
            </w:pPr>
            <w:r w:rsidRPr="00397686">
              <w:rPr>
                <w:lang w:eastAsia="en-NZ"/>
              </w:rPr>
              <w:t>2</w:t>
            </w:r>
          </w:p>
        </w:tc>
        <w:tc>
          <w:tcPr>
            <w:tcW w:w="4677" w:type="dxa"/>
            <w:tcBorders>
              <w:bottom w:val="single" w:sz="4" w:space="0" w:color="auto"/>
            </w:tcBorders>
          </w:tcPr>
          <w:p w14:paraId="5488ECCE" w14:textId="77777777" w:rsidR="00367EBA" w:rsidRPr="00397686" w:rsidRDefault="00367EBA" w:rsidP="00B179F9">
            <w:pPr>
              <w:pStyle w:val="TabletextHQSC"/>
              <w:spacing w:before="50" w:after="50"/>
              <w:rPr>
                <w:lang w:eastAsia="en-NZ"/>
              </w:rPr>
            </w:pPr>
            <w:r w:rsidRPr="00397686">
              <w:rPr>
                <w:lang w:eastAsia="en-NZ"/>
              </w:rPr>
              <w:t xml:space="preserve">Clinical process / procedures </w:t>
            </w:r>
          </w:p>
        </w:tc>
        <w:tc>
          <w:tcPr>
            <w:tcW w:w="3658" w:type="dxa"/>
            <w:tcBorders>
              <w:right w:val="nil"/>
            </w:tcBorders>
          </w:tcPr>
          <w:p w14:paraId="23F18FF3" w14:textId="77777777" w:rsidR="00367EBA" w:rsidRPr="00397686" w:rsidRDefault="00367EBA" w:rsidP="00B179F9">
            <w:pPr>
              <w:pStyle w:val="TabletextHQSC"/>
              <w:spacing w:before="50" w:after="50"/>
              <w:rPr>
                <w:lang w:eastAsia="en-NZ"/>
              </w:rPr>
            </w:pPr>
            <w:r w:rsidRPr="00397686">
              <w:rPr>
                <w:lang w:eastAsia="en-NZ"/>
              </w:rPr>
              <w:t>1, 2, 5, 4, 10</w:t>
            </w:r>
          </w:p>
        </w:tc>
      </w:tr>
      <w:tr w:rsidR="00853670" w:rsidRPr="00397686" w14:paraId="2191271D" w14:textId="77777777" w:rsidTr="00B179F9">
        <w:tc>
          <w:tcPr>
            <w:tcW w:w="1555" w:type="dxa"/>
            <w:tcBorders>
              <w:left w:val="nil"/>
            </w:tcBorders>
          </w:tcPr>
          <w:p w14:paraId="0BBE71E9" w14:textId="77777777" w:rsidR="00367EBA" w:rsidRPr="00397686" w:rsidRDefault="00367EBA" w:rsidP="00B179F9">
            <w:pPr>
              <w:pStyle w:val="TabletextHQSC"/>
              <w:spacing w:before="50" w:after="50"/>
              <w:rPr>
                <w:lang w:eastAsia="en-NZ"/>
              </w:rPr>
            </w:pPr>
            <w:r w:rsidRPr="00397686">
              <w:rPr>
                <w:lang w:eastAsia="en-NZ"/>
              </w:rPr>
              <w:t>4</w:t>
            </w:r>
          </w:p>
        </w:tc>
        <w:tc>
          <w:tcPr>
            <w:tcW w:w="4677" w:type="dxa"/>
            <w:tcBorders>
              <w:bottom w:val="nil"/>
            </w:tcBorders>
          </w:tcPr>
          <w:p w14:paraId="2424B4CA" w14:textId="77777777" w:rsidR="00367EBA" w:rsidRPr="00397686" w:rsidRDefault="00367EBA" w:rsidP="00B179F9">
            <w:pPr>
              <w:pStyle w:val="TabletextHQSC"/>
              <w:spacing w:before="50" w:after="50"/>
              <w:rPr>
                <w:lang w:eastAsia="en-NZ"/>
              </w:rPr>
            </w:pPr>
            <w:r w:rsidRPr="00397686">
              <w:rPr>
                <w:lang w:eastAsia="en-NZ"/>
              </w:rPr>
              <w:t>Healthcare-associated infection</w:t>
            </w:r>
          </w:p>
        </w:tc>
        <w:tc>
          <w:tcPr>
            <w:tcW w:w="3658" w:type="dxa"/>
            <w:tcBorders>
              <w:right w:val="nil"/>
            </w:tcBorders>
          </w:tcPr>
          <w:p w14:paraId="2F386540" w14:textId="77777777" w:rsidR="00367EBA" w:rsidRPr="00397686" w:rsidRDefault="00367EBA" w:rsidP="00B179F9">
            <w:pPr>
              <w:pStyle w:val="TabletextHQSC"/>
              <w:spacing w:before="50" w:after="50"/>
              <w:rPr>
                <w:lang w:eastAsia="en-NZ"/>
              </w:rPr>
            </w:pPr>
            <w:r w:rsidRPr="00397686">
              <w:rPr>
                <w:lang w:eastAsia="en-NZ"/>
              </w:rPr>
              <w:t>3</w:t>
            </w:r>
          </w:p>
        </w:tc>
      </w:tr>
      <w:tr w:rsidR="00853670" w:rsidRPr="00397686" w14:paraId="1F00C233" w14:textId="77777777" w:rsidTr="00B179F9">
        <w:tc>
          <w:tcPr>
            <w:tcW w:w="1555" w:type="dxa"/>
            <w:tcBorders>
              <w:left w:val="nil"/>
            </w:tcBorders>
          </w:tcPr>
          <w:p w14:paraId="5896355C" w14:textId="77777777" w:rsidR="00367EBA" w:rsidRPr="00397686" w:rsidRDefault="00367EBA" w:rsidP="00B179F9">
            <w:pPr>
              <w:pStyle w:val="TabletextHQSC"/>
              <w:spacing w:before="50" w:after="50"/>
              <w:rPr>
                <w:lang w:eastAsia="en-NZ"/>
              </w:rPr>
            </w:pPr>
            <w:r w:rsidRPr="00397686">
              <w:rPr>
                <w:lang w:eastAsia="en-NZ"/>
              </w:rPr>
              <w:t>7</w:t>
            </w:r>
          </w:p>
        </w:tc>
        <w:tc>
          <w:tcPr>
            <w:tcW w:w="4677" w:type="dxa"/>
            <w:tcBorders>
              <w:top w:val="nil"/>
            </w:tcBorders>
          </w:tcPr>
          <w:p w14:paraId="158A029C" w14:textId="77777777" w:rsidR="00367EBA" w:rsidRPr="00397686" w:rsidRDefault="00367EBA" w:rsidP="00B179F9">
            <w:pPr>
              <w:pStyle w:val="TabletextHQSC"/>
              <w:spacing w:before="50" w:after="50"/>
              <w:rPr>
                <w:lang w:eastAsia="en-NZ"/>
              </w:rPr>
            </w:pPr>
            <w:r w:rsidRPr="00397686">
              <w:rPr>
                <w:lang w:eastAsia="en-NZ"/>
              </w:rPr>
              <w:t>Medication / IV fluids</w:t>
            </w:r>
          </w:p>
        </w:tc>
        <w:tc>
          <w:tcPr>
            <w:tcW w:w="3658" w:type="dxa"/>
            <w:tcBorders>
              <w:right w:val="nil"/>
            </w:tcBorders>
          </w:tcPr>
          <w:p w14:paraId="6A92DBA2" w14:textId="77777777" w:rsidR="00367EBA" w:rsidRPr="00397686" w:rsidRDefault="00367EBA" w:rsidP="00B179F9">
            <w:pPr>
              <w:pStyle w:val="TabletextHQSC"/>
              <w:spacing w:before="50" w:after="50"/>
              <w:rPr>
                <w:lang w:eastAsia="en-NZ"/>
              </w:rPr>
            </w:pPr>
            <w:r w:rsidRPr="00397686">
              <w:rPr>
                <w:lang w:eastAsia="en-NZ"/>
              </w:rPr>
              <w:t>2</w:t>
            </w:r>
          </w:p>
        </w:tc>
      </w:tr>
      <w:tr w:rsidR="00853670" w:rsidRPr="00397686" w14:paraId="0263C159" w14:textId="77777777" w:rsidTr="00B179F9">
        <w:tc>
          <w:tcPr>
            <w:tcW w:w="1555" w:type="dxa"/>
            <w:tcBorders>
              <w:left w:val="nil"/>
            </w:tcBorders>
          </w:tcPr>
          <w:p w14:paraId="7B26EB07" w14:textId="77777777" w:rsidR="00367EBA" w:rsidRPr="00397686" w:rsidRDefault="00367EBA" w:rsidP="00B179F9">
            <w:pPr>
              <w:pStyle w:val="TabletextHQSC"/>
              <w:spacing w:before="50" w:after="50"/>
              <w:rPr>
                <w:lang w:eastAsia="en-NZ"/>
              </w:rPr>
            </w:pPr>
            <w:r w:rsidRPr="00397686">
              <w:rPr>
                <w:lang w:eastAsia="en-NZ"/>
              </w:rPr>
              <w:t>11</w:t>
            </w:r>
          </w:p>
        </w:tc>
        <w:tc>
          <w:tcPr>
            <w:tcW w:w="4677" w:type="dxa"/>
          </w:tcPr>
          <w:p w14:paraId="1F1356D8" w14:textId="77777777" w:rsidR="00367EBA" w:rsidRPr="00397686" w:rsidRDefault="00367EBA" w:rsidP="00B179F9">
            <w:pPr>
              <w:pStyle w:val="TabletextHQSC"/>
              <w:spacing w:before="50" w:after="50"/>
              <w:rPr>
                <w:lang w:eastAsia="en-NZ"/>
              </w:rPr>
            </w:pPr>
            <w:r w:rsidRPr="00397686">
              <w:rPr>
                <w:lang w:eastAsia="en-NZ"/>
              </w:rPr>
              <w:t xml:space="preserve">Consumer accidents </w:t>
            </w:r>
          </w:p>
        </w:tc>
        <w:tc>
          <w:tcPr>
            <w:tcW w:w="3658" w:type="dxa"/>
            <w:tcBorders>
              <w:right w:val="nil"/>
            </w:tcBorders>
          </w:tcPr>
          <w:p w14:paraId="43F75424" w14:textId="77777777" w:rsidR="00367EBA" w:rsidRPr="00397686" w:rsidRDefault="00367EBA" w:rsidP="00B179F9">
            <w:pPr>
              <w:pStyle w:val="TabletextHQSC"/>
              <w:spacing w:before="50" w:after="50"/>
              <w:rPr>
                <w:lang w:eastAsia="en-NZ"/>
              </w:rPr>
            </w:pPr>
            <w:r w:rsidRPr="00397686">
              <w:rPr>
                <w:lang w:eastAsia="en-NZ"/>
              </w:rPr>
              <w:t>4, 10</w:t>
            </w:r>
          </w:p>
        </w:tc>
      </w:tr>
      <w:tr w:rsidR="00853670" w:rsidRPr="00397686" w14:paraId="0A53CB1B" w14:textId="77777777" w:rsidTr="00B179F9">
        <w:tc>
          <w:tcPr>
            <w:tcW w:w="1555" w:type="dxa"/>
            <w:tcBorders>
              <w:left w:val="nil"/>
            </w:tcBorders>
          </w:tcPr>
          <w:p w14:paraId="47FD25C2" w14:textId="77777777" w:rsidR="00367EBA" w:rsidRPr="00397686" w:rsidRDefault="00367EBA" w:rsidP="00B179F9">
            <w:pPr>
              <w:pStyle w:val="TabletextHQSC"/>
              <w:spacing w:before="50" w:after="50"/>
              <w:rPr>
                <w:lang w:eastAsia="en-NZ"/>
              </w:rPr>
            </w:pPr>
            <w:r w:rsidRPr="00397686">
              <w:rPr>
                <w:lang w:eastAsia="en-NZ"/>
              </w:rPr>
              <w:t>14</w:t>
            </w:r>
          </w:p>
        </w:tc>
        <w:tc>
          <w:tcPr>
            <w:tcW w:w="4677" w:type="dxa"/>
          </w:tcPr>
          <w:p w14:paraId="559E66AF" w14:textId="77777777" w:rsidR="00367EBA" w:rsidRPr="00397686" w:rsidRDefault="00367EBA" w:rsidP="00B179F9">
            <w:pPr>
              <w:pStyle w:val="TabletextHQSC"/>
              <w:spacing w:before="50" w:after="50"/>
              <w:rPr>
                <w:lang w:eastAsia="en-NZ"/>
              </w:rPr>
            </w:pPr>
            <w:r w:rsidRPr="00397686">
              <w:rPr>
                <w:lang w:eastAsia="en-NZ"/>
              </w:rPr>
              <w:t xml:space="preserve">Resources/organisational/management </w:t>
            </w:r>
          </w:p>
        </w:tc>
        <w:tc>
          <w:tcPr>
            <w:tcW w:w="3658" w:type="dxa"/>
            <w:tcBorders>
              <w:right w:val="nil"/>
            </w:tcBorders>
          </w:tcPr>
          <w:p w14:paraId="38D624F0" w14:textId="77777777" w:rsidR="00367EBA" w:rsidRPr="00397686" w:rsidRDefault="00367EBA" w:rsidP="00B179F9">
            <w:pPr>
              <w:pStyle w:val="TabletextHQSC"/>
              <w:spacing w:before="50" w:after="50"/>
              <w:rPr>
                <w:lang w:eastAsia="en-NZ"/>
              </w:rPr>
            </w:pPr>
            <w:r w:rsidRPr="00397686">
              <w:rPr>
                <w:lang w:eastAsia="en-NZ"/>
              </w:rPr>
              <w:t>6, 7, 8, 9, 10</w:t>
            </w:r>
          </w:p>
        </w:tc>
      </w:tr>
    </w:tbl>
    <w:p w14:paraId="61D50020" w14:textId="77777777" w:rsidR="00910621" w:rsidRPr="00397686" w:rsidRDefault="00910621" w:rsidP="00B179F9">
      <w:pPr>
        <w:pStyle w:val="Heading1HQSC"/>
        <w:keepLines w:val="0"/>
        <w:pageBreakBefore/>
      </w:pPr>
      <w:bookmarkStart w:id="13" w:name="_Toc227169413"/>
      <w:bookmarkStart w:id="14" w:name="_Toc233888604"/>
      <w:r w:rsidRPr="00397686">
        <w:lastRenderedPageBreak/>
        <w:t>Overview of the 10 themes</w:t>
      </w:r>
      <w:bookmarkEnd w:id="13"/>
      <w:bookmarkEnd w:id="14"/>
    </w:p>
    <w:p w14:paraId="4372B640" w14:textId="7D8C64AD" w:rsidR="00910621" w:rsidRPr="00397686" w:rsidRDefault="00910621" w:rsidP="00910621">
      <w:pPr>
        <w:pStyle w:val="BodytextHQSC"/>
      </w:pPr>
      <w:r w:rsidRPr="00397686">
        <w:t xml:space="preserve">Our themes provided a structured understanding of where harm is occurring across the </w:t>
      </w:r>
      <w:r w:rsidR="000B2BFB">
        <w:t xml:space="preserve">health and disability </w:t>
      </w:r>
      <w:r w:rsidRPr="00397686">
        <w:t>system, the system conditions associated with</w:t>
      </w:r>
      <w:r w:rsidR="00285D03">
        <w:t xml:space="preserve"> that</w:t>
      </w:r>
      <w:r w:rsidRPr="00397686" w:rsidDel="00EE04EE">
        <w:t xml:space="preserve"> </w:t>
      </w:r>
      <w:r w:rsidRPr="00397686">
        <w:t>harm and shared system</w:t>
      </w:r>
      <w:r w:rsidRPr="00397686">
        <w:rPr>
          <w:rFonts w:ascii="Cambria Math" w:hAnsi="Cambria Math" w:cs="Cambria Math"/>
        </w:rPr>
        <w:t>‑</w:t>
      </w:r>
      <w:r w:rsidRPr="00397686">
        <w:t>level risk signals from multiple data sources across the system.</w:t>
      </w:r>
      <w:r w:rsidR="00D94CB3" w:rsidRPr="00397686">
        <w:t xml:space="preserve"> </w:t>
      </w:r>
      <w:r w:rsidRPr="00397686">
        <w:t>We have also identified where work is underway or completed to address some of the issues identified within these areas.</w:t>
      </w:r>
    </w:p>
    <w:p w14:paraId="7C29930A" w14:textId="77777777" w:rsidR="00910621" w:rsidRPr="00397686" w:rsidRDefault="00910621" w:rsidP="0027226A">
      <w:pPr>
        <w:pStyle w:val="Heading3HQSC"/>
        <w:rPr>
          <w:rFonts w:eastAsia="Arial"/>
        </w:rPr>
      </w:pPr>
      <w:r w:rsidRPr="00397686">
        <w:rPr>
          <w:rFonts w:eastAsia="Arial"/>
        </w:rPr>
        <w:t>Theme 1 – Timeliness and transitions of care</w:t>
      </w:r>
    </w:p>
    <w:p w14:paraId="22C67AEF" w14:textId="4ED55E52" w:rsidR="00910621" w:rsidRPr="00397686" w:rsidRDefault="00910621" w:rsidP="0027226A">
      <w:pPr>
        <w:pStyle w:val="BodytextHQSC"/>
      </w:pPr>
      <w:r w:rsidRPr="00397686">
        <w:t xml:space="preserve">Care pathways between primary, community and hospital services are not </w:t>
      </w:r>
      <w:r w:rsidR="004A3E2E">
        <w:t>universally reliable</w:t>
      </w:r>
      <w:r w:rsidRPr="00397686">
        <w:t>. Delays in diagnosis, specialist assessment, treatment initiation and follow</w:t>
      </w:r>
      <w:r w:rsidRPr="00397686">
        <w:rPr>
          <w:rFonts w:ascii="Cambria Math" w:hAnsi="Cambria Math" w:cs="Cambria Math"/>
        </w:rPr>
        <w:t>‑</w:t>
      </w:r>
      <w:r w:rsidRPr="00397686">
        <w:t>up contribute to potentially avoidable deterioration and harm, particularly during transitions between services.</w:t>
      </w:r>
    </w:p>
    <w:p w14:paraId="3366F9D1" w14:textId="3DC69295" w:rsidR="00910621" w:rsidRPr="00397686" w:rsidRDefault="00910621" w:rsidP="0027226A">
      <w:pPr>
        <w:pStyle w:val="BodytextHQSC"/>
        <w:rPr>
          <w:color w:val="0A0A0A"/>
          <w:shd w:val="clear" w:color="auto" w:fill="FFFFFF"/>
        </w:rPr>
      </w:pPr>
      <w:r w:rsidRPr="00397686">
        <w:t xml:space="preserve">The </w:t>
      </w:r>
      <w:r w:rsidRPr="00397686">
        <w:rPr>
          <w:color w:val="0A0A0A"/>
          <w:shd w:val="clear" w:color="auto" w:fill="FFFFFF"/>
        </w:rPr>
        <w:t xml:space="preserve">New Zealand Health Plan (Te Pae Waenga) (Health NZ 2025b) was launched </w:t>
      </w:r>
      <w:r w:rsidR="000168E9">
        <w:rPr>
          <w:color w:val="0A0A0A"/>
          <w:shd w:val="clear" w:color="auto" w:fill="FFFFFF"/>
        </w:rPr>
        <w:t>in</w:t>
      </w:r>
      <w:r w:rsidRPr="00397686">
        <w:rPr>
          <w:color w:val="0A0A0A"/>
          <w:shd w:val="clear" w:color="auto" w:fill="FFFFFF"/>
        </w:rPr>
        <w:t xml:space="preserve"> August 2025. It </w:t>
      </w:r>
      <w:r w:rsidR="000168E9">
        <w:rPr>
          <w:color w:val="0A0A0A"/>
          <w:shd w:val="clear" w:color="auto" w:fill="FFFFFF"/>
        </w:rPr>
        <w:t>aims to</w:t>
      </w:r>
      <w:r w:rsidRPr="00397686" w:rsidDel="000168E9">
        <w:t xml:space="preserve"> </w:t>
      </w:r>
      <w:r w:rsidR="000168E9" w:rsidRPr="00397686">
        <w:t>improv</w:t>
      </w:r>
      <w:r w:rsidR="000168E9">
        <w:t>e</w:t>
      </w:r>
      <w:r w:rsidRPr="00397686">
        <w:t xml:space="preserve"> health care access, focused</w:t>
      </w:r>
      <w:r w:rsidRPr="00397686">
        <w:rPr>
          <w:color w:val="0A0A0A"/>
          <w:shd w:val="clear" w:color="auto" w:fill="FFFFFF"/>
        </w:rPr>
        <w:t xml:space="preserve"> on faster cancer treatment, reduced emergency department wait times and strengthening primary </w:t>
      </w:r>
      <w:r w:rsidR="000168E9">
        <w:rPr>
          <w:color w:val="0A0A0A"/>
          <w:shd w:val="clear" w:color="auto" w:fill="FFFFFF"/>
        </w:rPr>
        <w:t xml:space="preserve">health </w:t>
      </w:r>
      <w:r w:rsidRPr="00397686">
        <w:rPr>
          <w:color w:val="0A0A0A"/>
          <w:shd w:val="clear" w:color="auto" w:fill="FFFFFF"/>
        </w:rPr>
        <w:t xml:space="preserve">care to enable consistent and equitable care across New Zealand. </w:t>
      </w:r>
    </w:p>
    <w:p w14:paraId="264471D1" w14:textId="77777777" w:rsidR="0027226A" w:rsidRPr="00397686" w:rsidRDefault="00910621" w:rsidP="0027226A">
      <w:pPr>
        <w:pStyle w:val="Heading3HQSC"/>
        <w:rPr>
          <w:rFonts w:eastAsia="Arial"/>
        </w:rPr>
      </w:pPr>
      <w:r w:rsidRPr="00397686">
        <w:rPr>
          <w:rFonts w:eastAsia="Arial"/>
        </w:rPr>
        <w:t>Theme 2 – Procedure and clinical process reliability</w:t>
      </w:r>
    </w:p>
    <w:p w14:paraId="309CB882" w14:textId="7066B170" w:rsidR="00910621" w:rsidRPr="00397686" w:rsidRDefault="00053117" w:rsidP="0027226A">
      <w:pPr>
        <w:pStyle w:val="BodytextHQSC"/>
      </w:pPr>
      <w:r>
        <w:t>As a generic theme</w:t>
      </w:r>
      <w:r w:rsidR="000168E9">
        <w:t>,</w:t>
      </w:r>
      <w:r>
        <w:t xml:space="preserve"> clinical processes are embedded within the other themes identified below. </w:t>
      </w:r>
      <w:r w:rsidR="008243E8">
        <w:t>More specifically</w:t>
      </w:r>
      <w:r w:rsidR="000168E9">
        <w:t>,</w:t>
      </w:r>
      <w:r w:rsidR="008243E8">
        <w:t xml:space="preserve"> however, p</w:t>
      </w:r>
      <w:r w:rsidR="00910621" w:rsidRPr="00397686">
        <w:t xml:space="preserve">ersistent safety issues </w:t>
      </w:r>
      <w:r w:rsidR="00ED1D97" w:rsidRPr="00397686">
        <w:t>are evident</w:t>
      </w:r>
      <w:r w:rsidR="00910621" w:rsidRPr="00397686">
        <w:t xml:space="preserve"> related to informed consent and handover documentation, diagnostic </w:t>
      </w:r>
      <w:r w:rsidR="00910621" w:rsidRPr="00397686">
        <w:rPr>
          <w:spacing w:val="-2"/>
        </w:rPr>
        <w:t>and procedural errors, retained surgical items, dental equipment and medical device incidents</w:t>
      </w:r>
      <w:r w:rsidR="00910621" w:rsidRPr="00397686">
        <w:t>, transfusion</w:t>
      </w:r>
      <w:r w:rsidR="00910621" w:rsidRPr="00397686">
        <w:rPr>
          <w:rFonts w:ascii="Cambria Math" w:hAnsi="Cambria Math" w:cs="Cambria Math"/>
        </w:rPr>
        <w:t>‑</w:t>
      </w:r>
      <w:r w:rsidR="00910621" w:rsidRPr="00397686">
        <w:t>related events, medication harm related to anticoagulation and antiplatelet-related events.</w:t>
      </w:r>
      <w:r w:rsidR="00146CFC" w:rsidDel="00053117">
        <w:t xml:space="preserve"> </w:t>
      </w:r>
      <w:r w:rsidR="00910621" w:rsidRPr="00397686">
        <w:t>There is variability in the reliability of core clinical processes and safeguards, particularly under</w:t>
      </w:r>
      <w:r w:rsidR="00EF2084">
        <w:t xml:space="preserve"> systems</w:t>
      </w:r>
      <w:r w:rsidR="00910621" w:rsidRPr="00397686">
        <w:t xml:space="preserve"> pressure.</w:t>
      </w:r>
    </w:p>
    <w:p w14:paraId="075F1338" w14:textId="6AEBC45C" w:rsidR="00910621" w:rsidRPr="00397686" w:rsidRDefault="00910621" w:rsidP="0027226A">
      <w:pPr>
        <w:pStyle w:val="BodytextHQSC"/>
      </w:pPr>
      <w:r w:rsidRPr="00397686">
        <w:rPr>
          <w:spacing w:val="-2"/>
        </w:rPr>
        <w:t>The Commission has worked with the health sector to improve procedure and clinical proces</w:t>
      </w:r>
      <w:r w:rsidRPr="00397686">
        <w:t xml:space="preserve">s reliability. </w:t>
      </w:r>
      <w:r w:rsidRPr="6B11BE35">
        <w:rPr>
          <w:rFonts w:ascii="Helvetica" w:hAnsi="Helvetica" w:cs="Helvetica"/>
          <w:shd w:val="clear" w:color="auto" w:fill="FFFFFF"/>
        </w:rPr>
        <w:t>Since 2012, the Commission has been encouraging hospitals to use the WHO’s Surgical Safety Checklist</w:t>
      </w:r>
      <w:r w:rsidR="0027226A" w:rsidRPr="6B11BE35">
        <w:rPr>
          <w:rFonts w:ascii="Helvetica" w:hAnsi="Helvetica" w:cs="Helvetica"/>
          <w:shd w:val="clear" w:color="auto" w:fill="FFFFFF"/>
        </w:rPr>
        <w:t>.</w:t>
      </w:r>
      <w:r w:rsidRPr="576316F8">
        <w:rPr>
          <w:rStyle w:val="FootnoteReference"/>
          <w:rFonts w:ascii="Helvetica" w:hAnsi="Helvetica" w:cs="Helvetica"/>
        </w:rPr>
        <w:footnoteReference w:id="3"/>
      </w:r>
      <w:r w:rsidRPr="6B11BE35">
        <w:rPr>
          <w:rFonts w:ascii="Helvetica" w:hAnsi="Helvetica" w:cs="Helvetica"/>
          <w:shd w:val="clear" w:color="auto" w:fill="FFFFFF"/>
        </w:rPr>
        <w:t xml:space="preserve"> More recently, the Commission has developed </w:t>
      </w:r>
      <w:r w:rsidRPr="00397686">
        <w:t>a national anticoagulation stewardship programme, with the intention of promoting safe, high-quality care by improving the use of anticoagulants within health care settings.</w:t>
      </w:r>
    </w:p>
    <w:p w14:paraId="28BE1146" w14:textId="77777777" w:rsidR="0027226A" w:rsidRPr="00397686" w:rsidRDefault="00910621" w:rsidP="0027226A">
      <w:pPr>
        <w:pStyle w:val="Heading3HQSC"/>
        <w:rPr>
          <w:rFonts w:eastAsia="Arial"/>
        </w:rPr>
      </w:pPr>
      <w:r w:rsidRPr="00397686">
        <w:rPr>
          <w:rFonts w:eastAsia="Arial"/>
        </w:rPr>
        <w:t>Theme 3 – Infection and sepsis risk</w:t>
      </w:r>
    </w:p>
    <w:p w14:paraId="65710377" w14:textId="6508BCD3" w:rsidR="00910621" w:rsidRPr="00397686" w:rsidRDefault="00910621" w:rsidP="0027226A">
      <w:pPr>
        <w:pStyle w:val="BodytextHQSC"/>
      </w:pPr>
      <w:r w:rsidRPr="00397686">
        <w:t>Ongoing infection prevention and control issues are evident, including missed or delayed laboratory results, IV line</w:t>
      </w:r>
      <w:r w:rsidRPr="00397686">
        <w:rPr>
          <w:rFonts w:ascii="Cambria Math" w:hAnsi="Cambria Math" w:cs="Cambria Math"/>
        </w:rPr>
        <w:t>‑</w:t>
      </w:r>
      <w:r w:rsidRPr="00397686">
        <w:t>associated infection, post</w:t>
      </w:r>
      <w:r w:rsidRPr="00397686">
        <w:rPr>
          <w:rFonts w:ascii="Cambria Math" w:hAnsi="Cambria Math" w:cs="Cambria Math"/>
        </w:rPr>
        <w:t>‑</w:t>
      </w:r>
      <w:r w:rsidRPr="00397686">
        <w:t xml:space="preserve">operative infections and sepsis. Sepsis events are associated with high severity </w:t>
      </w:r>
      <w:r w:rsidR="0003020D">
        <w:t xml:space="preserve">harm </w:t>
      </w:r>
      <w:r w:rsidRPr="00397686">
        <w:t>and fatality for patients.</w:t>
      </w:r>
      <w:r w:rsidR="00D94CB3" w:rsidRPr="00397686">
        <w:t xml:space="preserve"> </w:t>
      </w:r>
    </w:p>
    <w:p w14:paraId="3B9EC7F1" w14:textId="7CD2C5E4" w:rsidR="00910621" w:rsidRPr="00397686" w:rsidRDefault="00910621" w:rsidP="00B179F9">
      <w:pPr>
        <w:pStyle w:val="BodytextHQSC"/>
        <w:keepLines/>
      </w:pPr>
      <w:r w:rsidRPr="00397686">
        <w:lastRenderedPageBreak/>
        <w:t>The Commission worked with Sepsis Trust NZ and a multidisciplinary sepsis technical advisory group</w:t>
      </w:r>
      <w:r w:rsidR="00AC4A79">
        <w:t>,</w:t>
      </w:r>
      <w:r w:rsidR="00853C74">
        <w:t xml:space="preserve"> including</w:t>
      </w:r>
      <w:r w:rsidRPr="00397686">
        <w:t xml:space="preserve"> representatives from clinical professional bodies, to develop a sepsis quality improvement package (HQSC nd(b)). The</w:t>
      </w:r>
      <w:r w:rsidR="004E138B">
        <w:t>se</w:t>
      </w:r>
      <w:r w:rsidRPr="00397686">
        <w:t xml:space="preserve"> </w:t>
      </w:r>
      <w:r w:rsidR="00E337E1" w:rsidRPr="00397686">
        <w:t xml:space="preserve">evidence-informed </w:t>
      </w:r>
      <w:r w:rsidRPr="00397686">
        <w:t>resources support a standard approach for health professionals working in hospitals or in pre-hospital community settings</w:t>
      </w:r>
      <w:r w:rsidR="00514779">
        <w:t xml:space="preserve"> and</w:t>
      </w:r>
      <w:r w:rsidRPr="00397686">
        <w:t xml:space="preserve"> include sepsis pathway tools, clinical and measurement guides and learning material</w:t>
      </w:r>
      <w:r w:rsidR="00092C19">
        <w:t>s</w:t>
      </w:r>
      <w:r w:rsidR="00AC4A79">
        <w:t>,</w:t>
      </w:r>
      <w:r w:rsidR="00092C19">
        <w:t xml:space="preserve"> which together</w:t>
      </w:r>
      <w:r w:rsidRPr="00397686" w:rsidDel="00092C19">
        <w:t xml:space="preserve"> </w:t>
      </w:r>
      <w:r w:rsidRPr="00397686">
        <w:t>improve early recognition and treatment of</w:t>
      </w:r>
      <w:r w:rsidR="00B179F9" w:rsidRPr="00397686">
        <w:t> </w:t>
      </w:r>
      <w:r w:rsidRPr="00397686">
        <w:t>patients with sepsis. Health NZ has prioritised a sepsis work programme to commence in</w:t>
      </w:r>
      <w:r w:rsidR="00B179F9" w:rsidRPr="00397686">
        <w:t> </w:t>
      </w:r>
      <w:r w:rsidRPr="00397686">
        <w:t xml:space="preserve">2027. </w:t>
      </w:r>
    </w:p>
    <w:p w14:paraId="77D828B6" w14:textId="77777777" w:rsidR="00833889" w:rsidRPr="00397686" w:rsidRDefault="00910621" w:rsidP="00833889">
      <w:pPr>
        <w:pStyle w:val="Heading3HQSC"/>
        <w:rPr>
          <w:rFonts w:eastAsia="Arial"/>
        </w:rPr>
      </w:pPr>
      <w:r w:rsidRPr="00397686">
        <w:rPr>
          <w:rFonts w:eastAsia="Arial"/>
        </w:rPr>
        <w:t xml:space="preserve">Theme 4 – Pressure injuries and falls </w:t>
      </w:r>
    </w:p>
    <w:p w14:paraId="55694EFA" w14:textId="75A90EAD" w:rsidR="00910621" w:rsidRPr="00397686" w:rsidRDefault="00910621" w:rsidP="00821491">
      <w:pPr>
        <w:pStyle w:val="BodytextHQSC"/>
      </w:pPr>
      <w:r w:rsidRPr="00397686">
        <w:t xml:space="preserve">In 2022/23, there was a </w:t>
      </w:r>
      <w:r w:rsidRPr="00397686">
        <w:rPr>
          <w:rFonts w:eastAsia="Aptos"/>
        </w:rPr>
        <w:t>sustained increase in non-hospital-acquired pressure injuries (NHAPIs), and in 2023/24</w:t>
      </w:r>
      <w:r w:rsidR="00AC4A79">
        <w:rPr>
          <w:rFonts w:eastAsia="Aptos"/>
        </w:rPr>
        <w:t>,</w:t>
      </w:r>
      <w:r w:rsidRPr="00397686">
        <w:rPr>
          <w:rFonts w:eastAsia="Aptos"/>
        </w:rPr>
        <w:t xml:space="preserve"> t</w:t>
      </w:r>
      <w:r w:rsidRPr="00397686">
        <w:t>here was a sustained increase in reported harm events for hospital-acquired pressure injuries (HAPI) of stage 3</w:t>
      </w:r>
      <w:r w:rsidR="00AC4A79">
        <w:t xml:space="preserve"> and</w:t>
      </w:r>
      <w:r w:rsidRPr="00397686">
        <w:t xml:space="preserve"> 4 or unstageable. </w:t>
      </w:r>
    </w:p>
    <w:p w14:paraId="4407B246" w14:textId="1EC33EBE" w:rsidR="00910621" w:rsidRPr="00397686" w:rsidRDefault="00910621" w:rsidP="00821491">
      <w:pPr>
        <w:pStyle w:val="BodytextHQSC"/>
      </w:pPr>
      <w:r w:rsidRPr="00397686">
        <w:t>Collaboration</w:t>
      </w:r>
      <w:r w:rsidRPr="00397686" w:rsidDel="00011595">
        <w:t xml:space="preserve"> </w:t>
      </w:r>
      <w:r w:rsidRPr="00397686">
        <w:t xml:space="preserve">between ACC, Health NZ and </w:t>
      </w:r>
      <w:r w:rsidRPr="00397686">
        <w:rPr>
          <w:lang w:eastAsia="en-GB"/>
        </w:rPr>
        <w:t xml:space="preserve">the Commission resulted in </w:t>
      </w:r>
      <w:r w:rsidRPr="00397686">
        <w:t xml:space="preserve">further analysis using the national minimum dataset and ACC treatment injury claims. </w:t>
      </w:r>
      <w:r w:rsidR="008F1265">
        <w:t>D</w:t>
      </w:r>
      <w:r w:rsidRPr="00397686">
        <w:t>ata</w:t>
      </w:r>
      <w:r w:rsidRPr="00397686" w:rsidDel="00011595">
        <w:t xml:space="preserve"> </w:t>
      </w:r>
      <w:r w:rsidR="008F1265">
        <w:t>was</w:t>
      </w:r>
      <w:r w:rsidRPr="00397686">
        <w:t xml:space="preserve"> group</w:t>
      </w:r>
      <w:r w:rsidR="00746E10">
        <w:t xml:space="preserve">ed </w:t>
      </w:r>
      <w:r w:rsidRPr="00397686">
        <w:t xml:space="preserve">according to age and ethnicity. The NHAPI analysis was presented to the </w:t>
      </w:r>
      <w:r w:rsidRPr="00397686">
        <w:rPr>
          <w:spacing w:val="-2"/>
        </w:rPr>
        <w:t>National Quality Forum in 2025</w:t>
      </w:r>
      <w:r w:rsidR="00AE7BBD">
        <w:rPr>
          <w:spacing w:val="-2"/>
        </w:rPr>
        <w:t>,</w:t>
      </w:r>
      <w:r w:rsidRPr="00397686">
        <w:rPr>
          <w:rStyle w:val="FootnoteReference"/>
          <w:rFonts w:eastAsia="Arial"/>
          <w:spacing w:val="-2"/>
        </w:rPr>
        <w:footnoteReference w:id="4"/>
      </w:r>
      <w:r w:rsidR="000E3A4A">
        <w:rPr>
          <w:spacing w:val="-2"/>
        </w:rPr>
        <w:t>and i</w:t>
      </w:r>
      <w:r w:rsidRPr="00397686">
        <w:rPr>
          <w:spacing w:val="-2"/>
        </w:rPr>
        <w:t>t was agreed that the Commission would lead a</w:t>
      </w:r>
      <w:r w:rsidR="003A498D">
        <w:rPr>
          <w:spacing w:val="-2"/>
        </w:rPr>
        <w:t xml:space="preserve"> community</w:t>
      </w:r>
      <w:r w:rsidR="0032151E">
        <w:rPr>
          <w:spacing w:val="-2"/>
        </w:rPr>
        <w:t>-</w:t>
      </w:r>
      <w:r w:rsidR="003A498D">
        <w:rPr>
          <w:spacing w:val="-2"/>
        </w:rPr>
        <w:t>based</w:t>
      </w:r>
      <w:r w:rsidR="00A95013">
        <w:rPr>
          <w:spacing w:val="-2"/>
        </w:rPr>
        <w:t xml:space="preserve"> improvement</w:t>
      </w:r>
      <w:r w:rsidR="00EE751C">
        <w:rPr>
          <w:spacing w:val="-2"/>
        </w:rPr>
        <w:t xml:space="preserve"> </w:t>
      </w:r>
      <w:r w:rsidRPr="00397686">
        <w:t>project related to NHAPI harm</w:t>
      </w:r>
      <w:r w:rsidR="0004381C">
        <w:t>.</w:t>
      </w:r>
      <w:r w:rsidR="00140139">
        <w:t xml:space="preserve"> </w:t>
      </w:r>
      <w:r w:rsidRPr="00397686">
        <w:t xml:space="preserve">This </w:t>
      </w:r>
      <w:r w:rsidRPr="00397686" w:rsidDel="0058635A">
        <w:t xml:space="preserve">is </w:t>
      </w:r>
      <w:r w:rsidRPr="00397686">
        <w:t>currently under</w:t>
      </w:r>
      <w:r w:rsidR="0058635A">
        <w:t>way</w:t>
      </w:r>
      <w:r w:rsidRPr="00397686">
        <w:t xml:space="preserve"> (</w:t>
      </w:r>
      <w:r w:rsidR="00AE7BBD">
        <w:t>HQSC</w:t>
      </w:r>
      <w:r w:rsidRPr="00397686">
        <w:t xml:space="preserve"> 2025b)</w:t>
      </w:r>
      <w:r w:rsidR="00644A66">
        <w:t>, with</w:t>
      </w:r>
      <w:r w:rsidR="00075FB8">
        <w:t xml:space="preserve"> </w:t>
      </w:r>
      <w:r w:rsidR="00644A66">
        <w:t>t</w:t>
      </w:r>
      <w:r w:rsidRPr="00397686">
        <w:t>he focus</w:t>
      </w:r>
      <w:r w:rsidRPr="00397686" w:rsidDel="00075FB8">
        <w:t xml:space="preserve"> </w:t>
      </w:r>
      <w:r w:rsidRPr="00397686">
        <w:t>on NHAPIs</w:t>
      </w:r>
      <w:r w:rsidRPr="00397686">
        <w:rPr>
          <w:color w:val="000000"/>
        </w:rPr>
        <w:t xml:space="preserve"> for Pacific and M</w:t>
      </w:r>
      <w:r w:rsidRPr="00AE7BBD">
        <w:rPr>
          <w:color w:val="000000"/>
        </w:rPr>
        <w:t>ā</w:t>
      </w:r>
      <w:r w:rsidRPr="00397686">
        <w:rPr>
          <w:color w:val="000000"/>
        </w:rPr>
        <w:t xml:space="preserve">ori aged 75+ </w:t>
      </w:r>
      <w:r w:rsidR="00AE7BBD">
        <w:rPr>
          <w:color w:val="000000"/>
        </w:rPr>
        <w:t>years</w:t>
      </w:r>
      <w:r w:rsidRPr="00397686">
        <w:rPr>
          <w:color w:val="000000"/>
        </w:rPr>
        <w:t xml:space="preserve"> in Counties Manukau District. </w:t>
      </w:r>
    </w:p>
    <w:p w14:paraId="764EFF05" w14:textId="42303DA3" w:rsidR="00910621" w:rsidRPr="00397686" w:rsidRDefault="00910621" w:rsidP="00821491">
      <w:pPr>
        <w:pStyle w:val="BodytextHQSC"/>
        <w:rPr>
          <w:rFonts w:eastAsia="Times New Roman"/>
          <w:lang w:eastAsia="en-NZ"/>
        </w:rPr>
      </w:pPr>
      <w:r w:rsidRPr="00397686">
        <w:t xml:space="preserve">Following analysis of ACC-accepted treatment injury claims, HAPIs remain a persistent safety signal. There has been significant historical investment by ACC in reducing HAPIs, and the Commission has monitored clinical practice through the HAPI QSM. Health NZ </w:t>
      </w:r>
      <w:r w:rsidRPr="00397686">
        <w:rPr>
          <w:rFonts w:eastAsia="Times New Roman"/>
          <w:lang w:eastAsia="en-NZ"/>
        </w:rPr>
        <w:t xml:space="preserve">districts collect the clinical practice data for the HAPI QSM, </w:t>
      </w:r>
      <w:r w:rsidR="008602BF">
        <w:rPr>
          <w:rFonts w:eastAsia="Times New Roman"/>
          <w:lang w:eastAsia="en-NZ"/>
        </w:rPr>
        <w:t xml:space="preserve">which measures </w:t>
      </w:r>
      <w:r w:rsidRPr="00397686">
        <w:rPr>
          <w:rFonts w:eastAsia="Times New Roman"/>
          <w:lang w:eastAsia="en-NZ"/>
        </w:rPr>
        <w:t xml:space="preserve">completion </w:t>
      </w:r>
      <w:r w:rsidR="00543BBF">
        <w:rPr>
          <w:rFonts w:eastAsia="Times New Roman"/>
          <w:lang w:eastAsia="en-NZ"/>
        </w:rPr>
        <w:t>rates for</w:t>
      </w:r>
      <w:r w:rsidRPr="00397686">
        <w:rPr>
          <w:rFonts w:eastAsia="Times New Roman"/>
          <w:lang w:eastAsia="en-NZ"/>
        </w:rPr>
        <w:t xml:space="preserve"> pressure injury assessment</w:t>
      </w:r>
      <w:r w:rsidR="005D04BE">
        <w:rPr>
          <w:rFonts w:eastAsia="Times New Roman"/>
          <w:lang w:eastAsia="en-NZ"/>
        </w:rPr>
        <w:t>s</w:t>
      </w:r>
      <w:r w:rsidRPr="00397686">
        <w:rPr>
          <w:rFonts w:eastAsia="Times New Roman"/>
          <w:lang w:eastAsia="en-NZ"/>
        </w:rPr>
        <w:t xml:space="preserve"> and individualised care plan for high-risk patients. </w:t>
      </w:r>
      <w:r w:rsidRPr="00397686">
        <w:t>Health NZ is actively monitoring its Health Round</w:t>
      </w:r>
      <w:r w:rsidR="00552101">
        <w:t>t</w:t>
      </w:r>
      <w:r w:rsidRPr="00397686">
        <w:t>able</w:t>
      </w:r>
      <w:r w:rsidR="00552101">
        <w:rPr>
          <w:rStyle w:val="FootnoteReference"/>
        </w:rPr>
        <w:footnoteReference w:id="5"/>
      </w:r>
      <w:r w:rsidRPr="00397686">
        <w:t xml:space="preserve"> data for stage 3 and 4 or unstageable HAPIs. There appear</w:t>
      </w:r>
      <w:r w:rsidR="005A09C3">
        <w:t>s</w:t>
      </w:r>
      <w:r w:rsidRPr="00397686">
        <w:t xml:space="preserve"> to be a system learning opportunity to understand what other system issues are contributing to HAPIs, for example</w:t>
      </w:r>
      <w:r w:rsidR="005A09C3">
        <w:t>,</w:t>
      </w:r>
      <w:r w:rsidRPr="00397686">
        <w:t xml:space="preserve"> barriers to individualised care planning or easy access to appropriate equipment. </w:t>
      </w:r>
    </w:p>
    <w:p w14:paraId="4F9A499E" w14:textId="4E6A2BBE" w:rsidR="00910621" w:rsidRPr="00397686" w:rsidRDefault="005A09C3" w:rsidP="00821491">
      <w:pPr>
        <w:pStyle w:val="BodytextHQSC"/>
        <w:rPr>
          <w:rFonts w:eastAsia="Times New Roman"/>
          <w:lang w:eastAsia="en-NZ"/>
        </w:rPr>
      </w:pPr>
      <w:r>
        <w:rPr>
          <w:spacing w:val="-2"/>
          <w:lang w:eastAsia="en-GB"/>
        </w:rPr>
        <w:t>Historically, t</w:t>
      </w:r>
      <w:r w:rsidR="00910621" w:rsidRPr="00397686">
        <w:rPr>
          <w:spacing w:val="-2"/>
          <w:lang w:eastAsia="en-GB"/>
        </w:rPr>
        <w:t>he Commission has focused on a falls prevention quality improvement programm</w:t>
      </w:r>
      <w:r w:rsidR="00910621" w:rsidRPr="00397686">
        <w:rPr>
          <w:lang w:eastAsia="en-GB"/>
        </w:rPr>
        <w:t>e and currently makes its ‘</w:t>
      </w:r>
      <w:r w:rsidR="00910621" w:rsidRPr="00397686">
        <w:rPr>
          <w:rFonts w:eastAsia="Times New Roman"/>
          <w:lang w:eastAsia="en-NZ"/>
        </w:rPr>
        <w:t xml:space="preserve">10 topics in reducing harm from falls’ resources available to the </w:t>
      </w:r>
      <w:r w:rsidR="00836FCA">
        <w:rPr>
          <w:rFonts w:eastAsia="Times New Roman"/>
          <w:lang w:eastAsia="en-NZ"/>
        </w:rPr>
        <w:t xml:space="preserve">health </w:t>
      </w:r>
      <w:r w:rsidR="00910621" w:rsidRPr="00397686">
        <w:rPr>
          <w:rFonts w:eastAsia="Times New Roman"/>
          <w:lang w:eastAsia="en-NZ"/>
        </w:rPr>
        <w:t>sector to support the prevention of falls and reduce harm from falls in older people.</w:t>
      </w:r>
      <w:r w:rsidR="00B179F9" w:rsidRPr="00397686">
        <w:rPr>
          <w:rFonts w:eastAsia="Times New Roman"/>
          <w:lang w:eastAsia="en-NZ"/>
        </w:rPr>
        <w:t xml:space="preserve"> </w:t>
      </w:r>
      <w:r w:rsidR="00910621" w:rsidRPr="00397686">
        <w:rPr>
          <w:rFonts w:eastAsia="Times New Roman"/>
          <w:lang w:eastAsia="en-NZ"/>
        </w:rPr>
        <w:t>Following this focused quality improvement programme, which ran from 2012–2018</w:t>
      </w:r>
      <w:r w:rsidR="00836FCA">
        <w:rPr>
          <w:rFonts w:eastAsia="Times New Roman"/>
          <w:lang w:eastAsia="en-NZ"/>
        </w:rPr>
        <w:t>,</w:t>
      </w:r>
      <w:r w:rsidR="00910621" w:rsidRPr="00397686">
        <w:rPr>
          <w:lang w:eastAsia="en-GB"/>
        </w:rPr>
        <w:t xml:space="preserve"> there </w:t>
      </w:r>
      <w:r w:rsidR="00910621" w:rsidRPr="00397686">
        <w:rPr>
          <w:rFonts w:eastAsia="Times New Roman"/>
          <w:lang w:eastAsia="en-NZ"/>
        </w:rPr>
        <w:t>has been</w:t>
      </w:r>
      <w:r w:rsidR="00910621" w:rsidRPr="00397686">
        <w:rPr>
          <w:lang w:eastAsia="en-GB"/>
        </w:rPr>
        <w:t xml:space="preserve"> a sustained reduction in </w:t>
      </w:r>
      <w:r w:rsidR="00910621" w:rsidRPr="00397686">
        <w:rPr>
          <w:rFonts w:eastAsia="Times New Roman"/>
          <w:lang w:eastAsia="en-NZ"/>
        </w:rPr>
        <w:t>falls that resulted in life-saving intervention</w:t>
      </w:r>
      <w:r w:rsidR="00453182">
        <w:rPr>
          <w:rFonts w:eastAsia="Times New Roman"/>
          <w:lang w:eastAsia="en-NZ"/>
        </w:rPr>
        <w:t>s</w:t>
      </w:r>
      <w:r w:rsidR="00910621" w:rsidRPr="00397686">
        <w:rPr>
          <w:rFonts w:eastAsia="Times New Roman"/>
          <w:lang w:eastAsia="en-NZ"/>
        </w:rPr>
        <w:t xml:space="preserve"> or death or fracture of a major bone. </w:t>
      </w:r>
    </w:p>
    <w:p w14:paraId="3066F959" w14:textId="77777777" w:rsidR="00821491" w:rsidRPr="00397686" w:rsidRDefault="00910621" w:rsidP="00821491">
      <w:pPr>
        <w:pStyle w:val="Heading3HQSC"/>
        <w:rPr>
          <w:rFonts w:eastAsia="Arial"/>
        </w:rPr>
      </w:pPr>
      <w:r w:rsidRPr="00397686">
        <w:rPr>
          <w:rFonts w:eastAsia="Arial"/>
        </w:rPr>
        <w:lastRenderedPageBreak/>
        <w:t>Theme 5 – Escalation and early recognition of deterioration</w:t>
      </w:r>
    </w:p>
    <w:p w14:paraId="6D071454" w14:textId="633BEAA4" w:rsidR="00910621" w:rsidRPr="00397686" w:rsidRDefault="00910621" w:rsidP="00E30726">
      <w:pPr>
        <w:pStyle w:val="BodytextHQSC"/>
        <w:spacing w:before="100" w:after="100"/>
      </w:pPr>
      <w:r w:rsidRPr="00397686">
        <w:t xml:space="preserve">Recognition and response to patient deterioration and delayed recognition and escalation contribute to serious harm. Evidence shows that early recognition is more reliable where vital signs monitoring and escalation pathways are visible, understood and consistently applied, whilst harm persists when recognition, escalation or response is delayed. Early warning systems support identification of patient deterioration and require sustained emphasis on </w:t>
      </w:r>
      <w:r w:rsidRPr="00397686">
        <w:rPr>
          <w:spacing w:val="-2"/>
        </w:rPr>
        <w:t>reliability, timely clinical response and sufficient health workforce capacity. They are designed t</w:t>
      </w:r>
      <w:r w:rsidRPr="00397686">
        <w:t>o support timely recognition and escalation of patient deterioration through structured observation and response pathways. The Commission has supported more consistent use of</w:t>
      </w:r>
      <w:r w:rsidR="001C0502" w:rsidRPr="00397686">
        <w:t> </w:t>
      </w:r>
      <w:r w:rsidRPr="00397686">
        <w:t>early warning systems across hospital settings</w:t>
      </w:r>
      <w:r w:rsidR="0095283A">
        <w:t>.</w:t>
      </w:r>
      <w:r w:rsidRPr="00397686">
        <w:t> </w:t>
      </w:r>
    </w:p>
    <w:p w14:paraId="43A3C3DD" w14:textId="6A99597D" w:rsidR="00910621" w:rsidRPr="00397686" w:rsidRDefault="00910621" w:rsidP="00E30726">
      <w:pPr>
        <w:pStyle w:val="BodytextHQSC"/>
        <w:spacing w:before="100" w:after="100"/>
      </w:pPr>
      <w:r w:rsidRPr="00397686">
        <w:t>The Commission developed and facilitated implementation of national standardised early warning systems to help clinicians identify when a patient's condition starts to get worse and</w:t>
      </w:r>
      <w:r w:rsidR="00B179F9" w:rsidRPr="00397686">
        <w:t> </w:t>
      </w:r>
      <w:r w:rsidRPr="00397686">
        <w:t>support them in their escalation processes: the New Zealand Early Warning System</w:t>
      </w:r>
      <w:r w:rsidR="00116D81">
        <w:t>,</w:t>
      </w:r>
      <w:r w:rsidRPr="00397686">
        <w:t xml:space="preserve"> for</w:t>
      </w:r>
      <w:r w:rsidR="00B179F9" w:rsidRPr="00397686">
        <w:t> </w:t>
      </w:r>
      <w:r w:rsidRPr="00397686">
        <w:t>adults in inpatient hospital settings</w:t>
      </w:r>
      <w:r w:rsidR="00116D81">
        <w:t>;</w:t>
      </w:r>
      <w:r w:rsidRPr="00397686">
        <w:t xml:space="preserve"> the Maternal Early Warning System</w:t>
      </w:r>
      <w:r w:rsidR="008D358A">
        <w:t>,</w:t>
      </w:r>
      <w:r w:rsidRPr="00397686">
        <w:t xml:space="preserve"> for pregnant or recently pregnant women in hospital settings</w:t>
      </w:r>
      <w:r w:rsidR="008D358A">
        <w:t>;</w:t>
      </w:r>
      <w:r w:rsidRPr="00397686">
        <w:t xml:space="preserve"> and the Paediatric Early Warning System, for children and young people in paediatric settings. All of these</w:t>
      </w:r>
      <w:r w:rsidRPr="00397686" w:rsidDel="00366367">
        <w:t xml:space="preserve"> </w:t>
      </w:r>
      <w:r w:rsidRPr="00397686">
        <w:t>apply the same principles but use age and condition</w:t>
      </w:r>
      <w:r w:rsidRPr="00397686">
        <w:rPr>
          <w:rFonts w:ascii="Cambria Math" w:hAnsi="Cambria Math" w:cs="Cambria Math"/>
        </w:rPr>
        <w:t>‑</w:t>
      </w:r>
      <w:r w:rsidRPr="00397686">
        <w:t>appropriate parameters where clinical presentation and normal physiological ranges differ. Escalation pathways were developed by each district to reflect local settings</w:t>
      </w:r>
      <w:r w:rsidR="00D273EC">
        <w:t xml:space="preserve"> </w:t>
      </w:r>
      <w:r w:rsidR="009714A9">
        <w:t>that</w:t>
      </w:r>
      <w:r w:rsidRPr="00397686">
        <w:t xml:space="preserve"> recognise the different context and resourcing. </w:t>
      </w:r>
    </w:p>
    <w:p w14:paraId="7C9DDE1B" w14:textId="60EC0619" w:rsidR="00910621" w:rsidRPr="00397686" w:rsidRDefault="00910621" w:rsidP="00E30726">
      <w:pPr>
        <w:pStyle w:val="BodytextHQSC"/>
        <w:spacing w:before="100" w:after="100"/>
      </w:pPr>
      <w:r w:rsidRPr="00397686">
        <w:t>This focused quality improvement</w:t>
      </w:r>
      <w:r w:rsidR="00770DFD">
        <w:t xml:space="preserve"> initiative</w:t>
      </w:r>
      <w:r w:rsidRPr="00397686">
        <w:t xml:space="preserve"> has resulted in a sustained reduction in serious harm events reported to the Commission for delayed recognition of patient deterioration resulting in death, cardiopulmonary resuscitation or severe loss of function (Infographic 2023/24). </w:t>
      </w:r>
    </w:p>
    <w:p w14:paraId="4F5EB66E" w14:textId="05E5FC15" w:rsidR="00910621" w:rsidRPr="00397686" w:rsidRDefault="00910621" w:rsidP="00E30726">
      <w:pPr>
        <w:pStyle w:val="BodytextHQSC"/>
        <w:spacing w:before="100" w:after="100"/>
      </w:pPr>
      <w:r w:rsidRPr="00397686">
        <w:t>The Commission is currently supporting the implementation of the Deterioration Early Warning System, designed for use in aged residential care settings. Research shows that older people living in aged residential care often experience subtle or atypical signs of acute</w:t>
      </w:r>
      <w:r w:rsidR="00B179F9" w:rsidRPr="00397686">
        <w:t> </w:t>
      </w:r>
      <w:r w:rsidRPr="00397686">
        <w:t>deterioration that are not well captured by hospital</w:t>
      </w:r>
      <w:r w:rsidRPr="00397686">
        <w:rPr>
          <w:rFonts w:ascii="Cambria Math" w:hAnsi="Cambria Math" w:cs="Cambria Math"/>
        </w:rPr>
        <w:t>‑</w:t>
      </w:r>
      <w:r w:rsidRPr="00397686">
        <w:t>based early warning tools. The Deterioration Early Warning System</w:t>
      </w:r>
      <w:r w:rsidRPr="00397686" w:rsidDel="00195023">
        <w:t xml:space="preserve"> </w:t>
      </w:r>
      <w:r w:rsidRPr="00397686">
        <w:t>supports health care assistants to notice day</w:t>
      </w:r>
      <w:r w:rsidRPr="00397686">
        <w:rPr>
          <w:rFonts w:ascii="Cambria Math" w:hAnsi="Cambria Math" w:cs="Cambria Math"/>
        </w:rPr>
        <w:t>‑</w:t>
      </w:r>
      <w:r w:rsidRPr="00397686">
        <w:t>to</w:t>
      </w:r>
      <w:r w:rsidRPr="00397686">
        <w:rPr>
          <w:rFonts w:ascii="Cambria Math" w:hAnsi="Cambria Math" w:cs="Cambria Math"/>
        </w:rPr>
        <w:t>‑</w:t>
      </w:r>
      <w:r w:rsidRPr="00397686">
        <w:t>day changes that may indicate acute deterioration, triggering a structured nursing assessment and a standardised escalation pathway.</w:t>
      </w:r>
    </w:p>
    <w:p w14:paraId="00861C6C" w14:textId="77777777" w:rsidR="009572EB" w:rsidRPr="00397686" w:rsidRDefault="00910621" w:rsidP="00B179F9">
      <w:pPr>
        <w:pStyle w:val="Heading3HQSC"/>
        <w:spacing w:before="240"/>
        <w:rPr>
          <w:rFonts w:eastAsia="Arial"/>
        </w:rPr>
      </w:pPr>
      <w:r w:rsidRPr="00397686">
        <w:rPr>
          <w:rFonts w:eastAsia="Arial"/>
        </w:rPr>
        <w:t>Theme 6 – Workforce capacity and sustainability</w:t>
      </w:r>
    </w:p>
    <w:p w14:paraId="7F898747" w14:textId="4DED6283" w:rsidR="00910621" w:rsidRPr="00397686" w:rsidRDefault="00910621" w:rsidP="009572EB">
      <w:pPr>
        <w:pStyle w:val="BodytextHQSC"/>
      </w:pPr>
      <w:r w:rsidRPr="00397686">
        <w:t>Sustained workforce pressure</w:t>
      </w:r>
      <w:r w:rsidR="00AF4DED">
        <w:t>s</w:t>
      </w:r>
      <w:r w:rsidRPr="00397686">
        <w:t xml:space="preserve"> include normalisation of inadequate staffing; reliance on discretionary effort; reduced continuity of care and challenges with supervision and skill mix,</w:t>
      </w:r>
      <w:r w:rsidR="00B179F9" w:rsidRPr="00397686">
        <w:t> </w:t>
      </w:r>
      <w:r w:rsidRPr="00397686">
        <w:t>particularly in high-acuity, fast-paced clinical environments.</w:t>
      </w:r>
    </w:p>
    <w:p w14:paraId="5A17AF85" w14:textId="77777777" w:rsidR="00910621" w:rsidRPr="00397686" w:rsidRDefault="00910621" w:rsidP="009572EB">
      <w:pPr>
        <w:pStyle w:val="BodytextHQSC"/>
      </w:pPr>
      <w:r w:rsidRPr="00397686">
        <w:t xml:space="preserve">The </w:t>
      </w:r>
      <w:r w:rsidRPr="00397686">
        <w:rPr>
          <w:color w:val="0A0A0A"/>
          <w:shd w:val="clear" w:color="auto" w:fill="FFFFFF"/>
        </w:rPr>
        <w:t xml:space="preserve">New Zealand Health Plan (Te Pae Waenga) (Health NZ 2025b) is </w:t>
      </w:r>
      <w:r w:rsidRPr="00397686">
        <w:t>aimed at improving health care access, workforce support and clinical leadership</w:t>
      </w:r>
      <w:r w:rsidRPr="00397686">
        <w:rPr>
          <w:color w:val="0A0A0A"/>
          <w:shd w:val="clear" w:color="auto" w:fill="FFFFFF"/>
        </w:rPr>
        <w:t xml:space="preserve">. </w:t>
      </w:r>
    </w:p>
    <w:p w14:paraId="31C24570" w14:textId="77777777" w:rsidR="009572EB" w:rsidRPr="00397686" w:rsidRDefault="00910621" w:rsidP="00B179F9">
      <w:pPr>
        <w:pStyle w:val="Heading3HQSC"/>
        <w:spacing w:before="240"/>
        <w:rPr>
          <w:rFonts w:eastAsia="Arial"/>
        </w:rPr>
      </w:pPr>
      <w:r w:rsidRPr="00397686">
        <w:rPr>
          <w:rFonts w:eastAsia="Arial"/>
        </w:rPr>
        <w:t>Theme 7 – Clinical governance maturity and feedback loops</w:t>
      </w:r>
    </w:p>
    <w:p w14:paraId="59B55D8D" w14:textId="2D6F8844" w:rsidR="00910621" w:rsidRPr="00397686" w:rsidRDefault="00910621" w:rsidP="009572EB">
      <w:pPr>
        <w:pStyle w:val="BodytextHQSC"/>
      </w:pPr>
      <w:r w:rsidRPr="00397686">
        <w:t xml:space="preserve">Feedback from alerts, learning from harm reviews, complaints and incident analysis </w:t>
      </w:r>
      <w:r w:rsidR="00183E0A">
        <w:t>do</w:t>
      </w:r>
      <w:r w:rsidRPr="00397686">
        <w:t xml:space="preserve"> not always translate into timely or sustained system change. In some areas, known safety </w:t>
      </w:r>
      <w:r w:rsidRPr="00397686">
        <w:lastRenderedPageBreak/>
        <w:t>initiatives are not yet consistently embedded or reliably applied in everyday practice, contributing to the persistence of previously identified risks.</w:t>
      </w:r>
    </w:p>
    <w:p w14:paraId="1DD2DB11" w14:textId="03305EC5" w:rsidR="00910621" w:rsidRPr="00397686" w:rsidRDefault="00910621" w:rsidP="00E30726">
      <w:pPr>
        <w:pStyle w:val="BodytextHQSC"/>
        <w:spacing w:after="100" w:line="290" w:lineRule="atLeast"/>
      </w:pPr>
      <w:r w:rsidRPr="00397686">
        <w:t xml:space="preserve">Clinical governance </w:t>
      </w:r>
      <w:r w:rsidR="00310DD7">
        <w:t>is a mechanism to</w:t>
      </w:r>
      <w:r w:rsidRPr="00397686">
        <w:t xml:space="preserve"> provide accountability for quality of care and to improve consumer experience and outcomes. In November 2024, the Commission published the </w:t>
      </w:r>
      <w:r w:rsidRPr="00397686">
        <w:rPr>
          <w:i/>
        </w:rPr>
        <w:t xml:space="preserve">Collaborating for </w:t>
      </w:r>
      <w:r w:rsidRPr="00397686">
        <w:rPr>
          <w:i/>
          <w:iCs/>
        </w:rPr>
        <w:t>Quality</w:t>
      </w:r>
      <w:r w:rsidRPr="00397686">
        <w:rPr>
          <w:i/>
        </w:rPr>
        <w:t xml:space="preserve">: A framework for clinical governance | He mahi ngātahi kia kounga: He anga hei whakahaere whare </w:t>
      </w:r>
      <w:r w:rsidRPr="00397686">
        <w:rPr>
          <w:i/>
          <w:iCs/>
        </w:rPr>
        <w:t xml:space="preserve">haumanu </w:t>
      </w:r>
      <w:r w:rsidRPr="00397686">
        <w:t>(HQSC 2024c)</w:t>
      </w:r>
      <w:r w:rsidRPr="00397686">
        <w:rPr>
          <w:i/>
          <w:iCs/>
        </w:rPr>
        <w:t>.</w:t>
      </w:r>
      <w:r w:rsidR="00D94CB3" w:rsidRPr="00397686">
        <w:rPr>
          <w:i/>
          <w:iCs/>
        </w:rPr>
        <w:t xml:space="preserve"> </w:t>
      </w:r>
      <w:r w:rsidRPr="00397686">
        <w:t>It sets out a high-level framework for clinical governance in health and disability services across New Zealand and contains updated views on system safety, quality and equity to achieve a learning and responsive system for all populations. The Commission is working in partnership with Health NZ to support regional clinical governance; it held two regional workshops to this end (Central (Te Ikaroa) and the South Island (Te Waipounamu)). The Commission is also working with other health and disability providers to support their clinical governance arrangements, such as non-government organisations and public health</w:t>
      </w:r>
      <w:r w:rsidR="00053048" w:rsidRPr="00397686">
        <w:t> </w:t>
      </w:r>
      <w:r w:rsidRPr="00397686">
        <w:t>organisations.</w:t>
      </w:r>
    </w:p>
    <w:p w14:paraId="11833D67" w14:textId="77777777" w:rsidR="009572EB" w:rsidRPr="00397686" w:rsidRDefault="00910621" w:rsidP="00E30726">
      <w:pPr>
        <w:pStyle w:val="Heading3HQSC"/>
        <w:spacing w:before="240"/>
        <w:rPr>
          <w:rFonts w:eastAsia="Arial"/>
        </w:rPr>
      </w:pPr>
      <w:r w:rsidRPr="00397686">
        <w:rPr>
          <w:rFonts w:eastAsia="Arial"/>
        </w:rPr>
        <w:t>Theme 8 – Data visibility and quality improvement capacity</w:t>
      </w:r>
    </w:p>
    <w:p w14:paraId="3D2AE3C8" w14:textId="10789931" w:rsidR="00910621" w:rsidRPr="00397686" w:rsidRDefault="00877B82" w:rsidP="00E30726">
      <w:pPr>
        <w:pStyle w:val="BodytextHQSC"/>
        <w:spacing w:before="100" w:after="100" w:line="290" w:lineRule="atLeast"/>
      </w:pPr>
      <w:r>
        <w:t>To drive quality improvement, f</w:t>
      </w:r>
      <w:r w:rsidR="00910621" w:rsidRPr="00397686">
        <w:t>ront-line teams require timely, local visibility of issues, supported by accessible safety information and analytical capability. Digital enablement and quality improvement capacity vary across settings, reducing the system’s ability to detect, respond to and learn from harm</w:t>
      </w:r>
      <w:r w:rsidR="00053048" w:rsidRPr="00397686">
        <w:t> </w:t>
      </w:r>
      <w:r w:rsidR="00910621" w:rsidRPr="00397686">
        <w:t>consistently.</w:t>
      </w:r>
    </w:p>
    <w:p w14:paraId="317149DF" w14:textId="289626AA" w:rsidR="00910621" w:rsidRPr="00397686" w:rsidRDefault="00910621" w:rsidP="00E30726">
      <w:pPr>
        <w:pStyle w:val="BodytextHQSC"/>
        <w:spacing w:before="100" w:after="100" w:line="290" w:lineRule="atLeast"/>
        <w:rPr>
          <w:rFonts w:cstheme="minorHAnsi"/>
        </w:rPr>
      </w:pPr>
      <w:r w:rsidRPr="00397686">
        <w:rPr>
          <w:rFonts w:cstheme="minorHAnsi"/>
        </w:rPr>
        <w:t>The Health NZ Centre for Digital Modernisation of Health was established to provide assurance on deliverability, scalability and reproducibility of digital health initiatives. It has a</w:t>
      </w:r>
      <w:r w:rsidR="00053048" w:rsidRPr="00397686">
        <w:rPr>
          <w:rFonts w:cstheme="minorHAnsi"/>
        </w:rPr>
        <w:t> </w:t>
      </w:r>
      <w:r w:rsidRPr="00397686">
        <w:rPr>
          <w:rFonts w:cstheme="minorHAnsi"/>
        </w:rPr>
        <w:t xml:space="preserve">focus on integrating clinical input and leadership into digital projects and ensuring robust governance and accountability. Health NZ proposed 10-year road map, the </w:t>
      </w:r>
      <w:r w:rsidRPr="00397686">
        <w:rPr>
          <w:rFonts w:cstheme="minorHAnsi"/>
          <w:i/>
        </w:rPr>
        <w:t>Health Digital Investment Plan</w:t>
      </w:r>
      <w:r w:rsidRPr="00397686">
        <w:rPr>
          <w:rFonts w:cstheme="minorHAnsi"/>
        </w:rPr>
        <w:t xml:space="preserve"> (Health NZ 2025a), details strategic direction, governance, clinical leadership integration and the phased approach to digital transformation.</w:t>
      </w:r>
    </w:p>
    <w:p w14:paraId="622BBE29" w14:textId="2C39C386" w:rsidR="00910621" w:rsidRPr="00397686" w:rsidRDefault="00910621" w:rsidP="00E30726">
      <w:pPr>
        <w:pStyle w:val="BodytextHQSC"/>
        <w:spacing w:before="100" w:after="100" w:line="290" w:lineRule="atLeast"/>
      </w:pPr>
      <w:r w:rsidRPr="00397686">
        <w:t>In July 2024, the Commission transferred its Ako tahi hei whakapai ake i te kounga | Improving together: Building capability for quality and safety education programme</w:t>
      </w:r>
      <w:r w:rsidRPr="00397686" w:rsidDel="006C2BEF">
        <w:t xml:space="preserve"> </w:t>
      </w:r>
      <w:r w:rsidRPr="00397686">
        <w:t>to Health NZ. This programme</w:t>
      </w:r>
      <w:r w:rsidRPr="00397686" w:rsidDel="00A54D72">
        <w:t xml:space="preserve"> </w:t>
      </w:r>
      <w:r w:rsidRPr="00397686">
        <w:t xml:space="preserve">had been in place since 2021. </w:t>
      </w:r>
      <w:r w:rsidRPr="00397686">
        <w:rPr>
          <w:color w:val="0A0A0A"/>
          <w:shd w:val="clear" w:color="auto" w:fill="FFFFFF"/>
        </w:rPr>
        <w:t xml:space="preserve">It is </w:t>
      </w:r>
      <w:r w:rsidRPr="00397686">
        <w:t>designed to build skills in system improvement and evidence-based change, enabling</w:t>
      </w:r>
      <w:r w:rsidRPr="00397686">
        <w:rPr>
          <w:color w:val="0A0A0A"/>
          <w:shd w:val="clear" w:color="auto" w:fill="FFFFFF"/>
        </w:rPr>
        <w:t xml:space="preserve"> health professionals to lead quality improvement projects, focusing on system-wide change</w:t>
      </w:r>
      <w:r w:rsidR="0013273E">
        <w:rPr>
          <w:color w:val="0A0A0A"/>
          <w:shd w:val="clear" w:color="auto" w:fill="FFFFFF"/>
        </w:rPr>
        <w:t>s</w:t>
      </w:r>
      <w:r w:rsidRPr="00397686">
        <w:rPr>
          <w:color w:val="0A0A0A"/>
          <w:shd w:val="clear" w:color="auto" w:fill="FFFFFF"/>
        </w:rPr>
        <w:t xml:space="preserve"> </w:t>
      </w:r>
      <w:r w:rsidR="00440186">
        <w:rPr>
          <w:color w:val="0A0A0A"/>
          <w:shd w:val="clear" w:color="auto" w:fill="FFFFFF"/>
        </w:rPr>
        <w:t xml:space="preserve">that </w:t>
      </w:r>
      <w:r w:rsidR="002000D9">
        <w:rPr>
          <w:color w:val="0A0A0A"/>
          <w:shd w:val="clear" w:color="auto" w:fill="FFFFFF"/>
        </w:rPr>
        <w:t xml:space="preserve">improve </w:t>
      </w:r>
      <w:r w:rsidR="00440186" w:rsidRPr="00397686">
        <w:t>patient safety</w:t>
      </w:r>
      <w:r w:rsidRPr="00397686">
        <w:rPr>
          <w:color w:val="0A0A0A"/>
          <w:shd w:val="clear" w:color="auto" w:fill="FFFFFF"/>
        </w:rPr>
        <w:t>.</w:t>
      </w:r>
      <w:r w:rsidRPr="00397686">
        <w:t xml:space="preserve"> Health NZ has continued to deliver the programme</w:t>
      </w:r>
      <w:r w:rsidRPr="00397686">
        <w:rPr>
          <w:iCs/>
        </w:rPr>
        <w:t>,</w:t>
      </w:r>
      <w:r w:rsidRPr="00397686">
        <w:t xml:space="preserve"> which is accessible to the workforce across health and disability sector. </w:t>
      </w:r>
    </w:p>
    <w:p w14:paraId="22634C7D" w14:textId="77777777" w:rsidR="009572EB" w:rsidRPr="00397686" w:rsidRDefault="00910621" w:rsidP="00E30726">
      <w:pPr>
        <w:pStyle w:val="Heading3HQSC"/>
        <w:spacing w:before="240"/>
        <w:rPr>
          <w:rFonts w:eastAsia="Arial"/>
        </w:rPr>
      </w:pPr>
      <w:r w:rsidRPr="00397686">
        <w:rPr>
          <w:rFonts w:eastAsia="Arial"/>
        </w:rPr>
        <w:t>Theme 9 – Equity and cultural safety</w:t>
      </w:r>
    </w:p>
    <w:p w14:paraId="432B160B" w14:textId="77B69BA6" w:rsidR="00910621" w:rsidRPr="00397686" w:rsidRDefault="00910621" w:rsidP="00E30726">
      <w:pPr>
        <w:pStyle w:val="BodytextHQSC"/>
        <w:spacing w:before="100" w:after="100" w:line="290" w:lineRule="atLeast"/>
      </w:pPr>
      <w:r w:rsidRPr="00397686">
        <w:t>Access barriers and advocacy gaps disproportionately affect Māori, rural communities, older people and people with complex or high needs. Stratified analysis by ethnicity, rurality and deprivation is required to understand differential exposure to risk and outcomes.</w:t>
      </w:r>
    </w:p>
    <w:p w14:paraId="66F97418" w14:textId="77777777" w:rsidR="00910621" w:rsidRPr="00397686" w:rsidRDefault="00910621" w:rsidP="00E30726">
      <w:pPr>
        <w:pStyle w:val="BodytextHQSC"/>
        <w:spacing w:before="100" w:after="100" w:line="290" w:lineRule="atLeast"/>
        <w:rPr>
          <w:rFonts w:eastAsia="Times New Roman"/>
          <w:lang w:eastAsia="en-NZ"/>
        </w:rPr>
      </w:pPr>
      <w:r w:rsidRPr="00397686">
        <w:rPr>
          <w:rFonts w:eastAsia="Times New Roman"/>
          <w:lang w:eastAsia="en-NZ"/>
        </w:rPr>
        <w:t xml:space="preserve">The Commission’s Equity Explorer provides information on how health and health care varies between groups of people and between districts within New Zealand. </w:t>
      </w:r>
    </w:p>
    <w:p w14:paraId="0785EDAB" w14:textId="08EC993D" w:rsidR="009572EB" w:rsidRPr="00397686" w:rsidRDefault="00910621" w:rsidP="00E30726">
      <w:pPr>
        <w:pStyle w:val="Heading3HQSC"/>
        <w:spacing w:before="240"/>
        <w:rPr>
          <w:rFonts w:eastAsia="Arial"/>
        </w:rPr>
      </w:pPr>
      <w:r w:rsidRPr="00397686">
        <w:rPr>
          <w:rFonts w:eastAsia="Arial"/>
        </w:rPr>
        <w:t>Theme 10 – Transitions of care for older people (65+</w:t>
      </w:r>
      <w:r w:rsidR="001375D4">
        <w:rPr>
          <w:rFonts w:eastAsia="Arial"/>
        </w:rPr>
        <w:t xml:space="preserve"> years</w:t>
      </w:r>
      <w:r w:rsidRPr="00397686">
        <w:rPr>
          <w:rFonts w:eastAsia="Arial"/>
        </w:rPr>
        <w:t>)</w:t>
      </w:r>
    </w:p>
    <w:p w14:paraId="0AE79D3B" w14:textId="48CDA9FF" w:rsidR="00910621" w:rsidRPr="00397686" w:rsidRDefault="00910621" w:rsidP="00E30726">
      <w:pPr>
        <w:pStyle w:val="BodytextHQSC"/>
        <w:spacing w:before="100" w:after="100" w:line="290" w:lineRule="atLeast"/>
      </w:pPr>
      <w:r w:rsidRPr="00397686">
        <w:t xml:space="preserve">Older people experience higher health needs and more frequent interaction with the health </w:t>
      </w:r>
      <w:r w:rsidR="00453182">
        <w:t xml:space="preserve">and disability </w:t>
      </w:r>
      <w:r w:rsidRPr="00397686">
        <w:t xml:space="preserve">system. Issues associated with transitions of care are compounded by frailty, </w:t>
      </w:r>
      <w:r w:rsidRPr="00397686">
        <w:lastRenderedPageBreak/>
        <w:t>workforce pressure, governance limitations and system capability, particularly across hospital, community and aged residential care settings.</w:t>
      </w:r>
    </w:p>
    <w:p w14:paraId="000D14A3" w14:textId="77777777" w:rsidR="0039297D" w:rsidRPr="00397686" w:rsidRDefault="0039297D" w:rsidP="0039297D">
      <w:pPr>
        <w:pStyle w:val="Heading2HQSC"/>
      </w:pPr>
      <w:bookmarkStart w:id="15" w:name="_Toc227169414"/>
      <w:bookmarkStart w:id="16" w:name="_Toc233888605"/>
      <w:r w:rsidRPr="00397686">
        <w:t>Rationale for selection of priority focus areas</w:t>
      </w:r>
      <w:bookmarkEnd w:id="15"/>
      <w:bookmarkEnd w:id="16"/>
    </w:p>
    <w:p w14:paraId="10DD4FB7" w14:textId="72EBBE97" w:rsidR="0039297D" w:rsidRPr="00397686" w:rsidRDefault="0039297D" w:rsidP="00B46F6E">
      <w:pPr>
        <w:pStyle w:val="BodytextHQSC"/>
        <w:spacing w:before="100" w:after="100" w:line="290" w:lineRule="atLeast"/>
      </w:pPr>
      <w:r w:rsidRPr="00397686">
        <w:t>The 10 system</w:t>
      </w:r>
      <w:r w:rsidRPr="00397686">
        <w:rPr>
          <w:rFonts w:ascii="Cambria Math" w:hAnsi="Cambria Math" w:cs="Cambria Math"/>
        </w:rPr>
        <w:t>‑</w:t>
      </w:r>
      <w:r w:rsidRPr="00397686">
        <w:t xml:space="preserve">level themes provide a comprehensive description of where and how system safety risk has manifested across </w:t>
      </w:r>
      <w:r w:rsidRPr="007F47D0">
        <w:t>the system</w:t>
      </w:r>
      <w:r w:rsidRPr="00397686">
        <w:rPr>
          <w:i/>
          <w:iCs/>
        </w:rPr>
        <w:t xml:space="preserve"> </w:t>
      </w:r>
      <w:r w:rsidRPr="00397686">
        <w:t>and highlight system</w:t>
      </w:r>
      <w:r w:rsidR="00445098">
        <w:t>-</w:t>
      </w:r>
      <w:r w:rsidRPr="00397686">
        <w:t xml:space="preserve">learning opportunities. </w:t>
      </w:r>
    </w:p>
    <w:p w14:paraId="1547D030" w14:textId="59F48CDE" w:rsidR="0039297D" w:rsidRPr="00397686" w:rsidRDefault="00645E02" w:rsidP="00B46F6E">
      <w:pPr>
        <w:pStyle w:val="BodytextHQSC"/>
        <w:spacing w:before="100" w:after="100" w:line="290" w:lineRule="atLeast"/>
      </w:pPr>
      <w:r>
        <w:t>A</w:t>
      </w:r>
      <w:r w:rsidR="0039297D" w:rsidRPr="00397686">
        <w:t xml:space="preserve"> deliberate prioritisation </w:t>
      </w:r>
      <w:r w:rsidR="00E064AE">
        <w:t>exercise</w:t>
      </w:r>
      <w:r w:rsidR="0039297D" w:rsidRPr="00397686">
        <w:t xml:space="preserve"> identif</w:t>
      </w:r>
      <w:r w:rsidR="00931D26">
        <w:t>ied</w:t>
      </w:r>
      <w:r w:rsidR="0039297D" w:rsidRPr="00397686">
        <w:t xml:space="preserve"> which themes should be elevated for focused action, drawing on the shared evidence presented in this report and </w:t>
      </w:r>
      <w:r w:rsidR="007E0F18">
        <w:t xml:space="preserve">reflecting </w:t>
      </w:r>
      <w:r w:rsidR="0039297D" w:rsidRPr="00397686">
        <w:t>where focused quality improvement has already been undertaken. Through this process, we identified three priority system learning opportunities: procedure and clinical process reliability, hospital-acquired pressure injuries and transitions of care for older people.</w:t>
      </w:r>
    </w:p>
    <w:p w14:paraId="7F0A851D" w14:textId="652934C3" w:rsidR="0039297D" w:rsidRPr="00397686" w:rsidRDefault="0039297D" w:rsidP="0039297D">
      <w:pPr>
        <w:pStyle w:val="Heading2HQSC"/>
      </w:pPr>
      <w:bookmarkStart w:id="17" w:name="_Toc227169415"/>
      <w:bookmarkStart w:id="18" w:name="_Toc233888606"/>
      <w:r w:rsidRPr="00397686">
        <w:t>System learning opportunity: procedure and clinical process reliability</w:t>
      </w:r>
      <w:bookmarkEnd w:id="17"/>
      <w:bookmarkEnd w:id="18"/>
    </w:p>
    <w:p w14:paraId="00AF507E" w14:textId="51ED59BD" w:rsidR="00E70F3A" w:rsidRPr="00397686" w:rsidRDefault="00E70F3A" w:rsidP="00B46F6E">
      <w:pPr>
        <w:pStyle w:val="BodytextHQSC"/>
        <w:spacing w:before="100" w:after="100" w:line="290" w:lineRule="atLeast"/>
      </w:pPr>
      <w:r w:rsidRPr="00E70F3A">
        <w:t xml:space="preserve">Procedure and clinical process reliability reflects underlying system conditions rather than individual performance. Across the system, severe harm continues to occur when core processes designed to support safe care are </w:t>
      </w:r>
      <w:r w:rsidR="006D2860">
        <w:t>undertaken in different ways</w:t>
      </w:r>
      <w:r w:rsidRPr="00E70F3A">
        <w:t xml:space="preserve"> under conditions of operational pressure, competing demands and workflow complexity. These conditions influence how care is delivered in practice, including when and how safeguards are applied. Understanding </w:t>
      </w:r>
      <w:r w:rsidR="006438D6">
        <w:t>daily work practices (</w:t>
      </w:r>
      <w:r w:rsidRPr="00E70F3A">
        <w:t>work-as-done</w:t>
      </w:r>
      <w:r w:rsidR="006438D6">
        <w:t>)</w:t>
      </w:r>
      <w:r w:rsidRPr="00E70F3A">
        <w:t xml:space="preserve"> in the context of these system pressures will enable redesign of processes, tools and environments that better support the workforce and improve the reliability of safe care.</w:t>
      </w:r>
    </w:p>
    <w:p w14:paraId="40EC0D96" w14:textId="00DD36D7" w:rsidR="0039297D" w:rsidRPr="00397686" w:rsidRDefault="0039297D" w:rsidP="00B46F6E">
      <w:pPr>
        <w:pStyle w:val="BodytextHQSC"/>
        <w:spacing w:before="100" w:after="100" w:line="290" w:lineRule="atLeast"/>
      </w:pPr>
      <w:r w:rsidRPr="00397686">
        <w:t>Where care involves complexity, time pressure</w:t>
      </w:r>
      <w:r w:rsidR="00577867">
        <w:t>s</w:t>
      </w:r>
      <w:r w:rsidRPr="00397686">
        <w:t xml:space="preserve">, multiple handovers or transitions between teams, the </w:t>
      </w:r>
      <w:r w:rsidR="00B1400A">
        <w:t>importance</w:t>
      </w:r>
      <w:r w:rsidRPr="00397686">
        <w:t xml:space="preserve"> of system safeguards increas</w:t>
      </w:r>
      <w:r w:rsidR="00B1400A">
        <w:t>es</w:t>
      </w:r>
      <w:r w:rsidRPr="00397686">
        <w:t>. These safeguards include documentation, confirmation processes, escalation pathways, equipment checks and</w:t>
      </w:r>
      <w:r w:rsidR="00053048" w:rsidRPr="00397686">
        <w:t> </w:t>
      </w:r>
      <w:r w:rsidRPr="00397686">
        <w:t xml:space="preserve">clarity of roles and responsibilities. Sometimes, system safeguards (tools, tasks and technologies) may have been implemented but not designed with the health worker in mind </w:t>
      </w:r>
      <w:r w:rsidR="00AD56CE">
        <w:t>and</w:t>
      </w:r>
      <w:r w:rsidRPr="00397686">
        <w:t xml:space="preserve"> may not </w:t>
      </w:r>
      <w:r w:rsidR="00AD56CE">
        <w:t>reflect</w:t>
      </w:r>
      <w:r w:rsidRPr="00397686">
        <w:t xml:space="preserve"> the everyday realities of a complex and constantly changing environment.</w:t>
      </w:r>
      <w:r w:rsidR="00D94CB3" w:rsidRPr="00397686">
        <w:t xml:space="preserve"> </w:t>
      </w:r>
    </w:p>
    <w:p w14:paraId="3AD21BCB" w14:textId="11FF6FB9" w:rsidR="0039297D" w:rsidRPr="00397686" w:rsidRDefault="0039297D" w:rsidP="00B46F6E">
      <w:pPr>
        <w:pStyle w:val="BodytextHQSC"/>
        <w:spacing w:before="100" w:after="100" w:line="290" w:lineRule="atLeast"/>
      </w:pPr>
      <w:r w:rsidRPr="00397686">
        <w:t>This focus area was prioritised because it represents one of the clearest opportunities to</w:t>
      </w:r>
      <w:r w:rsidR="00053048" w:rsidRPr="00397686">
        <w:t> </w:t>
      </w:r>
      <w:r w:rsidRPr="00397686">
        <w:t>reduce high</w:t>
      </w:r>
      <w:r w:rsidRPr="00397686">
        <w:rPr>
          <w:rFonts w:ascii="Cambria Math" w:hAnsi="Cambria Math" w:cs="Cambria Math"/>
        </w:rPr>
        <w:t>‑</w:t>
      </w:r>
      <w:r w:rsidRPr="00397686">
        <w:t>severity, potentially avoidable harm through system</w:t>
      </w:r>
      <w:r w:rsidRPr="00397686">
        <w:rPr>
          <w:rFonts w:ascii="Cambria Math" w:hAnsi="Cambria Math" w:cs="Cambria Math"/>
        </w:rPr>
        <w:t>‑</w:t>
      </w:r>
      <w:r w:rsidRPr="00397686">
        <w:t>level improvement. Procedure and clinical process reliability underpins multiple other risks this report has identified, reflects system design and reliability weaknesses rather than isolated error and is</w:t>
      </w:r>
      <w:r w:rsidR="00053048" w:rsidRPr="00397686">
        <w:t> </w:t>
      </w:r>
      <w:r w:rsidRPr="00397686">
        <w:t>amenable to coordinated action that strengthens safeguards across settings. Focusing improvement effort here shifts attention to strengthening core system processes that are designed with the end-user and enable health workers to provide safe</w:t>
      </w:r>
      <w:r w:rsidR="00053048" w:rsidRPr="00397686">
        <w:t> </w:t>
      </w:r>
      <w:r w:rsidRPr="00397686">
        <w:t xml:space="preserve">care. </w:t>
      </w:r>
    </w:p>
    <w:p w14:paraId="29810E98" w14:textId="77777777" w:rsidR="0039297D" w:rsidRPr="00397686" w:rsidRDefault="0039297D" w:rsidP="00B46F6E">
      <w:pPr>
        <w:pStyle w:val="Heading2HQSC"/>
        <w:spacing w:before="320"/>
      </w:pPr>
      <w:bookmarkStart w:id="19" w:name="_Toc227169416"/>
      <w:bookmarkStart w:id="20" w:name="_Toc233888607"/>
      <w:r w:rsidRPr="00397686">
        <w:t>System learning opportunity: hospital-acquired pressure injuries</w:t>
      </w:r>
      <w:bookmarkEnd w:id="19"/>
      <w:bookmarkEnd w:id="20"/>
    </w:p>
    <w:p w14:paraId="57199A82" w14:textId="64F0A581" w:rsidR="0039297D" w:rsidRPr="00397686" w:rsidRDefault="0039297D" w:rsidP="00B46F6E">
      <w:pPr>
        <w:pStyle w:val="BodytextHQSC"/>
        <w:spacing w:before="100" w:after="100" w:line="290" w:lineRule="atLeast"/>
      </w:pPr>
      <w:r w:rsidRPr="00397686">
        <w:t>Pressure injuries represent a predictable system safety signal and may reflect how well hospitals support safe, person-centred care when there is reduced mobility, frailty or complex</w:t>
      </w:r>
      <w:r w:rsidR="00053048" w:rsidRPr="00397686">
        <w:t> </w:t>
      </w:r>
      <w:r w:rsidRPr="00397686">
        <w:t xml:space="preserve">needs. </w:t>
      </w:r>
    </w:p>
    <w:p w14:paraId="0C495D66" w14:textId="7AEABFFE" w:rsidR="0039297D" w:rsidRPr="00397686" w:rsidRDefault="0039297D" w:rsidP="00B46F6E">
      <w:pPr>
        <w:pStyle w:val="BodytextHQSC"/>
        <w:spacing w:before="100" w:after="100" w:line="290" w:lineRule="atLeast"/>
      </w:pPr>
      <w:r w:rsidRPr="00397686">
        <w:t xml:space="preserve">In hospital settings, pressure injuries </w:t>
      </w:r>
      <w:r w:rsidR="00A23B6B">
        <w:t>are reflective</w:t>
      </w:r>
      <w:r w:rsidRPr="00397686">
        <w:t xml:space="preserve"> of workforce capacity, care planning, access to appropriate equipment, continuity of care and surveillance. Most but not</w:t>
      </w:r>
      <w:r w:rsidR="00053048" w:rsidRPr="00397686">
        <w:t> </w:t>
      </w:r>
      <w:r w:rsidRPr="00397686">
        <w:t xml:space="preserve">all </w:t>
      </w:r>
      <w:r w:rsidRPr="00397686">
        <w:lastRenderedPageBreak/>
        <w:t>pressure injuries are potentially avoidable. Early identification of the risk factors of developing a pressure injury should instigate care focused on prevention to reduce deterioration and the need for more specialised care with the potential of an extended length</w:t>
      </w:r>
      <w:r w:rsidR="00053048" w:rsidRPr="00397686">
        <w:t> </w:t>
      </w:r>
      <w:r w:rsidRPr="00397686">
        <w:t>of stay.</w:t>
      </w:r>
      <w:r w:rsidR="00D94CB3" w:rsidRPr="00397686">
        <w:t xml:space="preserve"> </w:t>
      </w:r>
    </w:p>
    <w:p w14:paraId="7590C24E" w14:textId="66FE88F7" w:rsidR="0039297D" w:rsidRPr="00397686" w:rsidRDefault="0039297D" w:rsidP="00E30726">
      <w:pPr>
        <w:pStyle w:val="BodytextHQSC"/>
        <w:spacing w:before="100" w:after="100"/>
      </w:pPr>
      <w:r w:rsidRPr="00397686">
        <w:t>Despite established prevention strategies, HAPIs continue to occur, suggesting variable implementation and inconsistency of clinical practice and internal reporting. This may also reflect the variety of pressures within hospitals, such as the churn of patients, workforce skill mix, delays in discharge to care facilities (external pressures), accessibility of equipment (tools) and assessment processes (technologies) that do not enable the workforce. A</w:t>
      </w:r>
      <w:r w:rsidR="00E854CF">
        <w:t> </w:t>
      </w:r>
      <w:r w:rsidRPr="00397686">
        <w:t xml:space="preserve">disproportionate impact is evident for Māori and European people aged </w:t>
      </w:r>
      <w:r w:rsidR="0058469C">
        <w:t>5</w:t>
      </w:r>
      <w:r w:rsidRPr="00397686">
        <w:t xml:space="preserve">5 </w:t>
      </w:r>
      <w:r w:rsidR="00E945B9">
        <w:t>years</w:t>
      </w:r>
      <w:r w:rsidRPr="00397686">
        <w:t xml:space="preserve"> and over, reinforcing the need for equity</w:t>
      </w:r>
      <w:r w:rsidRPr="00397686">
        <w:rPr>
          <w:rFonts w:ascii="Cambria Math" w:hAnsi="Cambria Math" w:cs="Cambria Math"/>
        </w:rPr>
        <w:t>‑</w:t>
      </w:r>
      <w:r w:rsidRPr="00397686">
        <w:t>informed and person-centred responses.</w:t>
      </w:r>
    </w:p>
    <w:p w14:paraId="4D7B29A3" w14:textId="418D7B0C" w:rsidR="0039297D" w:rsidRPr="00397686" w:rsidRDefault="0039297D" w:rsidP="00E30726">
      <w:pPr>
        <w:pStyle w:val="BodytextHQSC"/>
        <w:spacing w:before="100" w:after="100"/>
      </w:pPr>
      <w:r w:rsidRPr="00397686">
        <w:t>This focus area provides us with an opportunity to better understand the conditions that enable assessment and person-centred care planning. How these can be enhanced, through working with the workforce within the clinical environment to understand their work-as-done and for them to identify system improvement</w:t>
      </w:r>
      <w:r w:rsidR="00445098">
        <w:t>s</w:t>
      </w:r>
      <w:r w:rsidRPr="00397686">
        <w:t xml:space="preserve"> that </w:t>
      </w:r>
      <w:r w:rsidR="00445098">
        <w:t xml:space="preserve">will </w:t>
      </w:r>
      <w:r w:rsidRPr="00397686">
        <w:t xml:space="preserve">ensure </w:t>
      </w:r>
      <w:r w:rsidRPr="00975915">
        <w:t>the system</w:t>
      </w:r>
      <w:r w:rsidRPr="00397686">
        <w:t xml:space="preserve"> supports care at the</w:t>
      </w:r>
      <w:r w:rsidR="00053048" w:rsidRPr="00397686">
        <w:t> </w:t>
      </w:r>
      <w:r w:rsidRPr="00397686">
        <w:t xml:space="preserve">bedside. </w:t>
      </w:r>
    </w:p>
    <w:p w14:paraId="08F9436F" w14:textId="77777777" w:rsidR="0039297D" w:rsidRPr="00397686" w:rsidRDefault="0039297D" w:rsidP="00E30726">
      <w:pPr>
        <w:pStyle w:val="Heading2HQSC"/>
        <w:spacing w:before="320"/>
      </w:pPr>
      <w:bookmarkStart w:id="21" w:name="_Toc227169417"/>
      <w:bookmarkStart w:id="22" w:name="_Toc233888608"/>
      <w:r w:rsidRPr="00397686">
        <w:t>System learning opportunity: transitions of care for older people</w:t>
      </w:r>
      <w:bookmarkEnd w:id="21"/>
      <w:bookmarkEnd w:id="22"/>
      <w:r w:rsidRPr="00397686">
        <w:t xml:space="preserve"> </w:t>
      </w:r>
    </w:p>
    <w:p w14:paraId="5D9CBE68" w14:textId="6BB643E4" w:rsidR="0039297D" w:rsidRPr="00397686" w:rsidRDefault="0039297D" w:rsidP="00E30726">
      <w:pPr>
        <w:pStyle w:val="BodytextHQSC"/>
        <w:spacing w:before="100" w:after="100"/>
      </w:pPr>
      <w:r w:rsidRPr="00397686">
        <w:t>Transitions of care for older people is one of the clearest areas in which system pressure and</w:t>
      </w:r>
      <w:r w:rsidR="00E30726" w:rsidRPr="00397686">
        <w:t> </w:t>
      </w:r>
      <w:r w:rsidRPr="00397686">
        <w:t>access constraints intersect. Older people often experience higher health needs, greater</w:t>
      </w:r>
      <w:r w:rsidR="00E30726" w:rsidRPr="00397686">
        <w:t> </w:t>
      </w:r>
      <w:r w:rsidRPr="00397686">
        <w:t xml:space="preserve">frailty and more frequent interaction with the health system, making them especially vulnerable to harm when care is delayed, fragmented or poorly coordinated. In contrast to more discrete harm types, risk in this focus area accumulates over time and across settings, particularly during transitions between primary </w:t>
      </w:r>
      <w:r w:rsidR="00F1006C">
        <w:t>health</w:t>
      </w:r>
      <w:r w:rsidRPr="00397686">
        <w:t xml:space="preserve"> care, emergency departments, acute hospital services, community care and </w:t>
      </w:r>
      <w:r w:rsidR="00F1006C">
        <w:t>ARC</w:t>
      </w:r>
      <w:r w:rsidRPr="00397686">
        <w:t xml:space="preserve">. </w:t>
      </w:r>
    </w:p>
    <w:p w14:paraId="2A01C723" w14:textId="11F4B8CC" w:rsidR="0039297D" w:rsidRPr="00397686" w:rsidRDefault="0039297D" w:rsidP="00E30726">
      <w:pPr>
        <w:pStyle w:val="BodytextHQSC"/>
        <w:spacing w:before="100" w:after="100"/>
        <w:rPr>
          <w:rFonts w:eastAsia="Arial"/>
        </w:rPr>
      </w:pPr>
      <w:r w:rsidRPr="00397686">
        <w:rPr>
          <w:rFonts w:eastAsia="Arial"/>
        </w:rPr>
        <w:t xml:space="preserve">Multiple data sources demonstrate sustained deterioration in system flow affecting older people, including reduced access to primary </w:t>
      </w:r>
      <w:r w:rsidR="00F1006C">
        <w:rPr>
          <w:rFonts w:eastAsia="Arial"/>
        </w:rPr>
        <w:t xml:space="preserve">health </w:t>
      </w:r>
      <w:r w:rsidRPr="00397686">
        <w:rPr>
          <w:rFonts w:eastAsia="Arial"/>
        </w:rPr>
        <w:t>care, leading to increased emergency department presentations with people more unwell and requiring acute admission. This often</w:t>
      </w:r>
      <w:r w:rsidR="00E30726" w:rsidRPr="00397686">
        <w:rPr>
          <w:rFonts w:eastAsia="Arial"/>
        </w:rPr>
        <w:t> </w:t>
      </w:r>
      <w:r w:rsidRPr="00397686">
        <w:rPr>
          <w:rFonts w:eastAsia="Arial"/>
        </w:rPr>
        <w:t>leads to increasing length of stay, especially for people aged 75+</w:t>
      </w:r>
      <w:r w:rsidR="00F1006C">
        <w:rPr>
          <w:rFonts w:eastAsia="Arial"/>
        </w:rPr>
        <w:t xml:space="preserve"> years</w:t>
      </w:r>
      <w:r w:rsidRPr="00397686">
        <w:rPr>
          <w:rFonts w:eastAsia="Arial"/>
        </w:rPr>
        <w:t>, and prolonged occupied bed days. Analysis shows that prolonged hospitalisation compounds risk, such as</w:t>
      </w:r>
      <w:r w:rsidR="00E30726" w:rsidRPr="00397686">
        <w:rPr>
          <w:rFonts w:eastAsia="Arial"/>
        </w:rPr>
        <w:t> </w:t>
      </w:r>
      <w:r w:rsidRPr="00397686">
        <w:rPr>
          <w:rFonts w:eastAsia="Arial"/>
        </w:rPr>
        <w:t>developing a HAPI</w:t>
      </w:r>
      <w:r w:rsidR="00B81F52">
        <w:rPr>
          <w:rFonts w:eastAsia="Arial"/>
        </w:rPr>
        <w:t xml:space="preserve"> and</w:t>
      </w:r>
      <w:r w:rsidR="00B81F52" w:rsidRPr="00397686">
        <w:rPr>
          <w:rFonts w:eastAsia="Arial"/>
        </w:rPr>
        <w:t xml:space="preserve"> </w:t>
      </w:r>
      <w:r w:rsidRPr="00397686">
        <w:rPr>
          <w:rFonts w:eastAsia="Arial"/>
        </w:rPr>
        <w:t>reduction in mobility</w:t>
      </w:r>
      <w:r w:rsidR="00AA0359">
        <w:rPr>
          <w:rFonts w:eastAsia="Arial"/>
        </w:rPr>
        <w:t>.  This</w:t>
      </w:r>
      <w:r w:rsidRPr="00397686">
        <w:rPr>
          <w:rFonts w:eastAsia="Arial"/>
        </w:rPr>
        <w:t xml:space="preserve"> complicates safe discharge</w:t>
      </w:r>
      <w:r w:rsidR="00852E1D">
        <w:rPr>
          <w:rFonts w:eastAsia="Arial"/>
        </w:rPr>
        <w:t xml:space="preserve"> and</w:t>
      </w:r>
      <w:r w:rsidRPr="00397686">
        <w:rPr>
          <w:rFonts w:eastAsia="Arial"/>
        </w:rPr>
        <w:t xml:space="preserve"> increasing the likelihood of further harm during transitions of care. </w:t>
      </w:r>
    </w:p>
    <w:p w14:paraId="648990C6" w14:textId="4A57608A" w:rsidR="0039297D" w:rsidRPr="00397686" w:rsidRDefault="0039297D" w:rsidP="00E30726">
      <w:pPr>
        <w:pStyle w:val="BodytextHQSC"/>
        <w:spacing w:before="100" w:after="100"/>
        <w:rPr>
          <w:rFonts w:eastAsia="Arial"/>
        </w:rPr>
      </w:pPr>
      <w:r w:rsidRPr="00397686">
        <w:rPr>
          <w:rFonts w:eastAsia="Arial"/>
        </w:rPr>
        <w:t xml:space="preserve">This focus area was prioritised because it brings together multiple system pressures that consistently increase </w:t>
      </w:r>
      <w:r w:rsidR="00096969" w:rsidRPr="00397686">
        <w:rPr>
          <w:rFonts w:eastAsia="Arial"/>
        </w:rPr>
        <w:t>older people</w:t>
      </w:r>
      <w:r w:rsidR="00096969">
        <w:rPr>
          <w:rFonts w:eastAsia="Arial"/>
        </w:rPr>
        <w:t>’s</w:t>
      </w:r>
      <w:r w:rsidR="00096969" w:rsidRPr="00397686">
        <w:rPr>
          <w:rFonts w:eastAsia="Arial"/>
        </w:rPr>
        <w:t xml:space="preserve"> </w:t>
      </w:r>
      <w:r w:rsidRPr="00397686">
        <w:rPr>
          <w:rFonts w:eastAsia="Arial"/>
        </w:rPr>
        <w:t>exposure to harm. Transitions of care can increase the</w:t>
      </w:r>
      <w:r w:rsidR="00E30726" w:rsidRPr="00397686">
        <w:rPr>
          <w:rFonts w:eastAsia="Arial"/>
        </w:rPr>
        <w:t> </w:t>
      </w:r>
      <w:r w:rsidRPr="00397686">
        <w:rPr>
          <w:rFonts w:eastAsia="Arial"/>
        </w:rPr>
        <w:t>risk of harm, particularly for people with complex needs, and require coordination across multiple services and agencies.</w:t>
      </w:r>
    </w:p>
    <w:p w14:paraId="3B13DC90" w14:textId="426F7291" w:rsidR="0039297D" w:rsidRPr="00397686" w:rsidRDefault="0039297D" w:rsidP="0039297D">
      <w:pPr>
        <w:pStyle w:val="BodytextHQSC"/>
        <w:rPr>
          <w:rFonts w:eastAsia="Arial"/>
        </w:rPr>
      </w:pPr>
      <w:r w:rsidRPr="00397686">
        <w:rPr>
          <w:rFonts w:eastAsia="Arial"/>
        </w:rPr>
        <w:t>This focus area is extremely complex. However, as our understanding of what influences transitions of care grows, so too will the significant potential to reduce harm through better</w:t>
      </w:r>
      <w:r w:rsidR="00922099" w:rsidRPr="00397686">
        <w:rPr>
          <w:rFonts w:eastAsia="Arial"/>
        </w:rPr>
        <w:t> </w:t>
      </w:r>
      <w:r w:rsidRPr="00397686">
        <w:rPr>
          <w:rFonts w:eastAsia="Arial"/>
        </w:rPr>
        <w:t xml:space="preserve">integration of services that enable person-centred care, less fragmentation and improved wellbeing. </w:t>
      </w:r>
    </w:p>
    <w:p w14:paraId="156990AB" w14:textId="3EE0158B" w:rsidR="004F3933" w:rsidRPr="00397686" w:rsidRDefault="004F3933">
      <w:pPr>
        <w:spacing w:after="200"/>
        <w:rPr>
          <w:rFonts w:eastAsia="Arial" w:cs="Arial"/>
        </w:rPr>
      </w:pPr>
      <w:r w:rsidRPr="00397686">
        <w:rPr>
          <w:rFonts w:eastAsia="Arial"/>
        </w:rPr>
        <w:br w:type="page"/>
      </w:r>
    </w:p>
    <w:p w14:paraId="6BCCC83E" w14:textId="77777777" w:rsidR="004F3933" w:rsidRPr="00397686" w:rsidRDefault="004F3933" w:rsidP="004F3933">
      <w:pPr>
        <w:pStyle w:val="Heading1HQSC"/>
      </w:pPr>
      <w:bookmarkStart w:id="23" w:name="_Toc227169418"/>
      <w:bookmarkStart w:id="24" w:name="_Toc233888609"/>
      <w:r w:rsidRPr="00397686">
        <w:lastRenderedPageBreak/>
        <w:t>Next steps</w:t>
      </w:r>
      <w:bookmarkEnd w:id="23"/>
      <w:bookmarkEnd w:id="24"/>
    </w:p>
    <w:p w14:paraId="2A2AECBC" w14:textId="0F849A4F" w:rsidR="004F3933" w:rsidRPr="00397686" w:rsidRDefault="004F3933" w:rsidP="004F3933">
      <w:pPr>
        <w:pStyle w:val="BodytextHQSC"/>
      </w:pPr>
      <w:r w:rsidRPr="00397686">
        <w:t>We will share this report with the National Quality Forum</w:t>
      </w:r>
      <w:r w:rsidR="005808B2">
        <w:t xml:space="preserve"> and relevant health entities</w:t>
      </w:r>
      <w:r w:rsidRPr="00397686">
        <w:t>, to agree on next steps.</w:t>
      </w:r>
      <w:r w:rsidR="00D94CB3" w:rsidRPr="00397686">
        <w:t xml:space="preserve"> </w:t>
      </w:r>
      <w:r w:rsidRPr="00397686">
        <w:t>The system</w:t>
      </w:r>
      <w:r w:rsidR="00922099" w:rsidRPr="00397686">
        <w:t> </w:t>
      </w:r>
      <w:r w:rsidRPr="00397686">
        <w:t>learning opportunities require further exploration to understand how current work is</w:t>
      </w:r>
      <w:r w:rsidR="00922099" w:rsidRPr="00397686">
        <w:t> </w:t>
      </w:r>
      <w:r w:rsidRPr="00397686">
        <w:t>carried out and to identify where focused improvements can be implemented and appropriately resourced.</w:t>
      </w:r>
      <w:r w:rsidR="00D94CB3" w:rsidRPr="00397686">
        <w:t xml:space="preserve"> </w:t>
      </w:r>
      <w:r w:rsidR="008F4538">
        <w:t>For the</w:t>
      </w:r>
      <w:r w:rsidR="00C55064">
        <w:t xml:space="preserve"> </w:t>
      </w:r>
      <w:r w:rsidR="006102F8">
        <w:t xml:space="preserve">system learning </w:t>
      </w:r>
      <w:r w:rsidR="00803404">
        <w:t>opportunities</w:t>
      </w:r>
      <w:r w:rsidR="00013EAA">
        <w:t>,</w:t>
      </w:r>
      <w:r w:rsidR="00C55064">
        <w:t xml:space="preserve"> </w:t>
      </w:r>
      <w:r w:rsidR="00BF5E3F">
        <w:t xml:space="preserve">there will be a number of areas for improvement </w:t>
      </w:r>
      <w:r w:rsidR="00AD6BEA">
        <w:t>that</w:t>
      </w:r>
      <w:r w:rsidR="00BF5E3F">
        <w:t xml:space="preserve"> will require targeted </w:t>
      </w:r>
      <w:r w:rsidR="00803404">
        <w:t>interventions</w:t>
      </w:r>
      <w:r w:rsidR="00BF5E3F">
        <w:t xml:space="preserve"> </w:t>
      </w:r>
      <w:r w:rsidR="00803404">
        <w:t xml:space="preserve">to maximise </w:t>
      </w:r>
      <w:r w:rsidR="00521BEE">
        <w:t>sustainable outcomes.</w:t>
      </w:r>
    </w:p>
    <w:p w14:paraId="44720B2C" w14:textId="77777777" w:rsidR="004F3933" w:rsidRPr="00397686" w:rsidRDefault="004F3933" w:rsidP="004F3933">
      <w:pPr>
        <w:pStyle w:val="BodytextHQSC"/>
      </w:pPr>
      <w:bookmarkStart w:id="25" w:name="_Toc227169419"/>
      <w:r w:rsidRPr="00397686">
        <w:br w:type="page"/>
      </w:r>
    </w:p>
    <w:p w14:paraId="4BC8A5AA" w14:textId="2BA3C2B9" w:rsidR="004F3933" w:rsidRPr="00397686" w:rsidRDefault="004F3933" w:rsidP="004F3933">
      <w:pPr>
        <w:pStyle w:val="Heading1HQSC"/>
      </w:pPr>
      <w:bookmarkStart w:id="26" w:name="_Toc233888610"/>
      <w:r w:rsidRPr="00397686">
        <w:lastRenderedPageBreak/>
        <w:t>Conclusion</w:t>
      </w:r>
      <w:bookmarkEnd w:id="25"/>
      <w:bookmarkEnd w:id="26"/>
    </w:p>
    <w:p w14:paraId="6B883B87" w14:textId="054F9D3A" w:rsidR="004F3933" w:rsidRPr="00397686" w:rsidRDefault="004F3933" w:rsidP="004F3933">
      <w:pPr>
        <w:pStyle w:val="BodytextHQSC"/>
      </w:pPr>
      <w:r w:rsidRPr="00397686">
        <w:t>The report provides a national view of where harm is occurring, following analysis of multiple agency harm data from 1 July 2022 to 30 June 2025 that identified 10 system</w:t>
      </w:r>
      <w:r w:rsidRPr="00397686">
        <w:rPr>
          <w:rFonts w:ascii="Cambria Math" w:hAnsi="Cambria Math" w:cs="Cambria Math"/>
        </w:rPr>
        <w:t>‑</w:t>
      </w:r>
      <w:r w:rsidRPr="00397686">
        <w:t xml:space="preserve">level themes describing recurring patterns of risk. Through analysis and recognition of previous or current focused quality improvement, we identified three system learning opportunities where improvement has the potential to reduce potentially avoidable harm: </w:t>
      </w:r>
    </w:p>
    <w:p w14:paraId="6460A2E7" w14:textId="77777777" w:rsidR="004F3933" w:rsidRPr="00397686" w:rsidRDefault="004F3933" w:rsidP="004F3933">
      <w:pPr>
        <w:pStyle w:val="BulletsHQSC"/>
        <w:rPr>
          <w:rFonts w:eastAsia="Arial"/>
        </w:rPr>
      </w:pPr>
      <w:r w:rsidRPr="00397686">
        <w:rPr>
          <w:rFonts w:eastAsia="Arial"/>
        </w:rPr>
        <w:t xml:space="preserve">procedure and clinical process reliability </w:t>
      </w:r>
    </w:p>
    <w:p w14:paraId="6A56514E" w14:textId="77777777" w:rsidR="004F3933" w:rsidRPr="00397686" w:rsidRDefault="004F3933" w:rsidP="004F3933">
      <w:pPr>
        <w:pStyle w:val="BulletsHQSC"/>
        <w:rPr>
          <w:rFonts w:eastAsia="Arial"/>
        </w:rPr>
      </w:pPr>
      <w:r w:rsidRPr="00397686" w:rsidDel="00356DC2">
        <w:rPr>
          <w:rFonts w:eastAsia="Arial"/>
        </w:rPr>
        <w:t xml:space="preserve">hospital acquired pressure injuries </w:t>
      </w:r>
    </w:p>
    <w:p w14:paraId="0C7A11EE" w14:textId="77777777" w:rsidR="004F3933" w:rsidRPr="00397686" w:rsidRDefault="004F3933" w:rsidP="004F3933">
      <w:pPr>
        <w:pStyle w:val="BulletsHQSC"/>
        <w:rPr>
          <w:rFonts w:eastAsia="Arial"/>
        </w:rPr>
      </w:pPr>
      <w:r w:rsidRPr="00397686">
        <w:rPr>
          <w:rFonts w:eastAsia="Arial"/>
        </w:rPr>
        <w:t xml:space="preserve">transitions of care for older people. </w:t>
      </w:r>
    </w:p>
    <w:p w14:paraId="420E7CDA" w14:textId="77777777" w:rsidR="004F3933" w:rsidRPr="00397686" w:rsidRDefault="004F3933" w:rsidP="004F3933">
      <w:pPr>
        <w:pStyle w:val="BodytextHQSC"/>
      </w:pPr>
      <w:r w:rsidRPr="00397686">
        <w:t xml:space="preserve">Improving system safety requires shared accountability, aligned priorities and coordinated action. Ultimately, we seek to understand the conditions that influence safety, to strengthen safety in </w:t>
      </w:r>
      <w:r w:rsidRPr="0000264E">
        <w:t>the system</w:t>
      </w:r>
      <w:r w:rsidRPr="00397686">
        <w:t xml:space="preserve"> through informed system learning, that when acted upon enables the health workforce to provide safe, person-centred care. </w:t>
      </w:r>
    </w:p>
    <w:p w14:paraId="35A73C9B" w14:textId="3B2813FC" w:rsidR="004F3933" w:rsidRPr="00397686" w:rsidRDefault="004F3933">
      <w:pPr>
        <w:spacing w:after="200"/>
        <w:rPr>
          <w:rFonts w:eastAsia="Arial" w:cs="Arial"/>
        </w:rPr>
      </w:pPr>
      <w:r w:rsidRPr="00397686">
        <w:rPr>
          <w:rFonts w:eastAsia="Arial"/>
        </w:rPr>
        <w:br w:type="page"/>
      </w:r>
    </w:p>
    <w:p w14:paraId="2DAACD2E" w14:textId="77777777" w:rsidR="0064560A" w:rsidRPr="00397686" w:rsidRDefault="0064560A" w:rsidP="0064560A">
      <w:pPr>
        <w:pStyle w:val="Heading1HQSC"/>
      </w:pPr>
      <w:bookmarkStart w:id="27" w:name="_Toc227169420"/>
      <w:bookmarkStart w:id="28" w:name="_Toc233888611"/>
      <w:r w:rsidRPr="00397686">
        <w:lastRenderedPageBreak/>
        <w:t>Appendix</w:t>
      </w:r>
      <w:bookmarkEnd w:id="27"/>
      <w:bookmarkEnd w:id="28"/>
      <w:r w:rsidRPr="00397686">
        <w:t xml:space="preserve"> </w:t>
      </w:r>
    </w:p>
    <w:p w14:paraId="0C8E33CF" w14:textId="5969ABF2" w:rsidR="0064560A" w:rsidRPr="00397686" w:rsidRDefault="0064560A" w:rsidP="001774D3">
      <w:pPr>
        <w:pStyle w:val="BodytextHQSC"/>
        <w:spacing w:before="0"/>
      </w:pPr>
      <w:r w:rsidRPr="00397686">
        <w:t>This appendix provides the quantitative data that contributed to the findings presented in the report.</w:t>
      </w:r>
    </w:p>
    <w:p w14:paraId="4666345C" w14:textId="35EC4655" w:rsidR="0064560A" w:rsidRPr="00397686" w:rsidRDefault="0064560A" w:rsidP="0064560A">
      <w:pPr>
        <w:pStyle w:val="BodytextHQSC"/>
      </w:pPr>
      <w:r w:rsidRPr="00397686">
        <w:t>It is important to note that th</w:t>
      </w:r>
      <w:r w:rsidR="00D86BBA">
        <w:t>e</w:t>
      </w:r>
      <w:r w:rsidRPr="00397686">
        <w:t xml:space="preserve"> data presented </w:t>
      </w:r>
      <w:r w:rsidR="00D86BBA">
        <w:t xml:space="preserve">here </w:t>
      </w:r>
      <w:r w:rsidRPr="00397686">
        <w:t xml:space="preserve">is based on a snapshot in time (control charts </w:t>
      </w:r>
      <w:r w:rsidRPr="00397686">
        <w:rPr>
          <w:spacing w:val="-2"/>
        </w:rPr>
        <w:t>updated May 2026) of harm (adverse) events reported up to 30 June 2025. Once organisations</w:t>
      </w:r>
      <w:r w:rsidRPr="00397686">
        <w:t xml:space="preserve"> complete their harm (adverse) event reviews, the SAC rating may change or the events may be withdrawn, which affects the total numbers of harm (adverse) events.</w:t>
      </w:r>
    </w:p>
    <w:p w14:paraId="59F3950C" w14:textId="21111F8A" w:rsidR="0064560A" w:rsidRPr="00397686" w:rsidRDefault="0064560A" w:rsidP="0064560A">
      <w:pPr>
        <w:pStyle w:val="FigurecaptionHQSC"/>
        <w:spacing w:after="80"/>
      </w:pPr>
      <w:bookmarkStart w:id="29" w:name="_Toc230175945"/>
      <w:bookmarkStart w:id="30" w:name="_Toc233888617"/>
      <w:r>
        <w:t>Figure A1: Reported harm (adverse) events by provider type, Jul</w:t>
      </w:r>
      <w:r w:rsidR="34C8B497">
        <w:t>y</w:t>
      </w:r>
      <w:r>
        <w:t xml:space="preserve"> 2018–</w:t>
      </w:r>
      <w:r w:rsidRPr="00397686">
        <w:t>J</w:t>
      </w:r>
      <w:r w:rsidR="03AD365D">
        <w:t>une</w:t>
      </w:r>
      <w:r>
        <w:t xml:space="preserve"> 2025</w:t>
      </w:r>
      <w:bookmarkEnd w:id="29"/>
      <w:bookmarkEnd w:id="30"/>
    </w:p>
    <w:p w14:paraId="70A9CF37" w14:textId="3BEA9D5B" w:rsidR="0064560A" w:rsidRDefault="00A20901" w:rsidP="0064560A">
      <w:pPr>
        <w:pStyle w:val="BodytextHQSC"/>
      </w:pPr>
      <w:bookmarkStart w:id="31" w:name="_Toc230175946"/>
      <w:r w:rsidRPr="00CE7387">
        <w:rPr>
          <w:noProof/>
        </w:rPr>
        <w:drawing>
          <wp:inline distT="0" distB="0" distL="0" distR="0" wp14:anchorId="32A382D4" wp14:editId="348393F2">
            <wp:extent cx="5577840" cy="2599263"/>
            <wp:effectExtent l="0" t="0" r="3810" b="0"/>
            <wp:docPr id="1508328722" name="Picture 1" descr="The chart shows reported harm (adverse) events from July 2018 to June 2025, with the x axis representing time and the y axis showing number of events. The red line, representing hospital and specialist services stays consistently high across the period at an average of 100 events per month, while the purple line, representing aged residential care services, begins in 2024 and rises sharply to show the highest number of events by mid-2025 at an average of 200 event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8722" name="Picture 1" descr="The chart shows reported harm (adverse) events from July 2018 to June 2025, with the x axis representing time and the y axis showing number of events. The red line, representing hospital and specialist services stays consistently high across the period at an average of 100 events per month, while the purple line, representing aged residential care services, begins in 2024 and rises sharply to show the highest number of events by mid-2025 at an average of 200 events per month."/>
                    <pic:cNvPicPr/>
                  </pic:nvPicPr>
                  <pic:blipFill>
                    <a:blip r:embed="rId19"/>
                    <a:srcRect l="1010" r="1010"/>
                    <a:stretch>
                      <a:fillRect/>
                    </a:stretch>
                  </pic:blipFill>
                  <pic:spPr bwMode="auto">
                    <a:xfrm>
                      <a:off x="0" y="0"/>
                      <a:ext cx="5577840" cy="2599263"/>
                    </a:xfrm>
                    <a:prstGeom prst="rect">
                      <a:avLst/>
                    </a:prstGeom>
                    <a:ln>
                      <a:noFill/>
                    </a:ln>
                    <a:extLst>
                      <a:ext uri="{53640926-AAD7-44D8-BBD7-CCE9431645EC}">
                        <a14:shadowObscured xmlns:a14="http://schemas.microsoft.com/office/drawing/2010/main"/>
                      </a:ext>
                    </a:extLst>
                  </pic:spPr>
                </pic:pic>
              </a:graphicData>
            </a:graphic>
          </wp:inline>
        </w:drawing>
      </w:r>
      <w:r w:rsidR="0064560A" w:rsidRPr="00397686">
        <w:t xml:space="preserve"> </w:t>
      </w:r>
    </w:p>
    <w:p w14:paraId="108615F6" w14:textId="18825F3D" w:rsidR="00A20901" w:rsidRDefault="004E755F" w:rsidP="004E755F">
      <w:pPr>
        <w:pStyle w:val="BodytextHQSC"/>
        <w:spacing w:before="0"/>
        <w:jc w:val="center"/>
      </w:pPr>
      <w:r w:rsidRPr="00D72876">
        <w:rPr>
          <w:noProof/>
        </w:rPr>
        <w:drawing>
          <wp:inline distT="0" distB="0" distL="0" distR="0" wp14:anchorId="5C8C6D84" wp14:editId="1F048980">
            <wp:extent cx="5156200" cy="647700"/>
            <wp:effectExtent l="0" t="0" r="6350" b="0"/>
            <wp:docPr id="887924721" name="Picture 1" descr="The legend below the chart showing reported harm (adverse) events by provider type shows the colours of provider types represented in the chart. Events were reported by far most frequently by hospital and specialist services (red) and aged residential care services (purple). The other provider types are home and community support services, hospice services, pre-hospital and transfer services, residential disability services, birthing unit services, and telehealth. There are no more than 5 monthly events reported by any of these other provider types across the entir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24721" name="Picture 1" descr="The legend below the chart showing reported harm (adverse) events by provider type shows the colours of provider types represented in the chart. Events were reported by far most frequently by hospital and specialist services (red) and aged residential care services (purple). The other provider types are home and community support services, hospice services, pre-hospital and transfer services, residential disability services, birthing unit services, and telehealth. There are no more than 5 monthly events reported by any of these other provider types across the entire time period."/>
                    <pic:cNvPicPr/>
                  </pic:nvPicPr>
                  <pic:blipFill rotWithShape="1">
                    <a:blip r:embed="rId20"/>
                    <a:srcRect t="8567" r="10038" b="11994"/>
                    <a:stretch>
                      <a:fillRect/>
                    </a:stretch>
                  </pic:blipFill>
                  <pic:spPr bwMode="auto">
                    <a:xfrm>
                      <a:off x="0" y="0"/>
                      <a:ext cx="5156200" cy="647700"/>
                    </a:xfrm>
                    <a:prstGeom prst="rect">
                      <a:avLst/>
                    </a:prstGeom>
                    <a:ln>
                      <a:noFill/>
                    </a:ln>
                    <a:extLst>
                      <a:ext uri="{53640926-AAD7-44D8-BBD7-CCE9431645EC}">
                        <a14:shadowObscured xmlns:a14="http://schemas.microsoft.com/office/drawing/2010/main"/>
                      </a:ext>
                    </a:extLst>
                  </pic:spPr>
                </pic:pic>
              </a:graphicData>
            </a:graphic>
          </wp:inline>
        </w:drawing>
      </w:r>
    </w:p>
    <w:p w14:paraId="10F6826E" w14:textId="01D6B507" w:rsidR="0039251B" w:rsidRPr="00ED56AE" w:rsidRDefault="0039251B" w:rsidP="0039251B">
      <w:pPr>
        <w:spacing w:line="240" w:lineRule="auto"/>
        <w:rPr>
          <w:rFonts w:cs="Arial"/>
          <w:b/>
          <w:sz w:val="18"/>
          <w:szCs w:val="18"/>
        </w:rPr>
      </w:pPr>
      <w:r w:rsidRPr="00ED56AE">
        <w:rPr>
          <w:rFonts w:cs="Arial"/>
          <w:b/>
          <w:sz w:val="18"/>
          <w:szCs w:val="18"/>
        </w:rPr>
        <w:t>Note:</w:t>
      </w:r>
    </w:p>
    <w:p w14:paraId="2B7AF5F1" w14:textId="1AE9A89E" w:rsidR="0039251B" w:rsidRPr="00397686" w:rsidRDefault="0039251B" w:rsidP="0039251B">
      <w:pPr>
        <w:spacing w:line="240" w:lineRule="auto"/>
      </w:pPr>
      <w:r>
        <w:rPr>
          <w:rFonts w:cs="Arial"/>
          <w:sz w:val="18"/>
          <w:szCs w:val="18"/>
        </w:rPr>
        <w:t>The chart shows the number of events by month and year of the date the event was notified internally.</w:t>
      </w:r>
    </w:p>
    <w:p w14:paraId="5E1A1D89" w14:textId="77777777" w:rsidR="0039251B" w:rsidRPr="00397686" w:rsidRDefault="0039251B" w:rsidP="004E755F">
      <w:pPr>
        <w:pStyle w:val="BodytextHQSC"/>
        <w:spacing w:before="0"/>
        <w:jc w:val="center"/>
      </w:pPr>
    </w:p>
    <w:p w14:paraId="3D7F535D" w14:textId="7D9627D3" w:rsidR="0064560A" w:rsidRPr="00397686" w:rsidRDefault="0064560A" w:rsidP="0064560A">
      <w:pPr>
        <w:pStyle w:val="FigurecaptionHQSC"/>
      </w:pPr>
      <w:bookmarkStart w:id="32" w:name="_Toc233888618"/>
      <w:r>
        <w:lastRenderedPageBreak/>
        <w:t xml:space="preserve">Figure A2: Reported SAC 1 and 2 </w:t>
      </w:r>
      <w:r w:rsidR="001B2FE7">
        <w:t>harm (adverse) events</w:t>
      </w:r>
      <w:r w:rsidR="000E30F0">
        <w:t xml:space="preserve">, Falls, </w:t>
      </w:r>
      <w:r w:rsidR="006F4129">
        <w:t>J</w:t>
      </w:r>
      <w:r w:rsidR="003F3715">
        <w:t>ul</w:t>
      </w:r>
      <w:r w:rsidR="2D9CE8DD">
        <w:t>y</w:t>
      </w:r>
      <w:r>
        <w:t xml:space="preserve"> 201</w:t>
      </w:r>
      <w:r w:rsidR="003F3715">
        <w:t>8</w:t>
      </w:r>
      <w:r>
        <w:t>–J</w:t>
      </w:r>
      <w:r w:rsidR="6F0EDF26">
        <w:t>une</w:t>
      </w:r>
      <w:r>
        <w:t xml:space="preserve"> 2025</w:t>
      </w:r>
      <w:bookmarkEnd w:id="31"/>
      <w:bookmarkEnd w:id="32"/>
    </w:p>
    <w:p w14:paraId="58ADDD4B" w14:textId="77777777" w:rsidR="0064560A" w:rsidRPr="00397686" w:rsidRDefault="0064560A" w:rsidP="005054B9">
      <w:pPr>
        <w:spacing w:before="120" w:line="360" w:lineRule="auto"/>
      </w:pPr>
      <w:r w:rsidRPr="00397686">
        <w:rPr>
          <w:noProof/>
        </w:rPr>
        <w:drawing>
          <wp:inline distT="0" distB="0" distL="0" distR="0" wp14:anchorId="73C2D169" wp14:editId="4C9BC808">
            <wp:extent cx="5760000" cy="2851422"/>
            <wp:effectExtent l="0" t="0" r="0" b="6350"/>
            <wp:docPr id="1965186875" name="drawing" descr="The control chart shows reported SAC 1 and 2 falls harm (adverse) events from July 2018 to June 2025, with the x axis showing time and the y axis showing number of events. A single line fluctuates over time, starting at an astronomical point of nearly 70 events in July 2018 dropping immediately to 25 events in August 2018. The average number of events starts at 22 monthly events and shifts down to 18 monthly events in mid-2022, which is sustained to June 2025. The red dashed control limits follow a similar pattern to the avera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86875" name="drawing" descr="The control chart shows reported SAC 1 and 2 falls harm (adverse) events from July 2018 to June 2025, with the x axis showing time and the y axis showing number of events. A single line fluctuates over time, starting at an astronomical point of nearly 70 events in July 2018 dropping immediately to 25 events in August 2018. The average number of events starts at 22 monthly events and shifts down to 18 monthly events in mid-2022, which is sustained to June 2025. The red dashed control limits follow a similar pattern to the average line."/>
                    <pic:cNvPicPr/>
                  </pic:nvPicPr>
                  <pic:blipFill>
                    <a:blip r:embed="rId21"/>
                    <a:srcRect t="1393" b="1393"/>
                    <a:stretch>
                      <a:fillRect/>
                    </a:stretch>
                  </pic:blipFill>
                  <pic:spPr bwMode="auto">
                    <a:xfrm>
                      <a:off x="0" y="0"/>
                      <a:ext cx="5760000" cy="2851422"/>
                    </a:xfrm>
                    <a:prstGeom prst="rect">
                      <a:avLst/>
                    </a:prstGeom>
                    <a:ln>
                      <a:noFill/>
                    </a:ln>
                    <a:extLst>
                      <a:ext uri="{53640926-AAD7-44D8-BBD7-CCE9431645EC}">
                        <a14:shadowObscured xmlns:a14="http://schemas.microsoft.com/office/drawing/2010/main"/>
                      </a:ext>
                    </a:extLst>
                  </pic:spPr>
                </pic:pic>
              </a:graphicData>
            </a:graphic>
          </wp:inline>
        </w:drawing>
      </w:r>
    </w:p>
    <w:p w14:paraId="6575E2B5" w14:textId="5DC61C65" w:rsidR="0064560A" w:rsidRPr="00397686" w:rsidRDefault="0064560A" w:rsidP="0064560A">
      <w:pPr>
        <w:spacing w:line="240" w:lineRule="auto"/>
        <w:rPr>
          <w:rFonts w:cs="Arial"/>
          <w:b/>
          <w:sz w:val="18"/>
          <w:szCs w:val="18"/>
        </w:rPr>
      </w:pPr>
      <w:r w:rsidRPr="00397686">
        <w:rPr>
          <w:rFonts w:cs="Arial"/>
          <w:b/>
          <w:sz w:val="18"/>
          <w:szCs w:val="18"/>
        </w:rPr>
        <w:t xml:space="preserve">Note: </w:t>
      </w:r>
      <w:r w:rsidR="00A96EEF" w:rsidRPr="00397686">
        <w:rPr>
          <w:rFonts w:cs="Arial"/>
          <w:b/>
          <w:sz w:val="18"/>
          <w:szCs w:val="18"/>
        </w:rPr>
        <w:br/>
      </w:r>
      <w:r w:rsidRPr="00397686">
        <w:rPr>
          <w:rFonts w:cs="Arial"/>
          <w:b/>
          <w:sz w:val="18"/>
          <w:szCs w:val="18"/>
        </w:rPr>
        <w:t>How to read control charts</w:t>
      </w:r>
    </w:p>
    <w:p w14:paraId="380D141F" w14:textId="2E667480" w:rsidR="0064560A" w:rsidRPr="00397686" w:rsidRDefault="0064560A" w:rsidP="0064560A">
      <w:pPr>
        <w:pStyle w:val="HQSCtablefigurecaption"/>
        <w:spacing w:line="240" w:lineRule="auto"/>
        <w:rPr>
          <w:b w:val="0"/>
          <w:sz w:val="18"/>
          <w:szCs w:val="18"/>
        </w:rPr>
      </w:pPr>
      <w:r w:rsidRPr="00397686">
        <w:rPr>
          <w:b w:val="0"/>
          <w:sz w:val="18"/>
          <w:szCs w:val="18"/>
        </w:rPr>
        <w:t>The teal line shows the average for each period. The first average is based on July 2018 to June 2020.</w:t>
      </w:r>
      <w:r w:rsidR="00E41710">
        <w:rPr>
          <w:b w:val="0"/>
          <w:sz w:val="18"/>
          <w:szCs w:val="18"/>
        </w:rPr>
        <w:t xml:space="preserve"> </w:t>
      </w:r>
      <w:r w:rsidRPr="00397686">
        <w:rPr>
          <w:b w:val="0"/>
          <w:sz w:val="18"/>
          <w:szCs w:val="18"/>
        </w:rPr>
        <w:t>If eight or more points in a row are all above or below the average, this may indicate a shift (special cause variation). If the shift continues, a new average and control limits are calculated from that point (from July 2020 onwards). In some cases, limits may be adjusted manually if a clear shift can be seen.</w:t>
      </w:r>
    </w:p>
    <w:p w14:paraId="68C9CB57" w14:textId="77777777" w:rsidR="0064560A" w:rsidRDefault="0064560A" w:rsidP="0064560A">
      <w:pPr>
        <w:pStyle w:val="HQSCtablefigurecaption"/>
        <w:spacing w:line="240" w:lineRule="auto"/>
        <w:rPr>
          <w:b w:val="0"/>
          <w:sz w:val="18"/>
          <w:szCs w:val="18"/>
        </w:rPr>
      </w:pPr>
      <w:r w:rsidRPr="00397686">
        <w:rPr>
          <w:b w:val="0"/>
          <w:sz w:val="18"/>
          <w:szCs w:val="18"/>
        </w:rPr>
        <w:t>The red dashed lines show the upper and lower control limits, where most data should fall. Points outside these limits may indicate special cause variation.</w:t>
      </w:r>
    </w:p>
    <w:p w14:paraId="4B64D33D" w14:textId="77777777" w:rsidR="0039251B" w:rsidRPr="00397686" w:rsidRDefault="0039251B" w:rsidP="0039251B">
      <w:pPr>
        <w:spacing w:line="240" w:lineRule="auto"/>
      </w:pPr>
      <w:r>
        <w:rPr>
          <w:rFonts w:cs="Arial"/>
          <w:sz w:val="18"/>
          <w:szCs w:val="18"/>
        </w:rPr>
        <w:t>The chart shows the number of events by month and year of the date the event was notified internally.</w:t>
      </w:r>
    </w:p>
    <w:p w14:paraId="202190F0" w14:textId="1545593F" w:rsidR="00A96EEF" w:rsidRPr="00397686" w:rsidRDefault="00A96EEF" w:rsidP="00A96EEF">
      <w:pPr>
        <w:pStyle w:val="FigurecaptionHQSC"/>
      </w:pPr>
      <w:bookmarkStart w:id="33" w:name="_Toc233888619"/>
      <w:r>
        <w:t xml:space="preserve">Figure A3: Reported SAC 1 and 2 harm </w:t>
      </w:r>
      <w:r w:rsidR="007802B5">
        <w:t xml:space="preserve">(adverse) </w:t>
      </w:r>
      <w:r>
        <w:t xml:space="preserve">events, pressure injuries, </w:t>
      </w:r>
      <w:r w:rsidRPr="00397686">
        <w:t>J</w:t>
      </w:r>
      <w:r w:rsidR="56D1581C">
        <w:t>uly</w:t>
      </w:r>
      <w:r>
        <w:t xml:space="preserve"> 201</w:t>
      </w:r>
      <w:r w:rsidR="7CEB7D0F">
        <w:t>8</w:t>
      </w:r>
      <w:r w:rsidRPr="00397686">
        <w:t>–</w:t>
      </w:r>
      <w:r>
        <w:t>J</w:t>
      </w:r>
      <w:r w:rsidR="23A498E5">
        <w:t>une</w:t>
      </w:r>
      <w:r>
        <w:t xml:space="preserve"> 2025</w:t>
      </w:r>
      <w:bookmarkEnd w:id="33"/>
    </w:p>
    <w:p w14:paraId="42C21C4E" w14:textId="77777777" w:rsidR="00A96EEF" w:rsidRPr="00397686" w:rsidRDefault="00A96EEF" w:rsidP="00922099">
      <w:pPr>
        <w:pStyle w:val="BodytextHQSC"/>
      </w:pPr>
      <w:bookmarkStart w:id="34" w:name="_Toc230175948"/>
      <w:r w:rsidRPr="00397686">
        <w:rPr>
          <w:noProof/>
        </w:rPr>
        <w:drawing>
          <wp:inline distT="0" distB="0" distL="0" distR="0" wp14:anchorId="313764EE" wp14:editId="00C01889">
            <wp:extent cx="5760000" cy="2924683"/>
            <wp:effectExtent l="0" t="0" r="0" b="9525"/>
            <wp:docPr id="136772883" name="drawing" descr="The control chart shows reported SAC 1 and 2 pressure injury harm (adverse) events from July 2018 to June 2025, with the x axis showing time and the y axis showing number of events. A single line fluctuates over time, starting at an astronomical point of nearly 30 events in July 2018 dropping immediately to 10 events in August 2018. The average number of events starts at 9 monthly events and shifts up to 15 monthly events in mid-2020, which is sustained to June 2025. The red dashed control limits follow a similar pattern to the avera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2883" name="drawing" descr="The control chart shows reported SAC 1 and 2 pressure injury harm (adverse) events from July 2018 to June 2025, with the x axis showing time and the y axis showing number of events. A single line fluctuates over time, starting at an astronomical point of nearly 30 events in July 2018 dropping immediately to 10 events in August 2018. The average number of events starts at 9 monthly events and shifts up to 15 monthly events in mid-2020, which is sustained to June 2025. The red dashed control limits follow a similar pattern to the average line."/>
                    <pic:cNvPicPr/>
                  </pic:nvPicPr>
                  <pic:blipFill>
                    <a:blip r:embed="rId22"/>
                    <a:srcRect t="410" b="410"/>
                    <a:stretch>
                      <a:fillRect/>
                    </a:stretch>
                  </pic:blipFill>
                  <pic:spPr bwMode="auto">
                    <a:xfrm>
                      <a:off x="0" y="0"/>
                      <a:ext cx="5760000" cy="2924683"/>
                    </a:xfrm>
                    <a:prstGeom prst="rect">
                      <a:avLst/>
                    </a:prstGeom>
                    <a:ln>
                      <a:noFill/>
                    </a:ln>
                    <a:extLst>
                      <a:ext uri="{53640926-AAD7-44D8-BBD7-CCE9431645EC}">
                        <a14:shadowObscured xmlns:a14="http://schemas.microsoft.com/office/drawing/2010/main"/>
                      </a:ext>
                    </a:extLst>
                  </pic:spPr>
                </pic:pic>
              </a:graphicData>
            </a:graphic>
          </wp:inline>
        </w:drawing>
      </w:r>
      <w:bookmarkEnd w:id="34"/>
    </w:p>
    <w:p w14:paraId="2BC4C35D" w14:textId="77777777" w:rsidR="00A96EEF" w:rsidRPr="00397686" w:rsidRDefault="00A96EEF" w:rsidP="006B2A8F">
      <w:pPr>
        <w:keepNext/>
        <w:spacing w:after="0" w:line="240" w:lineRule="auto"/>
        <w:rPr>
          <w:rFonts w:cs="Arial"/>
          <w:b/>
          <w:bCs/>
          <w:sz w:val="18"/>
          <w:szCs w:val="18"/>
        </w:rPr>
      </w:pPr>
      <w:r w:rsidRPr="00397686">
        <w:rPr>
          <w:rFonts w:cs="Arial"/>
          <w:b/>
          <w:bCs/>
          <w:sz w:val="18"/>
          <w:szCs w:val="18"/>
        </w:rPr>
        <w:lastRenderedPageBreak/>
        <w:t xml:space="preserve">Note: </w:t>
      </w:r>
    </w:p>
    <w:p w14:paraId="36879742" w14:textId="77777777" w:rsidR="00A96EEF" w:rsidRPr="00397686" w:rsidRDefault="00A96EEF" w:rsidP="006B2A8F">
      <w:pPr>
        <w:keepNext/>
        <w:spacing w:line="240" w:lineRule="auto"/>
        <w:rPr>
          <w:rFonts w:cs="Arial"/>
          <w:b/>
          <w:sz w:val="18"/>
          <w:szCs w:val="18"/>
        </w:rPr>
      </w:pPr>
      <w:r w:rsidRPr="00397686">
        <w:rPr>
          <w:rFonts w:cs="Arial"/>
          <w:b/>
          <w:bCs/>
          <w:sz w:val="18"/>
          <w:szCs w:val="18"/>
        </w:rPr>
        <w:t>How</w:t>
      </w:r>
      <w:r w:rsidRPr="00397686">
        <w:rPr>
          <w:rFonts w:cs="Arial"/>
          <w:b/>
          <w:sz w:val="18"/>
          <w:szCs w:val="18"/>
        </w:rPr>
        <w:t xml:space="preserve"> to read control charts</w:t>
      </w:r>
    </w:p>
    <w:p w14:paraId="66E6162A" w14:textId="52C797C0" w:rsidR="00A96EEF" w:rsidRPr="00397686" w:rsidRDefault="00A96EEF" w:rsidP="006B2A8F">
      <w:pPr>
        <w:pStyle w:val="HQSCtablefigurecaption"/>
        <w:keepNext/>
        <w:spacing w:line="240" w:lineRule="auto"/>
        <w:rPr>
          <w:b w:val="0"/>
          <w:sz w:val="18"/>
          <w:szCs w:val="18"/>
        </w:rPr>
      </w:pPr>
      <w:r w:rsidRPr="00397686">
        <w:rPr>
          <w:b w:val="0"/>
          <w:sz w:val="18"/>
          <w:szCs w:val="18"/>
        </w:rPr>
        <w:t>The teal line shows the average for each period. The first average is based on July 2018 to June 2020.</w:t>
      </w:r>
      <w:r w:rsidR="00E41710">
        <w:rPr>
          <w:b w:val="0"/>
          <w:sz w:val="18"/>
          <w:szCs w:val="18"/>
        </w:rPr>
        <w:t xml:space="preserve"> </w:t>
      </w:r>
      <w:r w:rsidRPr="00397686">
        <w:rPr>
          <w:b w:val="0"/>
          <w:sz w:val="18"/>
          <w:szCs w:val="18"/>
        </w:rPr>
        <w:t>If eight or more points in a row are all above or below the average, this may indicate a shift (special cause variation). If the shift continues, a new average and control limits are calculated from that point (from July 2020 onwards). In some cases, limits may be adjusted manually if a clear shift can be seen.</w:t>
      </w:r>
    </w:p>
    <w:p w14:paraId="23ED3562" w14:textId="77777777" w:rsidR="00A96EEF" w:rsidRDefault="00A96EEF" w:rsidP="00A96EEF">
      <w:pPr>
        <w:pStyle w:val="HQSCtablefigurecaption"/>
        <w:spacing w:line="240" w:lineRule="auto"/>
        <w:rPr>
          <w:b w:val="0"/>
          <w:sz w:val="18"/>
          <w:szCs w:val="18"/>
        </w:rPr>
      </w:pPr>
      <w:r w:rsidRPr="00397686">
        <w:rPr>
          <w:b w:val="0"/>
          <w:sz w:val="18"/>
          <w:szCs w:val="18"/>
        </w:rPr>
        <w:t>The red dashed lines show the upper and lower control limits, where most data should fall. Points outside these limits may indicate special cause variation.</w:t>
      </w:r>
    </w:p>
    <w:p w14:paraId="3572CA4F" w14:textId="77777777" w:rsidR="0039251B" w:rsidRPr="00397686" w:rsidRDefault="0039251B" w:rsidP="0039251B">
      <w:pPr>
        <w:spacing w:line="240" w:lineRule="auto"/>
      </w:pPr>
      <w:r>
        <w:rPr>
          <w:rFonts w:cs="Arial"/>
          <w:sz w:val="18"/>
          <w:szCs w:val="18"/>
        </w:rPr>
        <w:t>The chart shows the number of events by month and year of the date the event was notified internally.</w:t>
      </w:r>
    </w:p>
    <w:p w14:paraId="65B27DD3" w14:textId="582C3B99" w:rsidR="00A96EEF" w:rsidRPr="00397686" w:rsidRDefault="00A96EEF" w:rsidP="00A96EEF">
      <w:pPr>
        <w:pStyle w:val="FigurecaptionHQSC"/>
      </w:pPr>
      <w:bookmarkStart w:id="35" w:name="_Toc230167122"/>
      <w:bookmarkStart w:id="36" w:name="_Toc230175949"/>
      <w:bookmarkStart w:id="37" w:name="_Toc233888620"/>
      <w:r w:rsidRPr="00397686">
        <w:t xml:space="preserve">Figure A4: Rate of hospital-acquired </w:t>
      </w:r>
      <w:r w:rsidR="00402237">
        <w:t xml:space="preserve">pressure </w:t>
      </w:r>
      <w:r w:rsidRPr="00397686">
        <w:t xml:space="preserve">injuries per 100 episodes, </w:t>
      </w:r>
      <w:r w:rsidR="00DB461E" w:rsidRPr="00397686">
        <w:t>Q1</w:t>
      </w:r>
      <w:r w:rsidR="00DB461E">
        <w:t xml:space="preserve"> </w:t>
      </w:r>
      <w:r w:rsidRPr="00397686">
        <w:t>2017–</w:t>
      </w:r>
      <w:r w:rsidR="00DB461E" w:rsidRPr="00DB461E">
        <w:t xml:space="preserve"> </w:t>
      </w:r>
      <w:r w:rsidR="00DB461E" w:rsidRPr="00397686">
        <w:t>Q2</w:t>
      </w:r>
      <w:r w:rsidR="00DB461E">
        <w:t xml:space="preserve"> </w:t>
      </w:r>
      <w:r w:rsidRPr="00397686">
        <w:t>2025, with baseline of 2017–2019 (NMDS)</w:t>
      </w:r>
      <w:bookmarkEnd w:id="35"/>
      <w:bookmarkEnd w:id="36"/>
      <w:bookmarkEnd w:id="37"/>
    </w:p>
    <w:p w14:paraId="0B91E491" w14:textId="77777777" w:rsidR="00A96EEF" w:rsidRPr="00397686" w:rsidRDefault="00A96EEF" w:rsidP="00A96EEF">
      <w:pPr>
        <w:pStyle w:val="BodytextHQSC"/>
        <w:rPr>
          <w:sz w:val="24"/>
          <w:szCs w:val="24"/>
        </w:rPr>
      </w:pPr>
      <w:bookmarkStart w:id="38" w:name="_Toc230175950"/>
      <w:r w:rsidRPr="00397686">
        <w:rPr>
          <w:noProof/>
        </w:rPr>
        <w:drawing>
          <wp:inline distT="0" distB="0" distL="0" distR="0" wp14:anchorId="507763A0" wp14:editId="33A2082D">
            <wp:extent cx="5756275" cy="2838615"/>
            <wp:effectExtent l="0" t="0" r="0" b="0"/>
            <wp:docPr id="633773924" name="Picture 1" descr="The chart shows the rate of hospital‑acquired injuries per 100 admissions from 2017 Q1 to 2025 Q2, with the x axis showing time by quarter and the y axis showing rate per 100 admissions. A purple line with shaded confidence intervals fluctuates over time above a red dotted baseline of just under 0.50, with an overall increase in values to consistently sit over the baseline from around 2021 on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73924" name="Picture 1" descr="The chart shows the rate of hospital‑acquired injuries per 100 admissions from 2017 Q1 to 2025 Q2, with the x axis showing time by quarter and the y axis showing rate per 100 admissions. A purple line with shaded confidence intervals fluctuates over time above a red dotted baseline of just under 0.50, with an overall increase in values to consistently sit over the baseline from around 2021 onwards.&#10;"/>
                    <pic:cNvPicPr/>
                  </pic:nvPicPr>
                  <pic:blipFill rotWithShape="1">
                    <a:blip r:embed="rId23"/>
                    <a:srcRect t="4494" r="4060" b="11781"/>
                    <a:stretch>
                      <a:fillRect/>
                    </a:stretch>
                  </pic:blipFill>
                  <pic:spPr bwMode="auto">
                    <a:xfrm>
                      <a:off x="0" y="0"/>
                      <a:ext cx="5757893" cy="2839413"/>
                    </a:xfrm>
                    <a:prstGeom prst="rect">
                      <a:avLst/>
                    </a:prstGeom>
                    <a:ln>
                      <a:noFill/>
                    </a:ln>
                    <a:extLst>
                      <a:ext uri="{53640926-AAD7-44D8-BBD7-CCE9431645EC}">
                        <a14:shadowObscured xmlns:a14="http://schemas.microsoft.com/office/drawing/2010/main"/>
                      </a:ext>
                    </a:extLst>
                  </pic:spPr>
                </pic:pic>
              </a:graphicData>
            </a:graphic>
          </wp:inline>
        </w:drawing>
      </w:r>
      <w:bookmarkEnd w:id="38"/>
    </w:p>
    <w:p w14:paraId="76FA4B24" w14:textId="285F99BE" w:rsidR="00A96EEF" w:rsidRPr="00397686" w:rsidRDefault="00A96EEF" w:rsidP="00A96EEF">
      <w:pPr>
        <w:pStyle w:val="FigurecaptionHQSC"/>
      </w:pPr>
      <w:bookmarkStart w:id="39" w:name="_Toc230175951"/>
      <w:bookmarkStart w:id="40" w:name="_Toc233888621"/>
      <w:bookmarkStart w:id="41" w:name="_Toc230167124"/>
      <w:r w:rsidRPr="00397686">
        <w:lastRenderedPageBreak/>
        <w:t>Figure A5:</w:t>
      </w:r>
      <w:r w:rsidRPr="00397686">
        <w:rPr>
          <w:bCs/>
        </w:rPr>
        <w:t xml:space="preserve"> </w:t>
      </w:r>
      <w:r w:rsidRPr="00397686">
        <w:t>Hospital acquired pressure injuries identified in hospitalisation data to triangulate with SAC 1 and 2 harm events of pressure injuries, by age group, Jan 2017–June 2025</w:t>
      </w:r>
      <w:bookmarkEnd w:id="39"/>
      <w:bookmarkEnd w:id="40"/>
    </w:p>
    <w:bookmarkEnd w:id="41"/>
    <w:p w14:paraId="7B219451" w14:textId="77B40D33" w:rsidR="00A96EEF" w:rsidRPr="00397686" w:rsidRDefault="00D46277" w:rsidP="00A96EEF">
      <w:pPr>
        <w:pStyle w:val="BodytextHQSC"/>
        <w:rPr>
          <w:sz w:val="24"/>
          <w:szCs w:val="24"/>
        </w:rPr>
      </w:pPr>
      <w:r w:rsidRPr="00B77BCB">
        <w:rPr>
          <w:noProof/>
        </w:rPr>
        <w:drawing>
          <wp:inline distT="0" distB="0" distL="0" distR="0" wp14:anchorId="516B5470" wp14:editId="1317A3C6">
            <wp:extent cx="5619750" cy="3917950"/>
            <wp:effectExtent l="0" t="0" r="0" b="6350"/>
            <wp:docPr id="792469422" name="Picture 2" descr="The bar chart shows rates of hospital‑acquired pressure injuries per 100 admissions by age group, with the x axis showing the age groups of 18–44 years, 45–54 years, 55–74 years, 75–84 years and 85+ years and the y axis showing rates with confidence intervals. Grouped bars in different shades of purple represent the population groups of Māori, Pacific, Asian and European/other respectively. The rates generally increase with age, with the highest rates in the 85+ year group and visible variation between groups. The rates tend to be highest for Māori though these are always significantly higher. The rates tend to be lowest for Asian people, and are not also significantly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69422" name="Picture 2" descr="The bar chart shows rates of hospital‑acquired pressure injuries per 100 admissions by age group, with the x axis showing the age groups of 18–44 years, 45–54 years, 55–74 years, 75–84 years and 85+ years and the y axis showing rates with confidence intervals. Grouped bars in different shades of purple represent the population groups of Māori, Pacific, Asian and European/other respectively. The rates generally increase with age, with the highest rates in the 85+ year group and visible variation between groups. The rates tend to be highest for Māori though these are always significantly higher. The rates tend to be lowest for Asian people, and are not also significantly lower.&#10;"/>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a:fillRect/>
                    </a:stretch>
                  </pic:blipFill>
                  <pic:spPr bwMode="auto">
                    <a:xfrm>
                      <a:off x="0" y="0"/>
                      <a:ext cx="5619750" cy="3917950"/>
                    </a:xfrm>
                    <a:prstGeom prst="rect">
                      <a:avLst/>
                    </a:prstGeom>
                    <a:noFill/>
                    <a:ln>
                      <a:noFill/>
                    </a:ln>
                    <a:extLst>
                      <a:ext uri="{53640926-AAD7-44D8-BBD7-CCE9431645EC}">
                        <a14:shadowObscured xmlns:a14="http://schemas.microsoft.com/office/drawing/2010/main"/>
                      </a:ext>
                    </a:extLst>
                  </pic:spPr>
                </pic:pic>
              </a:graphicData>
            </a:graphic>
          </wp:inline>
        </w:drawing>
      </w:r>
    </w:p>
    <w:p w14:paraId="5243EB86" w14:textId="2D447D1C" w:rsidR="00A96EEF" w:rsidRPr="00397686" w:rsidRDefault="00A96EEF" w:rsidP="000A4BBD">
      <w:pPr>
        <w:pStyle w:val="FigurecaptionHQSC"/>
        <w:spacing w:after="0"/>
      </w:pPr>
      <w:bookmarkStart w:id="42" w:name="_Toc230167126"/>
      <w:bookmarkStart w:id="43" w:name="_Toc230175953"/>
      <w:bookmarkStart w:id="44" w:name="_Toc233888622"/>
      <w:r>
        <w:t xml:space="preserve">Figure A6: Reported SAC 1 and 2 harm </w:t>
      </w:r>
      <w:r w:rsidR="0011537F">
        <w:t>(adverse)</w:t>
      </w:r>
      <w:r w:rsidRPr="00397686">
        <w:t xml:space="preserve"> </w:t>
      </w:r>
      <w:r>
        <w:t>events, deterioration, J</w:t>
      </w:r>
      <w:r w:rsidR="00BB62E3">
        <w:t>ul</w:t>
      </w:r>
      <w:r w:rsidR="3C635957">
        <w:t>y</w:t>
      </w:r>
      <w:r>
        <w:t xml:space="preserve"> </w:t>
      </w:r>
      <w:r w:rsidR="0001160B" w:rsidRPr="00397686">
        <w:t>201</w:t>
      </w:r>
      <w:r w:rsidR="0001160B">
        <w:t>8</w:t>
      </w:r>
      <w:r w:rsidRPr="00397686">
        <w:t>–</w:t>
      </w:r>
      <w:r>
        <w:t>J</w:t>
      </w:r>
      <w:r w:rsidR="14B10C29">
        <w:t>une</w:t>
      </w:r>
      <w:r>
        <w:t xml:space="preserve"> 2025</w:t>
      </w:r>
      <w:bookmarkEnd w:id="42"/>
      <w:bookmarkEnd w:id="43"/>
      <w:bookmarkEnd w:id="44"/>
    </w:p>
    <w:p w14:paraId="12AF5683" w14:textId="77777777" w:rsidR="00A96EEF" w:rsidRPr="00397686" w:rsidRDefault="00A96EEF" w:rsidP="00C933C8">
      <w:pPr>
        <w:pStyle w:val="BodytextHQSC"/>
      </w:pPr>
      <w:bookmarkStart w:id="45" w:name="_Toc230175954"/>
      <w:r w:rsidRPr="00397686">
        <w:rPr>
          <w:noProof/>
        </w:rPr>
        <w:drawing>
          <wp:inline distT="0" distB="0" distL="0" distR="0" wp14:anchorId="7B3AC9FF" wp14:editId="2D0E4F13">
            <wp:extent cx="5547342" cy="2685058"/>
            <wp:effectExtent l="0" t="0" r="0" b="1270"/>
            <wp:docPr id="1701780803" name="Picture 1" descr="The control chart shows reported SAC 1 and 2 deterioration harm (adverse) events from July 2018 to June 2025, with the x axis showing time and the y axis showing number of events. A single line fluctuates over time. The average number of events starts at 5 monthly events and shifts down to 3 monthly events in mid-2021, which is sustained to June 2025. The red dashed control limits follow a similar pattern to the avera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80803" name="Picture 1" descr="The control chart shows reported SAC 1 and 2 deterioration harm (adverse) events from July 2018 to June 2025, with the x axis showing time and the y axis showing number of events. A single line fluctuates over time. The average number of events starts at 5 monthly events and shifts down to 3 monthly events in mid-2021, which is sustained to June 2025. The red dashed control limits follow a similar pattern to the average line."/>
                    <pic:cNvPicPr/>
                  </pic:nvPicPr>
                  <pic:blipFill>
                    <a:blip r:embed="rId25"/>
                    <a:srcRect t="3521" b="3521"/>
                    <a:stretch>
                      <a:fillRect/>
                    </a:stretch>
                  </pic:blipFill>
                  <pic:spPr bwMode="auto">
                    <a:xfrm>
                      <a:off x="0" y="0"/>
                      <a:ext cx="5547342" cy="2685058"/>
                    </a:xfrm>
                    <a:prstGeom prst="rect">
                      <a:avLst/>
                    </a:prstGeom>
                    <a:ln>
                      <a:noFill/>
                    </a:ln>
                    <a:extLst>
                      <a:ext uri="{53640926-AAD7-44D8-BBD7-CCE9431645EC}">
                        <a14:shadowObscured xmlns:a14="http://schemas.microsoft.com/office/drawing/2010/main"/>
                      </a:ext>
                    </a:extLst>
                  </pic:spPr>
                </pic:pic>
              </a:graphicData>
            </a:graphic>
          </wp:inline>
        </w:drawing>
      </w:r>
      <w:bookmarkEnd w:id="45"/>
    </w:p>
    <w:p w14:paraId="6B96A978" w14:textId="77777777" w:rsidR="00A96EEF" w:rsidRPr="00397686" w:rsidRDefault="00A96EEF" w:rsidP="00C933C8">
      <w:pPr>
        <w:spacing w:after="0" w:line="240" w:lineRule="auto"/>
        <w:rPr>
          <w:rFonts w:cs="Arial"/>
          <w:b/>
          <w:bCs/>
          <w:sz w:val="18"/>
          <w:szCs w:val="18"/>
        </w:rPr>
      </w:pPr>
      <w:r w:rsidRPr="00397686">
        <w:rPr>
          <w:rFonts w:cs="Arial"/>
          <w:b/>
          <w:bCs/>
          <w:sz w:val="18"/>
          <w:szCs w:val="18"/>
        </w:rPr>
        <w:t xml:space="preserve">Note: </w:t>
      </w:r>
    </w:p>
    <w:p w14:paraId="0DF03E2F" w14:textId="77777777" w:rsidR="00A96EEF" w:rsidRPr="00397686" w:rsidRDefault="00A96EEF" w:rsidP="00DC653D">
      <w:pPr>
        <w:spacing w:after="80" w:line="240" w:lineRule="auto"/>
        <w:rPr>
          <w:rFonts w:cs="Arial"/>
          <w:b/>
          <w:sz w:val="18"/>
          <w:szCs w:val="18"/>
        </w:rPr>
      </w:pPr>
      <w:r w:rsidRPr="00397686">
        <w:rPr>
          <w:rFonts w:cs="Arial"/>
          <w:b/>
          <w:sz w:val="18"/>
          <w:szCs w:val="18"/>
        </w:rPr>
        <w:t>How to read control charts</w:t>
      </w:r>
    </w:p>
    <w:p w14:paraId="702AEF6D" w14:textId="0BCA7AF2" w:rsidR="00A96EEF" w:rsidRPr="00397686" w:rsidRDefault="00A96EEF" w:rsidP="000A4BBD">
      <w:pPr>
        <w:pStyle w:val="HQSCtablefigurecaption"/>
        <w:spacing w:after="80" w:line="240" w:lineRule="auto"/>
        <w:rPr>
          <w:b w:val="0"/>
          <w:sz w:val="18"/>
          <w:szCs w:val="18"/>
        </w:rPr>
      </w:pPr>
      <w:r w:rsidRPr="00397686">
        <w:rPr>
          <w:b w:val="0"/>
          <w:sz w:val="18"/>
          <w:szCs w:val="18"/>
        </w:rPr>
        <w:t>The teal line shows the average for each period. The first average is based on July 2018 to June 2020.</w:t>
      </w:r>
      <w:r w:rsidR="003E4FE6">
        <w:rPr>
          <w:b w:val="0"/>
          <w:sz w:val="18"/>
          <w:szCs w:val="18"/>
        </w:rPr>
        <w:t xml:space="preserve"> </w:t>
      </w:r>
      <w:r w:rsidRPr="00397686">
        <w:rPr>
          <w:b w:val="0"/>
          <w:sz w:val="18"/>
          <w:szCs w:val="18"/>
        </w:rPr>
        <w:t>If eight or more points in a row are all above or below the average, this may indicate a shift (special cause variation). If the shift continues, a new average and control limits are calculated from that point (from July 2020 onwards). In some cases, limits may be adjusted manually if a clear shift can be seen.</w:t>
      </w:r>
    </w:p>
    <w:p w14:paraId="3A302BCC" w14:textId="77777777" w:rsidR="00A96EEF" w:rsidRDefault="41AA417B" w:rsidP="000A4BBD">
      <w:pPr>
        <w:pStyle w:val="HQSCtablefigurecaption"/>
        <w:spacing w:after="80" w:line="240" w:lineRule="auto"/>
        <w:rPr>
          <w:b w:val="0"/>
          <w:sz w:val="18"/>
          <w:szCs w:val="18"/>
        </w:rPr>
      </w:pPr>
      <w:r w:rsidRPr="1610C33C">
        <w:rPr>
          <w:b w:val="0"/>
          <w:sz w:val="18"/>
          <w:szCs w:val="18"/>
        </w:rPr>
        <w:lastRenderedPageBreak/>
        <w:t>The red dashed lines show the upper and lower control limits, where most data should fall. Points outside these limits may indicate special cause variation.</w:t>
      </w:r>
    </w:p>
    <w:p w14:paraId="26F16AAA" w14:textId="77777777" w:rsidR="0039251B" w:rsidRPr="00397686" w:rsidRDefault="053F49B8" w:rsidP="0039251B">
      <w:pPr>
        <w:spacing w:line="240" w:lineRule="auto"/>
      </w:pPr>
      <w:r w:rsidRPr="1610C33C">
        <w:rPr>
          <w:rFonts w:cs="Arial"/>
          <w:sz w:val="18"/>
          <w:szCs w:val="18"/>
        </w:rPr>
        <w:t>The chart shows the number of events by month and year of the date the event was notified internally.</w:t>
      </w:r>
    </w:p>
    <w:p w14:paraId="4AEB5323" w14:textId="7EB4A194" w:rsidR="00C933C8" w:rsidRPr="000D4FB8" w:rsidRDefault="00A96EEF" w:rsidP="000A4BBD">
      <w:pPr>
        <w:pStyle w:val="FigurecaptionHQSC"/>
        <w:spacing w:after="0"/>
      </w:pPr>
      <w:bookmarkStart w:id="46" w:name="_Toc230167128"/>
      <w:bookmarkStart w:id="47" w:name="_Toc233888623"/>
      <w:bookmarkStart w:id="48" w:name="_Toc230175955"/>
      <w:r w:rsidRPr="000D4FB8">
        <w:t xml:space="preserve">Figure A7: Reported SAC 1 and 2 </w:t>
      </w:r>
      <w:r w:rsidR="00E75CB1" w:rsidRPr="00E75CB1">
        <w:t xml:space="preserve">harm (adverse) events, </w:t>
      </w:r>
      <w:r w:rsidRPr="000D4FB8">
        <w:t>clinical administration</w:t>
      </w:r>
      <w:r w:rsidR="006F4129">
        <w:t>,</w:t>
      </w:r>
      <w:r w:rsidRPr="000D4FB8">
        <w:t xml:space="preserve"> </w:t>
      </w:r>
      <w:r w:rsidR="007215AF" w:rsidRPr="000D4FB8">
        <w:t>Jul</w:t>
      </w:r>
      <w:r w:rsidR="412F438F" w:rsidRPr="000D4FB8">
        <w:t>y</w:t>
      </w:r>
      <w:r w:rsidR="007215AF" w:rsidRPr="000D4FB8">
        <w:t xml:space="preserve"> 2018</w:t>
      </w:r>
      <w:r w:rsidRPr="000D4FB8">
        <w:t>–J</w:t>
      </w:r>
      <w:r w:rsidR="3068A95E" w:rsidRPr="000D4FB8">
        <w:t>une</w:t>
      </w:r>
      <w:r w:rsidRPr="000D4FB8">
        <w:t xml:space="preserve"> 2025</w:t>
      </w:r>
      <w:bookmarkEnd w:id="46"/>
      <w:bookmarkEnd w:id="47"/>
    </w:p>
    <w:p w14:paraId="40BA5A54" w14:textId="444CA1E3" w:rsidR="00A96EEF" w:rsidRPr="00397686" w:rsidRDefault="00A96EEF" w:rsidP="00C933C8">
      <w:pPr>
        <w:pStyle w:val="BodytextHQSC"/>
      </w:pPr>
      <w:r w:rsidRPr="00397686">
        <w:rPr>
          <w:noProof/>
        </w:rPr>
        <w:drawing>
          <wp:inline distT="0" distB="0" distL="0" distR="0" wp14:anchorId="35BD1467" wp14:editId="3289F29B">
            <wp:extent cx="5580000" cy="2778627"/>
            <wp:effectExtent l="0" t="0" r="1905" b="3175"/>
            <wp:docPr id="1905471105" name="drawing" descr="The chart shows reported SAC 1 and 2 clinical administration harm events from July 2018 to January 2025, with the x axis showing time and the y axis showing number of events. A single line fluctuates at low values (an average of one monthly event), and a gradual increase in the average level in 2023 to around three monthly events, with a spike of seven events at the end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1105" name="drawing" descr="The chart shows reported SAC 1 and 2 clinical administration harm events from July 2018 to January 2025, with the x axis showing time and the y axis showing number of events. A single line fluctuates at low values (an average of one monthly event), and a gradual increase in the average level in 2023 to around three monthly events, with a spike of seven events at the end of 2024."/>
                    <pic:cNvPicPr/>
                  </pic:nvPicPr>
                  <pic:blipFill>
                    <a:blip r:embed="rId26"/>
                    <a:srcRect t="2418" b="2418"/>
                    <a:stretch>
                      <a:fillRect/>
                    </a:stretch>
                  </pic:blipFill>
                  <pic:spPr bwMode="auto">
                    <a:xfrm>
                      <a:off x="0" y="0"/>
                      <a:ext cx="5580000" cy="2778627"/>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4828219B" w14:textId="77777777" w:rsidR="00A96EEF" w:rsidRPr="00397686" w:rsidRDefault="00A96EEF" w:rsidP="00C933C8">
      <w:pPr>
        <w:spacing w:after="0" w:line="240" w:lineRule="auto"/>
        <w:rPr>
          <w:rFonts w:cs="Arial"/>
          <w:b/>
          <w:bCs/>
          <w:sz w:val="18"/>
          <w:szCs w:val="18"/>
        </w:rPr>
      </w:pPr>
      <w:r w:rsidRPr="00397686">
        <w:rPr>
          <w:rFonts w:cs="Arial"/>
          <w:b/>
          <w:bCs/>
          <w:sz w:val="18"/>
          <w:szCs w:val="18"/>
        </w:rPr>
        <w:t xml:space="preserve">Note: </w:t>
      </w:r>
    </w:p>
    <w:p w14:paraId="057A4E6A" w14:textId="7D0F941F" w:rsidR="0039251B" w:rsidRPr="00397686" w:rsidRDefault="053F49B8" w:rsidP="1610C33C">
      <w:pPr>
        <w:spacing w:after="80" w:line="240" w:lineRule="auto"/>
        <w:rPr>
          <w:rFonts w:cs="Arial"/>
          <w:b/>
          <w:bCs/>
          <w:sz w:val="18"/>
          <w:szCs w:val="18"/>
        </w:rPr>
      </w:pPr>
      <w:r w:rsidRPr="1610C33C">
        <w:rPr>
          <w:rFonts w:cs="Arial"/>
          <w:sz w:val="18"/>
          <w:szCs w:val="18"/>
        </w:rPr>
        <w:t>The chart shows the number of events by month and year of the date the event was notified internally.</w:t>
      </w:r>
    </w:p>
    <w:p w14:paraId="4499FA30" w14:textId="3D79009A" w:rsidR="00A96EEF" w:rsidRPr="00397686" w:rsidRDefault="00A96EEF" w:rsidP="00FD1E59">
      <w:pPr>
        <w:pStyle w:val="FigurecaptionHQSC"/>
      </w:pPr>
      <w:bookmarkStart w:id="49" w:name="_Toc230167130"/>
      <w:bookmarkStart w:id="50" w:name="_Toc230175956"/>
      <w:bookmarkStart w:id="51" w:name="_Toc233888624"/>
      <w:r>
        <w:t xml:space="preserve">Figure A8: Reported SAC 1 and 2 harm </w:t>
      </w:r>
      <w:r w:rsidR="0011537F">
        <w:t xml:space="preserve">(adverse) </w:t>
      </w:r>
      <w:r>
        <w:t xml:space="preserve">events, complications, </w:t>
      </w:r>
      <w:r w:rsidR="00A7062B">
        <w:t xml:space="preserve">July </w:t>
      </w:r>
      <w:r w:rsidR="00A7062B" w:rsidRPr="00397686">
        <w:t>201</w:t>
      </w:r>
      <w:r w:rsidR="00A7062B">
        <w:t>8</w:t>
      </w:r>
      <w:r w:rsidRPr="00397686">
        <w:t>–J</w:t>
      </w:r>
      <w:r w:rsidR="32C9E64C">
        <w:t>une</w:t>
      </w:r>
      <w:r>
        <w:t xml:space="preserve"> 2025</w:t>
      </w:r>
      <w:bookmarkEnd w:id="49"/>
      <w:bookmarkEnd w:id="50"/>
      <w:bookmarkEnd w:id="51"/>
    </w:p>
    <w:p w14:paraId="621FD196" w14:textId="77777777" w:rsidR="00A96EEF" w:rsidRPr="00397686" w:rsidRDefault="00A96EEF" w:rsidP="00FD1E59">
      <w:pPr>
        <w:pStyle w:val="BodytextHQSC"/>
      </w:pPr>
      <w:bookmarkStart w:id="52" w:name="_Toc230175957"/>
      <w:r w:rsidRPr="00397686">
        <w:rPr>
          <w:noProof/>
        </w:rPr>
        <w:drawing>
          <wp:inline distT="0" distB="0" distL="0" distR="0" wp14:anchorId="5A1329AD" wp14:editId="3EA0F17B">
            <wp:extent cx="5692671" cy="2717670"/>
            <wp:effectExtent l="0" t="0" r="3810" b="6985"/>
            <wp:docPr id="96656483" name="drawing" descr="The control chart shows reported SAC 1 and 2 complication harm (adverse) events from July 2018 to June 2025, with the x axis showing time and the y axis showing number of events. A single line fluctuates over time with several astronomical points of nine or ten events. The teal average line sits at just over three monthly events and a red dashed upper control limit at just under nine monthl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483" name="drawing" descr="The control chart shows reported SAC 1 and 2 complication harm (adverse) events from July 2018 to June 2025, with the x axis showing time and the y axis showing number of events. A single line fluctuates over time with several astronomical points of nine or ten events. The teal average line sits at just over three monthly events and a red dashed upper control limit at just under nine monthly events."/>
                    <pic:cNvPicPr/>
                  </pic:nvPicPr>
                  <pic:blipFill>
                    <a:blip r:embed="rId27"/>
                    <a:srcRect t="2561" b="2561"/>
                    <a:stretch>
                      <a:fillRect/>
                    </a:stretch>
                  </pic:blipFill>
                  <pic:spPr bwMode="auto">
                    <a:xfrm>
                      <a:off x="0" y="0"/>
                      <a:ext cx="5692671" cy="2717670"/>
                    </a:xfrm>
                    <a:prstGeom prst="rect">
                      <a:avLst/>
                    </a:prstGeom>
                    <a:ln>
                      <a:noFill/>
                    </a:ln>
                    <a:extLst>
                      <a:ext uri="{53640926-AAD7-44D8-BBD7-CCE9431645EC}">
                        <a14:shadowObscured xmlns:a14="http://schemas.microsoft.com/office/drawing/2010/main"/>
                      </a:ext>
                    </a:extLst>
                  </pic:spPr>
                </pic:pic>
              </a:graphicData>
            </a:graphic>
          </wp:inline>
        </w:drawing>
      </w:r>
      <w:bookmarkEnd w:id="52"/>
    </w:p>
    <w:p w14:paraId="79B852A3" w14:textId="72B32F4A" w:rsidR="00A96EEF" w:rsidRPr="00397686" w:rsidRDefault="00A96EEF" w:rsidP="005C2E82">
      <w:pPr>
        <w:pStyle w:val="BodytextHQSC"/>
        <w:spacing w:before="0" w:after="0" w:line="240" w:lineRule="auto"/>
        <w:rPr>
          <w:b/>
          <w:bCs/>
          <w:sz w:val="18"/>
          <w:szCs w:val="18"/>
        </w:rPr>
      </w:pPr>
      <w:r w:rsidRPr="00397686">
        <w:rPr>
          <w:b/>
          <w:bCs/>
          <w:sz w:val="18"/>
          <w:szCs w:val="18"/>
        </w:rPr>
        <w:t xml:space="preserve">Note: </w:t>
      </w:r>
    </w:p>
    <w:p w14:paraId="2F472DAE" w14:textId="77777777" w:rsidR="00A96EEF" w:rsidRPr="00397686" w:rsidRDefault="00A96EEF" w:rsidP="005B6122">
      <w:pPr>
        <w:pStyle w:val="BodytextHQSC"/>
        <w:spacing w:before="0" w:after="80" w:line="240" w:lineRule="auto"/>
        <w:rPr>
          <w:b/>
          <w:bCs/>
          <w:sz w:val="18"/>
          <w:szCs w:val="18"/>
        </w:rPr>
      </w:pPr>
      <w:r w:rsidRPr="00397686">
        <w:rPr>
          <w:b/>
          <w:bCs/>
          <w:sz w:val="18"/>
          <w:szCs w:val="18"/>
        </w:rPr>
        <w:t>How to read control charts</w:t>
      </w:r>
    </w:p>
    <w:p w14:paraId="78BF28F8" w14:textId="5B25D24E" w:rsidR="00A96EEF" w:rsidRPr="00397686" w:rsidRDefault="00A96EEF" w:rsidP="005B6122">
      <w:pPr>
        <w:pStyle w:val="BodytextHQSC"/>
        <w:spacing w:before="0" w:after="80" w:line="240" w:lineRule="auto"/>
        <w:rPr>
          <w:sz w:val="18"/>
          <w:szCs w:val="18"/>
        </w:rPr>
      </w:pPr>
      <w:r w:rsidRPr="00397686">
        <w:rPr>
          <w:sz w:val="18"/>
          <w:szCs w:val="18"/>
        </w:rPr>
        <w:t>The teal line shows the average for each period. The first average is based on July 2018 to June 2020.</w:t>
      </w:r>
      <w:r w:rsidR="003E4FE6">
        <w:rPr>
          <w:sz w:val="18"/>
          <w:szCs w:val="18"/>
        </w:rPr>
        <w:t xml:space="preserve"> </w:t>
      </w:r>
      <w:r w:rsidRPr="00397686">
        <w:rPr>
          <w:sz w:val="18"/>
          <w:szCs w:val="18"/>
        </w:rPr>
        <w:t>If eight or more points in a row are all above or below the average, this may indicate a shift (special cause variation). If the shift continues, a new average and control limits are calculated from that point (from July 2020 onwards). In some cases, limits may be adjusted manually if a clear shift can be seen.</w:t>
      </w:r>
    </w:p>
    <w:p w14:paraId="58939838" w14:textId="77777777" w:rsidR="00A96EEF" w:rsidRDefault="41AA417B" w:rsidP="005C2E82">
      <w:pPr>
        <w:pStyle w:val="BodytextHQSC"/>
        <w:spacing w:before="0" w:line="240" w:lineRule="auto"/>
        <w:rPr>
          <w:sz w:val="18"/>
          <w:szCs w:val="18"/>
        </w:rPr>
      </w:pPr>
      <w:r w:rsidRPr="1610C33C">
        <w:rPr>
          <w:sz w:val="18"/>
          <w:szCs w:val="18"/>
        </w:rPr>
        <w:t>The red dashed lines show the upper and lower control limits, where most data should fall. Points outside these limits may indicate special cause variation.</w:t>
      </w:r>
    </w:p>
    <w:p w14:paraId="5B580689" w14:textId="77777777" w:rsidR="00DF4628" w:rsidRPr="00397686" w:rsidRDefault="2FB73793" w:rsidP="00DF4628">
      <w:pPr>
        <w:spacing w:line="240" w:lineRule="auto"/>
      </w:pPr>
      <w:r w:rsidRPr="1610C33C">
        <w:rPr>
          <w:rFonts w:cs="Arial"/>
          <w:sz w:val="18"/>
          <w:szCs w:val="18"/>
        </w:rPr>
        <w:lastRenderedPageBreak/>
        <w:t>The chart shows the number of events by month and year of the date the event was notified internally.</w:t>
      </w:r>
    </w:p>
    <w:p w14:paraId="31438C5D" w14:textId="23B88BE8" w:rsidR="00A96EEF" w:rsidRPr="00397686" w:rsidRDefault="00A96EEF" w:rsidP="005C2E82">
      <w:pPr>
        <w:pStyle w:val="FigurecaptionHQSC"/>
      </w:pPr>
      <w:bookmarkStart w:id="53" w:name="_Toc230167132"/>
      <w:bookmarkStart w:id="54" w:name="_Toc230175958"/>
      <w:bookmarkStart w:id="55" w:name="_Toc233888625"/>
      <w:r>
        <w:t xml:space="preserve">Figure A9: Reported SAC 1 and 2 harm </w:t>
      </w:r>
      <w:r w:rsidR="0011537F">
        <w:t>(adverse)</w:t>
      </w:r>
      <w:r w:rsidRPr="00397686">
        <w:t xml:space="preserve"> </w:t>
      </w:r>
      <w:r>
        <w:t xml:space="preserve">events, delays, </w:t>
      </w:r>
      <w:r w:rsidR="00684544">
        <w:t>Jul</w:t>
      </w:r>
      <w:r w:rsidR="6F7877A0">
        <w:t>y</w:t>
      </w:r>
      <w:r w:rsidR="00684544">
        <w:t xml:space="preserve"> </w:t>
      </w:r>
      <w:r w:rsidRPr="00397686">
        <w:t>201</w:t>
      </w:r>
      <w:r w:rsidR="00684544">
        <w:t>8</w:t>
      </w:r>
      <w:r w:rsidRPr="00397686">
        <w:t>–</w:t>
      </w:r>
      <w:r>
        <w:t>J</w:t>
      </w:r>
      <w:r w:rsidR="715F1FF8">
        <w:t>une</w:t>
      </w:r>
      <w:r>
        <w:t xml:space="preserve"> 2025</w:t>
      </w:r>
      <w:bookmarkEnd w:id="53"/>
      <w:bookmarkEnd w:id="54"/>
      <w:bookmarkEnd w:id="55"/>
    </w:p>
    <w:p w14:paraId="076C9478" w14:textId="77777777" w:rsidR="00A96EEF" w:rsidRPr="00397686" w:rsidRDefault="00A96EEF" w:rsidP="005C2E82">
      <w:pPr>
        <w:pStyle w:val="BodytextHQSC"/>
      </w:pPr>
      <w:bookmarkStart w:id="56" w:name="_Toc230175959"/>
      <w:r w:rsidRPr="00397686">
        <w:rPr>
          <w:noProof/>
        </w:rPr>
        <w:drawing>
          <wp:inline distT="0" distB="0" distL="0" distR="0" wp14:anchorId="31781383" wp14:editId="3D83B484">
            <wp:extent cx="5658022" cy="2769749"/>
            <wp:effectExtent l="0" t="0" r="0" b="0"/>
            <wp:docPr id="2141069999" name="drawing" descr="The control chart shows reported SAC 1 and 2 delay harm (adverse) events from July 2018 to June 2025, with the x axis showing time and the y axis showing number of events. A single line fluctuates over time. A teal average line that jumps from around six events to ten events in January 2021 which sustained to June 2025, with red dashed control limits following a simila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69999" name="drawing" descr="The control chart shows reported SAC 1 and 2 delay harm (adverse) events from July 2018 to June 2025, with the x axis showing time and the y axis showing number of events. A single line fluctuates over time. A teal average line that jumps from around six events to ten events in January 2021 which sustained to June 2025, with red dashed control limits following a similar pattern."/>
                    <pic:cNvPicPr/>
                  </pic:nvPicPr>
                  <pic:blipFill>
                    <a:blip r:embed="rId28"/>
                    <a:srcRect t="1564" b="1564"/>
                    <a:stretch>
                      <a:fillRect/>
                    </a:stretch>
                  </pic:blipFill>
                  <pic:spPr bwMode="auto">
                    <a:xfrm>
                      <a:off x="0" y="0"/>
                      <a:ext cx="5658022" cy="2769749"/>
                    </a:xfrm>
                    <a:prstGeom prst="rect">
                      <a:avLst/>
                    </a:prstGeom>
                    <a:ln>
                      <a:noFill/>
                    </a:ln>
                    <a:extLst>
                      <a:ext uri="{53640926-AAD7-44D8-BBD7-CCE9431645EC}">
                        <a14:shadowObscured xmlns:a14="http://schemas.microsoft.com/office/drawing/2010/main"/>
                      </a:ext>
                    </a:extLst>
                  </pic:spPr>
                </pic:pic>
              </a:graphicData>
            </a:graphic>
          </wp:inline>
        </w:drawing>
      </w:r>
      <w:bookmarkEnd w:id="56"/>
    </w:p>
    <w:p w14:paraId="6B887A69" w14:textId="77777777" w:rsidR="00A96EEF" w:rsidRPr="00397686" w:rsidRDefault="00A96EEF" w:rsidP="005C2E82">
      <w:pPr>
        <w:spacing w:after="0" w:line="240" w:lineRule="auto"/>
        <w:rPr>
          <w:rFonts w:cs="Arial"/>
          <w:b/>
          <w:bCs/>
          <w:sz w:val="18"/>
          <w:szCs w:val="18"/>
        </w:rPr>
      </w:pPr>
      <w:r w:rsidRPr="00397686">
        <w:rPr>
          <w:rFonts w:cs="Arial"/>
          <w:b/>
          <w:bCs/>
          <w:sz w:val="18"/>
          <w:szCs w:val="18"/>
        </w:rPr>
        <w:t xml:space="preserve">Note: </w:t>
      </w:r>
    </w:p>
    <w:p w14:paraId="6DCCFE89" w14:textId="77777777" w:rsidR="00A96EEF" w:rsidRPr="00397686" w:rsidRDefault="00A96EEF" w:rsidP="005B6122">
      <w:pPr>
        <w:spacing w:after="80" w:line="240" w:lineRule="auto"/>
        <w:rPr>
          <w:rFonts w:cs="Arial"/>
          <w:b/>
          <w:sz w:val="18"/>
          <w:szCs w:val="18"/>
        </w:rPr>
      </w:pPr>
      <w:r w:rsidRPr="00397686">
        <w:rPr>
          <w:rFonts w:cs="Arial"/>
          <w:b/>
          <w:sz w:val="18"/>
          <w:szCs w:val="18"/>
        </w:rPr>
        <w:t>How to read control charts</w:t>
      </w:r>
    </w:p>
    <w:p w14:paraId="7CCA3EE5" w14:textId="3B8DB450" w:rsidR="00A96EEF" w:rsidRPr="00397686" w:rsidRDefault="00A96EEF" w:rsidP="005B6122">
      <w:pPr>
        <w:spacing w:after="80" w:line="240" w:lineRule="auto"/>
        <w:rPr>
          <w:rFonts w:cs="Arial"/>
          <w:sz w:val="18"/>
          <w:szCs w:val="18"/>
        </w:rPr>
      </w:pPr>
      <w:r w:rsidRPr="00397686">
        <w:rPr>
          <w:rFonts w:cs="Arial"/>
          <w:sz w:val="18"/>
          <w:szCs w:val="18"/>
        </w:rPr>
        <w:t>The teal line shows the average for each period. The first average is based on July 2018 to June 2020.</w:t>
      </w:r>
      <w:r w:rsidR="003E4FE6">
        <w:rPr>
          <w:rFonts w:cs="Arial"/>
          <w:sz w:val="18"/>
          <w:szCs w:val="18"/>
        </w:rPr>
        <w:t xml:space="preserve"> </w:t>
      </w:r>
      <w:r w:rsidRPr="00397686">
        <w:rPr>
          <w:rFonts w:cs="Arial"/>
          <w:sz w:val="18"/>
          <w:szCs w:val="18"/>
        </w:rPr>
        <w:t>If eight or more points in a row are all above or below the average, this may indicate a shift (special cause variation). If the shift continues, a new average and control limits are calculated from that point (from July 2020 onwards). In some cases, limits may be adjusted manually if a clear shift can be seen.</w:t>
      </w:r>
    </w:p>
    <w:p w14:paraId="75DBD07F" w14:textId="77777777" w:rsidR="00A96EEF" w:rsidRPr="00397686" w:rsidRDefault="41AA417B" w:rsidP="00A96EEF">
      <w:pPr>
        <w:spacing w:line="240" w:lineRule="auto"/>
        <w:rPr>
          <w:sz w:val="18"/>
          <w:szCs w:val="18"/>
        </w:rPr>
      </w:pPr>
      <w:r w:rsidRPr="1610C33C">
        <w:rPr>
          <w:rFonts w:cs="Arial"/>
          <w:sz w:val="18"/>
          <w:szCs w:val="18"/>
        </w:rPr>
        <w:t>The red dashed lines show the upper and lower control limits, where most data should fall. Points outside these limits may indicate special cause variation.</w:t>
      </w:r>
    </w:p>
    <w:p w14:paraId="718D57DC" w14:textId="77777777" w:rsidR="00DF4628" w:rsidRPr="00397686" w:rsidRDefault="2FB73793" w:rsidP="00DF4628">
      <w:pPr>
        <w:spacing w:line="240" w:lineRule="auto"/>
      </w:pPr>
      <w:r w:rsidRPr="1610C33C">
        <w:rPr>
          <w:rFonts w:cs="Arial"/>
          <w:sz w:val="18"/>
          <w:szCs w:val="18"/>
        </w:rPr>
        <w:t>The chart shows the number of events by month and year of the date the event was notified internally.</w:t>
      </w:r>
    </w:p>
    <w:p w14:paraId="0FCC9466" w14:textId="4782B119" w:rsidR="005C2E82" w:rsidRPr="009950C0" w:rsidRDefault="41AA417B" w:rsidP="005C2E82">
      <w:pPr>
        <w:pStyle w:val="FigurecaptionHQSC"/>
      </w:pPr>
      <w:bookmarkStart w:id="57" w:name="_Toc230167134"/>
      <w:bookmarkStart w:id="58" w:name="_Toc230175960"/>
      <w:bookmarkStart w:id="59" w:name="_Toc233888626"/>
      <w:r w:rsidRPr="009950C0">
        <w:t xml:space="preserve">Figure A10: Reported SAC 1 and 2 harm </w:t>
      </w:r>
      <w:r w:rsidR="223F5A27" w:rsidRPr="009950C0">
        <w:t xml:space="preserve">(adverse) </w:t>
      </w:r>
      <w:r w:rsidRPr="009950C0">
        <w:t>events, wrong consumer, site or side, J</w:t>
      </w:r>
      <w:r w:rsidR="3D31146F" w:rsidRPr="009950C0">
        <w:t>ul</w:t>
      </w:r>
      <w:r w:rsidR="2FD69AD3" w:rsidRPr="009950C0">
        <w:t>y</w:t>
      </w:r>
      <w:r w:rsidRPr="009950C0">
        <w:t xml:space="preserve"> 201</w:t>
      </w:r>
      <w:r w:rsidR="3D31146F" w:rsidRPr="009950C0">
        <w:t>8</w:t>
      </w:r>
      <w:r w:rsidRPr="009950C0">
        <w:t>–J</w:t>
      </w:r>
      <w:r w:rsidR="74803B14" w:rsidRPr="009950C0">
        <w:t>une</w:t>
      </w:r>
      <w:r w:rsidRPr="009950C0">
        <w:t xml:space="preserve"> 2025</w:t>
      </w:r>
      <w:bookmarkStart w:id="60" w:name="_Toc230175961"/>
      <w:bookmarkEnd w:id="57"/>
      <w:bookmarkEnd w:id="58"/>
      <w:bookmarkEnd w:id="59"/>
    </w:p>
    <w:p w14:paraId="0CDA9B57" w14:textId="3BD259D2" w:rsidR="00A96EEF" w:rsidRPr="00397686" w:rsidRDefault="00A96EEF" w:rsidP="005C2E82">
      <w:pPr>
        <w:pStyle w:val="BodytextHQSC"/>
      </w:pPr>
      <w:r w:rsidRPr="00397686">
        <w:rPr>
          <w:noProof/>
        </w:rPr>
        <w:drawing>
          <wp:inline distT="0" distB="0" distL="0" distR="0" wp14:anchorId="716E93A8" wp14:editId="5C658CCE">
            <wp:extent cx="5704676" cy="2824255"/>
            <wp:effectExtent l="0" t="0" r="0" b="0"/>
            <wp:docPr id="889419254" name="drawing" descr="The line chart shows reported SAC 1 and 2 harm events related to wrong consumer, site or side from July 2018 to June 2025, with the x axis showing time and the y axis showing number of events. A single line fluctuates with occasional spikes with low values (generally under three monthly events, and six monthly events on two occasions). An average of one monthly event spans the entir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19254" name="drawing" descr="The line chart shows reported SAC 1 and 2 harm events related to wrong consumer, site or side from July 2018 to June 2025, with the x axis showing time and the y axis showing number of events. A single line fluctuates with occasional spikes with low values (generally under three monthly events, and six monthly events on two occasions). An average of one monthly event spans the entire time period."/>
                    <pic:cNvPicPr/>
                  </pic:nvPicPr>
                  <pic:blipFill>
                    <a:blip r:embed="rId29"/>
                    <a:srcRect t="2743" b="2743"/>
                    <a:stretch>
                      <a:fillRect/>
                    </a:stretch>
                  </pic:blipFill>
                  <pic:spPr bwMode="auto">
                    <a:xfrm>
                      <a:off x="0" y="0"/>
                      <a:ext cx="5704676" cy="2824255"/>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39860E2E" w14:textId="77777777" w:rsidR="00A96EEF" w:rsidRPr="00397686" w:rsidRDefault="00A96EEF" w:rsidP="005C2E82">
      <w:pPr>
        <w:spacing w:after="0" w:line="240" w:lineRule="auto"/>
        <w:rPr>
          <w:rFonts w:cs="Arial"/>
          <w:b/>
          <w:bCs/>
          <w:sz w:val="18"/>
          <w:szCs w:val="18"/>
        </w:rPr>
      </w:pPr>
      <w:r w:rsidRPr="00397686">
        <w:rPr>
          <w:rFonts w:cs="Arial"/>
          <w:b/>
          <w:bCs/>
          <w:sz w:val="18"/>
          <w:szCs w:val="18"/>
        </w:rPr>
        <w:t>Note:</w:t>
      </w:r>
    </w:p>
    <w:p w14:paraId="1F1D2C12" w14:textId="37C3DF6E" w:rsidR="00AF115F" w:rsidRPr="00397686" w:rsidRDefault="503C3E37" w:rsidP="1610C33C">
      <w:pPr>
        <w:spacing w:after="80" w:line="240" w:lineRule="auto"/>
        <w:rPr>
          <w:rFonts w:cs="Arial"/>
          <w:b/>
          <w:bCs/>
          <w:sz w:val="18"/>
          <w:szCs w:val="18"/>
        </w:rPr>
      </w:pPr>
      <w:r w:rsidRPr="1610C33C">
        <w:rPr>
          <w:rFonts w:cs="Arial"/>
          <w:sz w:val="18"/>
          <w:szCs w:val="18"/>
        </w:rPr>
        <w:t xml:space="preserve">The </w:t>
      </w:r>
      <w:r w:rsidR="254F2652" w:rsidRPr="1610C33C">
        <w:rPr>
          <w:rFonts w:cs="Arial"/>
          <w:sz w:val="18"/>
          <w:szCs w:val="18"/>
        </w:rPr>
        <w:t xml:space="preserve">chart shows </w:t>
      </w:r>
      <w:r w:rsidR="43B0591D" w:rsidRPr="1610C33C">
        <w:rPr>
          <w:rFonts w:cs="Arial"/>
          <w:sz w:val="18"/>
          <w:szCs w:val="18"/>
        </w:rPr>
        <w:t>the number of events by month and year</w:t>
      </w:r>
      <w:r w:rsidR="460172AC" w:rsidRPr="1610C33C">
        <w:rPr>
          <w:rFonts w:cs="Arial"/>
          <w:sz w:val="18"/>
          <w:szCs w:val="18"/>
        </w:rPr>
        <w:t xml:space="preserve"> of the date the event was </w:t>
      </w:r>
      <w:r w:rsidR="2FB73793" w:rsidRPr="1610C33C">
        <w:rPr>
          <w:rFonts w:cs="Arial"/>
          <w:sz w:val="18"/>
          <w:szCs w:val="18"/>
        </w:rPr>
        <w:t>notified internally.</w:t>
      </w:r>
    </w:p>
    <w:p w14:paraId="29319A27" w14:textId="0D0D5D84" w:rsidR="006E06A2" w:rsidRDefault="006E06A2" w:rsidP="00F972BF">
      <w:pPr>
        <w:pStyle w:val="FigurecaptionHQSC"/>
        <w:rPr>
          <w:b w:val="0"/>
        </w:rPr>
      </w:pPr>
      <w:bookmarkStart w:id="61" w:name="_Toc233888627"/>
      <w:bookmarkStart w:id="62" w:name="_Toc230175963"/>
      <w:r w:rsidRPr="006E06A2">
        <w:lastRenderedPageBreak/>
        <w:t>Figure A11: Number of reported events by SAC rating for wrong consumer and</w:t>
      </w:r>
      <w:r w:rsidR="00135395">
        <w:t> </w:t>
      </w:r>
      <w:r w:rsidRPr="006E06A2">
        <w:rPr>
          <w:b w:val="0"/>
        </w:rPr>
        <w:t>wrong</w:t>
      </w:r>
      <w:r w:rsidR="00135395">
        <w:rPr>
          <w:b w:val="0"/>
        </w:rPr>
        <w:t> </w:t>
      </w:r>
      <w:r w:rsidRPr="006E06A2">
        <w:rPr>
          <w:b w:val="0"/>
        </w:rPr>
        <w:t>site, 2022/23–2024/25</w:t>
      </w:r>
      <w:bookmarkEnd w:id="61"/>
    </w:p>
    <w:p w14:paraId="3EAD3BC8" w14:textId="4A23300E" w:rsidR="00961A9C" w:rsidRDefault="000B6C07" w:rsidP="000B6C07">
      <w:pPr>
        <w:pStyle w:val="BodytextHQSC"/>
        <w:jc w:val="center"/>
        <w:rPr>
          <w:b/>
        </w:rPr>
      </w:pPr>
      <w:r>
        <w:rPr>
          <w:b/>
          <w:noProof/>
        </w:rPr>
        <w:drawing>
          <wp:inline distT="0" distB="0" distL="0" distR="0" wp14:anchorId="073F4944" wp14:editId="2D31943A">
            <wp:extent cx="4745636" cy="3225800"/>
            <wp:effectExtent l="0" t="0" r="0" b="0"/>
            <wp:docPr id="394882575" name="Picture 1" descr="The bar chart shows the number of reported SAC 1 and 2 events for wrong consumer and wrong site by SAC rating from 2022/23 to 2024/25, with the x axis showing SAC categories and the y axis showing number of events. Grouped bars for each year (2022/23, 2023/24 and 2024/25) show that SAC 4 has by far the highest counts across all years at an average of 90 events per year. SAC 2 and SAC 3 have moderate values of an average of 10 events per year. SAC 1 has very low or no events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82575" name="Picture 1" descr="The bar chart shows the number of reported SAC 1 and 2 events for wrong consumer and wrong site by SAC rating from 2022/23 to 2024/25, with the x axis showing SAC categories and the y axis showing number of events. Grouped bars for each year (2022/23, 2023/24 and 2024/25) show that SAC 4 has by far the highest counts across all years at an average of 90 events per year. SAC 2 and SAC 3 have moderate values of an average of 10 events per year. SAC 1 has very low or no events per year.&#10;"/>
                    <pic:cNvPicPr>
                      <a:picLocks noChangeAspect="1" noChangeArrowheads="1"/>
                    </pic:cNvPicPr>
                  </pic:nvPicPr>
                  <pic:blipFill rotWithShape="1">
                    <a:blip r:embed="rId30">
                      <a:extLst>
                        <a:ext uri="{28A0092B-C50C-407E-A947-70E740481C1C}">
                          <a14:useLocalDpi xmlns:a14="http://schemas.microsoft.com/office/drawing/2010/main" val="0"/>
                        </a:ext>
                      </a:extLst>
                    </a:blip>
                    <a:srcRect l="1147" t="1534" r="713" b="3360"/>
                    <a:stretch>
                      <a:fillRect/>
                    </a:stretch>
                  </pic:blipFill>
                  <pic:spPr bwMode="auto">
                    <a:xfrm>
                      <a:off x="0" y="0"/>
                      <a:ext cx="4764987" cy="3238954"/>
                    </a:xfrm>
                    <a:prstGeom prst="rect">
                      <a:avLst/>
                    </a:prstGeom>
                    <a:noFill/>
                    <a:ln>
                      <a:noFill/>
                    </a:ln>
                    <a:extLst>
                      <a:ext uri="{53640926-AAD7-44D8-BBD7-CCE9431645EC}">
                        <a14:shadowObscured xmlns:a14="http://schemas.microsoft.com/office/drawing/2010/main"/>
                      </a:ext>
                    </a:extLst>
                  </pic:spPr>
                </pic:pic>
              </a:graphicData>
            </a:graphic>
          </wp:inline>
        </w:drawing>
      </w:r>
    </w:p>
    <w:bookmarkEnd w:id="62"/>
    <w:p w14:paraId="2CEC2A7E" w14:textId="5E542EC2" w:rsidR="00A96EEF" w:rsidRPr="00E854CF" w:rsidRDefault="00E322D5" w:rsidP="00E322D5">
      <w:pPr>
        <w:pStyle w:val="BodytextHQSC"/>
        <w:spacing w:before="0"/>
        <w:rPr>
          <w:sz w:val="24"/>
          <w:szCs w:val="24"/>
        </w:rPr>
      </w:pPr>
      <w:r w:rsidRPr="00E854CF">
        <w:rPr>
          <w:b/>
          <w:bCs/>
          <w:sz w:val="18"/>
          <w:szCs w:val="18"/>
        </w:rPr>
        <w:t>Note:</w:t>
      </w:r>
      <w:r w:rsidRPr="00E854CF">
        <w:rPr>
          <w:sz w:val="18"/>
          <w:szCs w:val="18"/>
        </w:rPr>
        <w:t xml:space="preserve"> There were no reported SAC 1 events in 2023/24 and 2024/25.</w:t>
      </w:r>
    </w:p>
    <w:p w14:paraId="7B26F9DD" w14:textId="2273559E" w:rsidR="00A96EEF" w:rsidRPr="00397686" w:rsidRDefault="00C81C35" w:rsidP="005C2E82">
      <w:pPr>
        <w:pStyle w:val="FigurecaptionHQSC"/>
      </w:pPr>
      <w:bookmarkStart w:id="63" w:name="_Toc233888628"/>
      <w:r w:rsidRPr="00C81C35">
        <w:t>Figure A12: Average occupied bed days (OBDs) for acute admissions of patients aged</w:t>
      </w:r>
      <w:r w:rsidR="00826392">
        <w:t> </w:t>
      </w:r>
      <w:r w:rsidRPr="00C81C35">
        <w:t>65 years and over, by selected diagnosis, 2012–2024</w:t>
      </w:r>
      <w:bookmarkEnd w:id="63"/>
      <w:r w:rsidR="00D94CB3" w:rsidRPr="00397686">
        <w:t xml:space="preserve"> </w:t>
      </w:r>
    </w:p>
    <w:p w14:paraId="214C882D" w14:textId="53D01A22" w:rsidR="00A96EEF" w:rsidRPr="00397686" w:rsidRDefault="0004575A" w:rsidP="00A96EEF">
      <w:pPr>
        <w:pStyle w:val="HQSCtablefigurecaption"/>
      </w:pPr>
      <w:r>
        <w:rPr>
          <w:noProof/>
        </w:rPr>
        <w:drawing>
          <wp:inline distT="0" distB="0" distL="0" distR="0" wp14:anchorId="708D9C03" wp14:editId="76D2E13C">
            <wp:extent cx="5486400" cy="3181611"/>
            <wp:effectExtent l="0" t="0" r="0" b="0"/>
            <wp:docPr id="1586514898" name="Picture 2" descr="The line chart shows average occupied bed days for people aged 65 years and over from 2012 to 2024, with the x axis showing year and the y axis showing average bed days. Multiple coloured lines represent different diagnoses (lack of mobility, PVD, bowel obstruction, diabetic keto-acidosis and fractured neck of femur). Most remained relatively stable over time, while the line for lack of mobility increases noticeably from around 2019 and became the highest (at over 14 average occupied bed days) b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4898" name="Picture 2" descr="The line chart shows average occupied bed days for people aged 65 years and over from 2012 to 2024, with the x axis showing year and the y axis showing average bed days. Multiple coloured lines represent different diagnoses (lack of mobility, PVD, bowel obstruction, diabetic keto-acidosis and fractured neck of femur). Most remained relatively stable over time, while the line for lack of mobility increases noticeably from around 2019 and became the highest (at over 14 average occupied bed days) by 2024.&#10;"/>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a:fillRect/>
                    </a:stretch>
                  </pic:blipFill>
                  <pic:spPr bwMode="auto">
                    <a:xfrm>
                      <a:off x="0" y="0"/>
                      <a:ext cx="5490641" cy="3184070"/>
                    </a:xfrm>
                    <a:prstGeom prst="rect">
                      <a:avLst/>
                    </a:prstGeom>
                    <a:noFill/>
                    <a:ln>
                      <a:noFill/>
                    </a:ln>
                    <a:extLst>
                      <a:ext uri="{53640926-AAD7-44D8-BBD7-CCE9431645EC}">
                        <a14:shadowObscured xmlns:a14="http://schemas.microsoft.com/office/drawing/2010/main"/>
                      </a:ext>
                    </a:extLst>
                  </pic:spPr>
                </pic:pic>
              </a:graphicData>
            </a:graphic>
          </wp:inline>
        </w:drawing>
      </w:r>
    </w:p>
    <w:p w14:paraId="162CAFB3" w14:textId="1FF30894" w:rsidR="00B90F49" w:rsidRPr="00B90F49" w:rsidRDefault="00B90F49" w:rsidP="00B90F49">
      <w:pPr>
        <w:pStyle w:val="HQSCbodytext"/>
        <w:rPr>
          <w:sz w:val="18"/>
          <w:szCs w:val="18"/>
        </w:rPr>
      </w:pPr>
      <w:r w:rsidRPr="00B90F49">
        <w:rPr>
          <w:b/>
          <w:bCs/>
          <w:sz w:val="18"/>
          <w:szCs w:val="18"/>
        </w:rPr>
        <w:t xml:space="preserve">Note: </w:t>
      </w:r>
      <w:r w:rsidRPr="00B90F49">
        <w:rPr>
          <w:sz w:val="18"/>
          <w:szCs w:val="18"/>
        </w:rPr>
        <w:t>This is a modified version of the original chart. It includes the five diagnoses with the highest average OBDs. In the original chart (which includes 13 diagnoses)</w:t>
      </w:r>
      <w:r w:rsidR="005C1804">
        <w:rPr>
          <w:sz w:val="18"/>
          <w:szCs w:val="18"/>
        </w:rPr>
        <w:t xml:space="preserve"> </w:t>
      </w:r>
      <w:r w:rsidR="009D266A">
        <w:rPr>
          <w:sz w:val="18"/>
          <w:szCs w:val="18"/>
        </w:rPr>
        <w:t>(HQSC</w:t>
      </w:r>
      <w:r w:rsidR="00C41C9C" w:rsidRPr="00C41C9C">
        <w:rPr>
          <w:sz w:val="18"/>
          <w:szCs w:val="18"/>
        </w:rPr>
        <w:t xml:space="preserve">. </w:t>
      </w:r>
      <w:r w:rsidR="00150CEE" w:rsidRPr="00150CEE">
        <w:rPr>
          <w:sz w:val="18"/>
          <w:szCs w:val="18"/>
        </w:rPr>
        <w:t>2024d</w:t>
      </w:r>
      <w:r w:rsidR="00C41C9C">
        <w:rPr>
          <w:sz w:val="18"/>
          <w:szCs w:val="18"/>
        </w:rPr>
        <w:t>).</w:t>
      </w:r>
      <w:r w:rsidRPr="00B90F49">
        <w:rPr>
          <w:sz w:val="18"/>
          <w:szCs w:val="18"/>
        </w:rPr>
        <w:t xml:space="preserve"> all diagnoses, apart from ‘Lack of mobility’, showed no significant changes over time.</w:t>
      </w:r>
    </w:p>
    <w:p w14:paraId="6791D200" w14:textId="77777777" w:rsidR="00416245" w:rsidRDefault="00416245" w:rsidP="00F972BF">
      <w:pPr>
        <w:pStyle w:val="FigurecaptionHQSC"/>
        <w:rPr>
          <w:b w:val="0"/>
        </w:rPr>
      </w:pPr>
      <w:bookmarkStart w:id="64" w:name="_Toc233888629"/>
      <w:bookmarkStart w:id="65" w:name="_Toc230175623"/>
      <w:bookmarkStart w:id="66" w:name="_Toc230175967"/>
      <w:r w:rsidRPr="00416245">
        <w:lastRenderedPageBreak/>
        <w:t>Figure A13: Decomposition analysis of the cause of increase in occupied bed days associated with lack of mobility diagnosis admissions, 2018–2024</w:t>
      </w:r>
      <w:bookmarkEnd w:id="64"/>
    </w:p>
    <w:bookmarkEnd w:id="65"/>
    <w:bookmarkEnd w:id="66"/>
    <w:p w14:paraId="3CB4668F" w14:textId="4D6072E0" w:rsidR="00BA7A5E" w:rsidRPr="00397686" w:rsidRDefault="005D6063" w:rsidP="005D6063">
      <w:pPr>
        <w:pStyle w:val="BodytextHQSC"/>
        <w:jc w:val="center"/>
        <w:rPr>
          <w:sz w:val="18"/>
          <w:szCs w:val="18"/>
        </w:rPr>
      </w:pPr>
      <w:r>
        <w:rPr>
          <w:noProof/>
          <w:sz w:val="18"/>
          <w:szCs w:val="18"/>
        </w:rPr>
        <w:drawing>
          <wp:inline distT="0" distB="0" distL="0" distR="0" wp14:anchorId="73985EC9" wp14:editId="6198C1F4">
            <wp:extent cx="5554980" cy="3736026"/>
            <wp:effectExtent l="0" t="0" r="7620" b="0"/>
            <wp:docPr id="229675242" name="Picture 3" descr="The area chart shows occupied bed days from 2018 to 2024, with the x axis showing year and the y axis showing occupied bed days. Layered shaded areas represent different contributing factors, including baseline, population growth, increased admissions and increased length of stay, with the total increasing markedly over time, driven largely by growth in admissions and length of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75242" name="Picture 3" descr="The area chart shows occupied bed days from 2018 to 2024, with the x axis showing year and the y axis showing occupied bed days. Layered shaded areas represent different contributing factors, including baseline, population growth, increased admissions and increased length of stay, with the total increasing markedly over time, driven largely by growth in admissions and length of stay."/>
                    <pic:cNvPicPr>
                      <a:picLocks noChangeAspect="1" noChangeArrowheads="1"/>
                    </pic:cNvPicPr>
                  </pic:nvPicPr>
                  <pic:blipFill rotWithShape="1">
                    <a:blip r:embed="rId32">
                      <a:extLst>
                        <a:ext uri="{28A0092B-C50C-407E-A947-70E740481C1C}">
                          <a14:useLocalDpi xmlns:a14="http://schemas.microsoft.com/office/drawing/2010/main" val="0"/>
                        </a:ext>
                      </a:extLst>
                    </a:blip>
                    <a:srcRect l="1447" t="2293" r="1722" b="3107"/>
                    <a:stretch>
                      <a:fillRect/>
                    </a:stretch>
                  </pic:blipFill>
                  <pic:spPr bwMode="auto">
                    <a:xfrm>
                      <a:off x="0" y="0"/>
                      <a:ext cx="5557219" cy="3737532"/>
                    </a:xfrm>
                    <a:prstGeom prst="rect">
                      <a:avLst/>
                    </a:prstGeom>
                    <a:noFill/>
                    <a:ln>
                      <a:noFill/>
                    </a:ln>
                    <a:extLst>
                      <a:ext uri="{53640926-AAD7-44D8-BBD7-CCE9431645EC}">
                        <a14:shadowObscured xmlns:a14="http://schemas.microsoft.com/office/drawing/2010/main"/>
                      </a:ext>
                    </a:extLst>
                  </pic:spPr>
                </pic:pic>
              </a:graphicData>
            </a:graphic>
          </wp:inline>
        </w:drawing>
      </w:r>
    </w:p>
    <w:p w14:paraId="37492A7A" w14:textId="686F98F2" w:rsidR="00A96EEF" w:rsidRPr="00397686" w:rsidDel="00B97823" w:rsidRDefault="41AA417B" w:rsidP="03C2FB5E">
      <w:pPr>
        <w:pStyle w:val="HQSCtablefigurecaption"/>
        <w:spacing w:before="40"/>
        <w:rPr>
          <w:b w:val="0"/>
          <w:sz w:val="18"/>
          <w:szCs w:val="18"/>
        </w:rPr>
      </w:pPr>
      <w:r w:rsidRPr="1610C33C">
        <w:rPr>
          <w:sz w:val="18"/>
          <w:szCs w:val="18"/>
        </w:rPr>
        <w:t>Note:</w:t>
      </w:r>
      <w:r w:rsidRPr="1610C33C">
        <w:rPr>
          <w:b w:val="0"/>
          <w:sz w:val="18"/>
          <w:szCs w:val="18"/>
        </w:rPr>
        <w:t xml:space="preserve"> Data in this graph is from Stats NZ and the NMDS.</w:t>
      </w:r>
      <w:r w:rsidR="1EB0D639" w:rsidRPr="1610C33C">
        <w:rPr>
          <w:b w:val="0"/>
          <w:sz w:val="18"/>
          <w:szCs w:val="18"/>
        </w:rPr>
        <w:t xml:space="preserve"> This chart shows the decomposition of </w:t>
      </w:r>
      <w:r w:rsidR="6C003751" w:rsidRPr="1610C33C">
        <w:rPr>
          <w:b w:val="0"/>
          <w:sz w:val="18"/>
          <w:szCs w:val="18"/>
        </w:rPr>
        <w:t xml:space="preserve">increase in the total </w:t>
      </w:r>
      <w:r w:rsidR="1EB0D639" w:rsidRPr="1610C33C">
        <w:rPr>
          <w:b w:val="0"/>
          <w:sz w:val="18"/>
          <w:szCs w:val="18"/>
        </w:rPr>
        <w:t>occupied bed days</w:t>
      </w:r>
      <w:r w:rsidR="61F3F581" w:rsidRPr="1610C33C">
        <w:rPr>
          <w:b w:val="0"/>
          <w:sz w:val="18"/>
          <w:szCs w:val="18"/>
        </w:rPr>
        <w:t xml:space="preserve"> associated with lack of mobility diagnosis</w:t>
      </w:r>
      <w:r w:rsidR="28AF2876" w:rsidRPr="1610C33C">
        <w:rPr>
          <w:b w:val="0"/>
          <w:sz w:val="18"/>
          <w:szCs w:val="18"/>
        </w:rPr>
        <w:t xml:space="preserve">, primarily driven by the </w:t>
      </w:r>
      <w:r w:rsidR="1EB0D639" w:rsidRPr="1610C33C">
        <w:rPr>
          <w:b w:val="0"/>
          <w:sz w:val="18"/>
          <w:szCs w:val="18"/>
        </w:rPr>
        <w:t xml:space="preserve">increase </w:t>
      </w:r>
      <w:r w:rsidR="429E0618" w:rsidRPr="1610C33C">
        <w:rPr>
          <w:b w:val="0"/>
          <w:sz w:val="18"/>
          <w:szCs w:val="18"/>
        </w:rPr>
        <w:t>in</w:t>
      </w:r>
      <w:r w:rsidR="1061AEE5" w:rsidRPr="1610C33C">
        <w:rPr>
          <w:b w:val="0"/>
          <w:sz w:val="18"/>
          <w:szCs w:val="18"/>
        </w:rPr>
        <w:t xml:space="preserve"> admission</w:t>
      </w:r>
      <w:r w:rsidR="79482B75" w:rsidRPr="1610C33C">
        <w:rPr>
          <w:b w:val="0"/>
          <w:sz w:val="18"/>
          <w:szCs w:val="18"/>
        </w:rPr>
        <w:t>s</w:t>
      </w:r>
      <w:r w:rsidR="1061AEE5" w:rsidRPr="1610C33C">
        <w:rPr>
          <w:b w:val="0"/>
          <w:sz w:val="18"/>
          <w:szCs w:val="18"/>
        </w:rPr>
        <w:t xml:space="preserve"> and average OBDs</w:t>
      </w:r>
      <w:r w:rsidR="5BF4714D" w:rsidRPr="1610C33C">
        <w:rPr>
          <w:b w:val="0"/>
          <w:sz w:val="18"/>
          <w:szCs w:val="18"/>
        </w:rPr>
        <w:t>.</w:t>
      </w:r>
      <w:r w:rsidR="1061AEE5" w:rsidRPr="1610C33C">
        <w:rPr>
          <w:b w:val="0"/>
          <w:sz w:val="18"/>
          <w:szCs w:val="18"/>
        </w:rPr>
        <w:t xml:space="preserve"> </w:t>
      </w:r>
    </w:p>
    <w:p w14:paraId="26CC8401" w14:textId="53055013" w:rsidR="003515FC" w:rsidRDefault="003515FC" w:rsidP="00BA7A5E">
      <w:pPr>
        <w:pStyle w:val="FigurecaptionHQSC"/>
      </w:pPr>
      <w:bookmarkStart w:id="67" w:name="_Toc233888630"/>
      <w:r w:rsidRPr="003515FC">
        <w:lastRenderedPageBreak/>
        <w:t>Figure A14: Rate of accepted ACC Treatment Injury claims per 100,000 resident population Q3 2014 – Q3 2025</w:t>
      </w:r>
      <w:bookmarkEnd w:id="67"/>
    </w:p>
    <w:p w14:paraId="52F437D4" w14:textId="3A353B8A" w:rsidR="00A96EEF" w:rsidRPr="00397686" w:rsidRDefault="00302015" w:rsidP="00BA7A5E">
      <w:pPr>
        <w:pStyle w:val="BodytextHQSC"/>
        <w:rPr>
          <w:sz w:val="24"/>
          <w:szCs w:val="24"/>
        </w:rPr>
      </w:pPr>
      <w:r>
        <w:rPr>
          <w:noProof/>
          <w:sz w:val="24"/>
          <w:szCs w:val="24"/>
        </w:rPr>
        <w:drawing>
          <wp:inline distT="0" distB="0" distL="0" distR="0" wp14:anchorId="09026AE4" wp14:editId="3F9FF6FB">
            <wp:extent cx="5501640" cy="4472940"/>
            <wp:effectExtent l="0" t="0" r="3810" b="3810"/>
            <wp:docPr id="404012401" name="Picture 4" descr="The line chart shows rates of accepted treatment injury per 100,000 people from 2014 to 2025, with the x axis showing time by quarter and the y‑axis showing rate per 100,000 population. Multiple coloured lines represent different injury types, with the all-infections line consistently highest, the infections post surgery line also high and increasing over time, while other lines (line infections, pressure injuries and medical adverse reactions) remain lower with some fluctuations and occasional pea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12401" name="Picture 4" descr="The line chart shows rates of accepted treatment injury per 100,000 people from 2014 to 2025, with the x axis showing time by quarter and the y‑axis showing rate per 100,000 population. Multiple coloured lines represent different injury types, with the all-infections line consistently highest, the infections post surgery line also high and increasing over time, while other lines (line infections, pressure injuries and medical adverse reactions) remain lower with some fluctuations and occasional peaks.&#10;"/>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a:fillRect/>
                    </a:stretch>
                  </pic:blipFill>
                  <pic:spPr bwMode="auto">
                    <a:xfrm>
                      <a:off x="0" y="0"/>
                      <a:ext cx="5501640" cy="4472940"/>
                    </a:xfrm>
                    <a:prstGeom prst="rect">
                      <a:avLst/>
                    </a:prstGeom>
                    <a:noFill/>
                    <a:ln>
                      <a:noFill/>
                    </a:ln>
                    <a:extLst>
                      <a:ext uri="{53640926-AAD7-44D8-BBD7-CCE9431645EC}">
                        <a14:shadowObscured xmlns:a14="http://schemas.microsoft.com/office/drawing/2010/main"/>
                      </a:ext>
                    </a:extLst>
                  </pic:spPr>
                </pic:pic>
              </a:graphicData>
            </a:graphic>
          </wp:inline>
        </w:drawing>
      </w:r>
    </w:p>
    <w:p w14:paraId="7E0EB054" w14:textId="6E1A0E28" w:rsidR="00A96EEF" w:rsidRPr="00397686" w:rsidRDefault="00314CB8" w:rsidP="00A96EEF">
      <w:pPr>
        <w:pStyle w:val="HQSCbodytext"/>
        <w:rPr>
          <w:sz w:val="18"/>
          <w:szCs w:val="18"/>
        </w:rPr>
      </w:pPr>
      <w:r w:rsidRPr="00981F8B">
        <w:rPr>
          <w:b/>
          <w:bCs/>
          <w:sz w:val="18"/>
          <w:szCs w:val="18"/>
        </w:rPr>
        <w:t>Note:</w:t>
      </w:r>
      <w:r w:rsidRPr="00981F8B">
        <w:rPr>
          <w:sz w:val="18"/>
          <w:szCs w:val="18"/>
        </w:rPr>
        <w:t xml:space="preserve"> ‘Post-op infections’ and ‘</w:t>
      </w:r>
      <w:r>
        <w:rPr>
          <w:sz w:val="18"/>
          <w:szCs w:val="18"/>
        </w:rPr>
        <w:t>l</w:t>
      </w:r>
      <w:r w:rsidRPr="00981F8B">
        <w:rPr>
          <w:sz w:val="18"/>
          <w:szCs w:val="18"/>
        </w:rPr>
        <w:t>ine infections’ are subsets of ‘All infection’. ‘Post-op infections’ and ‘line infections” are also mutually exclusive</w:t>
      </w:r>
      <w:r>
        <w:rPr>
          <w:sz w:val="18"/>
          <w:szCs w:val="18"/>
        </w:rPr>
        <w:t>.</w:t>
      </w:r>
    </w:p>
    <w:p w14:paraId="148F9170" w14:textId="2C2A0B22" w:rsidR="00A96EEF" w:rsidRPr="00397686" w:rsidRDefault="00A96EEF" w:rsidP="00BA7A5E">
      <w:pPr>
        <w:pStyle w:val="FigurecaptionHQSC"/>
      </w:pPr>
      <w:bookmarkStart w:id="68" w:name="_Toc230167143"/>
      <w:bookmarkStart w:id="69" w:name="_Toc230175970"/>
      <w:bookmarkStart w:id="70" w:name="_Toc233888631"/>
      <w:r w:rsidRPr="00397686">
        <w:lastRenderedPageBreak/>
        <w:t>Figure A15: Number of ACC-accepted treatment injury claims of pressure injury, 2016/17–2024/25</w:t>
      </w:r>
      <w:bookmarkEnd w:id="68"/>
      <w:bookmarkEnd w:id="69"/>
      <w:bookmarkEnd w:id="70"/>
    </w:p>
    <w:p w14:paraId="62CB202C" w14:textId="2A299866" w:rsidR="00A96EEF" w:rsidRPr="00397686" w:rsidRDefault="00866C0F" w:rsidP="00010898">
      <w:pPr>
        <w:pStyle w:val="BodytextHQSC"/>
        <w:jc w:val="center"/>
        <w:rPr>
          <w:sz w:val="24"/>
          <w:szCs w:val="24"/>
        </w:rPr>
      </w:pPr>
      <w:r>
        <w:rPr>
          <w:noProof/>
          <w:sz w:val="24"/>
          <w:szCs w:val="24"/>
        </w:rPr>
        <w:drawing>
          <wp:inline distT="0" distB="0" distL="0" distR="0" wp14:anchorId="1F95737C" wp14:editId="0DA0F93D">
            <wp:extent cx="5773420" cy="4139565"/>
            <wp:effectExtent l="0" t="0" r="0" b="0"/>
            <wp:docPr id="1849683498" name="Picture 1" descr="This chart shows the number of ACC accepted treatment injury claims of pressure injuries by type of treating facilities from 2016 to 2025, with the x axis showing time by year and the y‑axis showing number of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83498" name="Picture 1" descr="This chart shows the number of ACC accepted treatment injury claims of pressure injuries by type of treating facilities from 2016 to 2025, with the x axis showing time by year and the y‑axis showing number of claim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4139565"/>
                    </a:xfrm>
                    <a:prstGeom prst="rect">
                      <a:avLst/>
                    </a:prstGeom>
                    <a:noFill/>
                  </pic:spPr>
                </pic:pic>
              </a:graphicData>
            </a:graphic>
          </wp:inline>
        </w:drawing>
      </w:r>
    </w:p>
    <w:p w14:paraId="5C379A0C" w14:textId="5DFDCBAE" w:rsidR="00096F7A" w:rsidRPr="00096F7A" w:rsidRDefault="054CA25E" w:rsidP="33BEFAFC">
      <w:pPr>
        <w:pStyle w:val="HQSCbodytext"/>
        <w:rPr>
          <w:sz w:val="18"/>
          <w:szCs w:val="18"/>
        </w:rPr>
      </w:pPr>
      <w:r w:rsidRPr="33BEFAFC">
        <w:rPr>
          <w:b/>
          <w:bCs/>
          <w:sz w:val="18"/>
          <w:szCs w:val="18"/>
        </w:rPr>
        <w:t xml:space="preserve">Note: </w:t>
      </w:r>
      <w:r w:rsidR="16BB910C" w:rsidRPr="33BEFAFC">
        <w:rPr>
          <w:sz w:val="18"/>
          <w:szCs w:val="18"/>
        </w:rPr>
        <w:t>This chart shows the number of ACC accepted treatment injury claims of pressure injuries by type of treating facilities.</w:t>
      </w:r>
    </w:p>
    <w:p w14:paraId="4C2320F7" w14:textId="6A50739D" w:rsidR="00096F7A" w:rsidRPr="00096F7A" w:rsidRDefault="054CA25E" w:rsidP="33BEFAFC">
      <w:pPr>
        <w:pStyle w:val="HQSCbodytext"/>
        <w:rPr>
          <w:sz w:val="18"/>
          <w:szCs w:val="18"/>
        </w:rPr>
      </w:pPr>
      <w:r w:rsidRPr="33BEFAFC">
        <w:rPr>
          <w:sz w:val="18"/>
          <w:szCs w:val="18"/>
        </w:rPr>
        <w:t xml:space="preserve">Treating facility was used to determine where pressure injury was acquired. </w:t>
      </w:r>
      <w:r>
        <w:br/>
      </w:r>
      <w:r w:rsidR="603DA094" w:rsidRPr="00317E26">
        <w:rPr>
          <w:rFonts w:eastAsiaTheme="minorEastAsia"/>
          <w:sz w:val="18"/>
          <w:szCs w:val="18"/>
        </w:rPr>
        <w:t>NZPSHA: New Zealand Private Surgical Hospital Association</w:t>
      </w:r>
      <w:r w:rsidR="6ACE984E" w:rsidRPr="00317E26">
        <w:rPr>
          <w:rFonts w:eastAsiaTheme="minorEastAsia"/>
          <w:sz w:val="18"/>
          <w:szCs w:val="18"/>
        </w:rPr>
        <w:t>.</w:t>
      </w:r>
    </w:p>
    <w:p w14:paraId="0C4BE212" w14:textId="2FB64568" w:rsidR="00096F7A" w:rsidRPr="00096F7A" w:rsidRDefault="054CA25E" w:rsidP="03C2FB5E">
      <w:pPr>
        <w:pStyle w:val="HQSCbodytext"/>
        <w:rPr>
          <w:sz w:val="18"/>
          <w:szCs w:val="18"/>
        </w:rPr>
      </w:pPr>
      <w:r w:rsidRPr="33BEFAFC">
        <w:rPr>
          <w:sz w:val="18"/>
          <w:szCs w:val="18"/>
        </w:rPr>
        <w:t>Counts below 4 have been suppressed.</w:t>
      </w:r>
    </w:p>
    <w:p w14:paraId="768945E0" w14:textId="783474F6" w:rsidR="00E318E5" w:rsidRPr="00E318E5" w:rsidRDefault="00E318E5" w:rsidP="00E318E5">
      <w:pPr>
        <w:pStyle w:val="FigurecaptionHQSC"/>
      </w:pPr>
      <w:bookmarkStart w:id="71" w:name="_Toc233888632"/>
      <w:bookmarkStart w:id="72" w:name="_Toc230167145"/>
      <w:bookmarkStart w:id="73" w:name="_Toc230175972"/>
      <w:r w:rsidRPr="00E318E5">
        <w:lastRenderedPageBreak/>
        <w:t>Figure A16: Number of hospital-acquired pressure injuries and non-hospital-acquired pressure injuries recorded in the National Minimum Dataset, Q1 2017–Q3 2025</w:t>
      </w:r>
      <w:bookmarkEnd w:id="71"/>
    </w:p>
    <w:p w14:paraId="56264116" w14:textId="77777777" w:rsidR="00A96EEF" w:rsidRPr="00397686" w:rsidRDefault="41AA417B" w:rsidP="00BA7A5E">
      <w:pPr>
        <w:pStyle w:val="BodytextHQSC"/>
      </w:pPr>
      <w:bookmarkStart w:id="74" w:name="_Toc230175973"/>
      <w:bookmarkEnd w:id="72"/>
      <w:bookmarkEnd w:id="73"/>
      <w:r>
        <w:rPr>
          <w:noProof/>
        </w:rPr>
        <w:drawing>
          <wp:inline distT="0" distB="0" distL="0" distR="0" wp14:anchorId="515B14ED" wp14:editId="2626F55F">
            <wp:extent cx="5690715" cy="3108960"/>
            <wp:effectExtent l="0" t="0" r="5715" b="0"/>
            <wp:docPr id="8269625" name="Picture 17" descr="The chart shows the number of hospital‑acquired and non‑hospital‑acquired pressure injuries from 2017 to 2025, with the x axis showing time by quarter and the y axis showing count. Two lines are shown, with the orange line (NHAPI) consistently over a count of 1,000 and increasing over time, while the blue line (HAPI) remains lower with smaller fluctuations and a gradual ri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625" name="Picture 17" descr="The chart shows the number of hospital‑acquired and non‑hospital‑acquired pressure injuries from 2017 to 2025, with the x axis showing time by quarter and the y axis showing count. Two lines are shown, with the orange line (NHAPI) consistently over a count of 1,000 and increasing over time, while the blue line (HAPI) remains lower with smaller fluctuations and a gradual rise.&#10;"/>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a:fillRect/>
                    </a:stretch>
                  </pic:blipFill>
                  <pic:spPr bwMode="auto">
                    <a:xfrm>
                      <a:off x="0" y="0"/>
                      <a:ext cx="5703758" cy="3116086"/>
                    </a:xfrm>
                    <a:prstGeom prst="rect">
                      <a:avLst/>
                    </a:prstGeom>
                    <a:noFill/>
                    <a:ln>
                      <a:noFill/>
                    </a:ln>
                    <a:extLst>
                      <a:ext uri="{53640926-AAD7-44D8-BBD7-CCE9431645EC}">
                        <a14:shadowObscured xmlns:a14="http://schemas.microsoft.com/office/drawing/2010/main"/>
                      </a:ext>
                    </a:extLst>
                  </pic:spPr>
                </pic:pic>
              </a:graphicData>
            </a:graphic>
          </wp:inline>
        </w:drawing>
      </w:r>
      <w:bookmarkEnd w:id="74"/>
    </w:p>
    <w:p w14:paraId="2D2847A5" w14:textId="4F63CF34" w:rsidR="17B64121" w:rsidRPr="00317E26" w:rsidRDefault="21F5BB6D" w:rsidP="00463A78">
      <w:pPr>
        <w:pStyle w:val="FootnoteText"/>
        <w:ind w:left="0" w:firstLine="0"/>
        <w:rPr>
          <w:sz w:val="18"/>
          <w:szCs w:val="18"/>
        </w:rPr>
      </w:pPr>
      <w:r w:rsidRPr="00317E26">
        <w:rPr>
          <w:b/>
          <w:sz w:val="18"/>
          <w:szCs w:val="18"/>
        </w:rPr>
        <w:t>Note:</w:t>
      </w:r>
      <w:r w:rsidRPr="00317E26" w:rsidDel="00896BB8">
        <w:rPr>
          <w:sz w:val="18"/>
          <w:szCs w:val="18"/>
        </w:rPr>
        <w:t xml:space="preserve"> </w:t>
      </w:r>
      <w:r w:rsidR="00896BB8" w:rsidRPr="00317E26">
        <w:rPr>
          <w:sz w:val="18"/>
          <w:szCs w:val="18"/>
        </w:rPr>
        <w:t>The</w:t>
      </w:r>
      <w:r w:rsidRPr="00317E26">
        <w:rPr>
          <w:sz w:val="18"/>
          <w:szCs w:val="18"/>
        </w:rPr>
        <w:t xml:space="preserve"> chart shows the time series of number of hospital and non-hospital-acquired pressure injuries </w:t>
      </w:r>
      <w:r w:rsidR="21C528DB" w:rsidRPr="00317E26">
        <w:rPr>
          <w:sz w:val="18"/>
          <w:szCs w:val="18"/>
        </w:rPr>
        <w:t>recorded in hospitalisation.</w:t>
      </w:r>
    </w:p>
    <w:p w14:paraId="149BDBB6" w14:textId="41DDEF17" w:rsidR="00A96EEF" w:rsidRPr="00397686" w:rsidRDefault="00475DD5" w:rsidP="00BA7A5E">
      <w:pPr>
        <w:pStyle w:val="FigurecaptionHQSC"/>
      </w:pPr>
      <w:bookmarkStart w:id="75" w:name="_Toc233888633"/>
      <w:r w:rsidRPr="00475DD5">
        <w:t>Figure A17: Reported ACC risk of harm events, 2022–2025 (ending June)</w:t>
      </w:r>
      <w:bookmarkEnd w:id="75"/>
    </w:p>
    <w:p w14:paraId="7DB517E3" w14:textId="1C18C6F2" w:rsidR="00A96EEF" w:rsidRPr="00317E26" w:rsidRDefault="56928318" w:rsidP="1610C33C">
      <w:pPr>
        <w:pStyle w:val="BodytextHQSC"/>
        <w:rPr>
          <w:rFonts w:eastAsiaTheme="minorEastAsia"/>
          <w:sz w:val="18"/>
          <w:szCs w:val="18"/>
        </w:rPr>
      </w:pPr>
      <w:r>
        <w:rPr>
          <w:noProof/>
        </w:rPr>
        <w:drawing>
          <wp:inline distT="0" distB="0" distL="0" distR="0" wp14:anchorId="4CDCED9A" wp14:editId="7333D2B2">
            <wp:extent cx="5851321" cy="2750820"/>
            <wp:effectExtent l="0" t="0" r="0" b="0"/>
            <wp:docPr id="546747773" name="Picture 6" descr="The chart shows reported ACC risk of harm events by category from 2022/23 to 2024/25, with the x axis showing number of events and the y axis listing the event categories of blood and transfusion-related events, retained foreign objects / retained surgical items, clinical deterioration and monitoring failures, obstetric and maternity-related incidents, medication errors and adverse drug events, anticoagulation and antiplatelet-related events, diagnostic error and failure to follow up, equipment and medical device incidents, healthcare-associated infection and sepsis and surgical and procedural complications. Grouped horizontal bars in different colours represent each year (2024/25, 2023/24 and 2022/23), with longer bars for categories such as anticoagulation events, diagnostic error, and surgical complications, while other categories have shorter b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47773" name="Picture 6" descr="The chart shows reported ACC risk of harm events by category from 2022/23 to 2024/25, with the x axis showing number of events and the y axis listing the event categories of blood and transfusion-related events, retained foreign objects / retained surgical items, clinical deterioration and monitoring failures, obstetric and maternity-related incidents, medication errors and adverse drug events, anticoagulation and antiplatelet-related events, diagnostic error and failure to follow up, equipment and medical device incidents, healthcare-associated infection and sepsis and surgical and procedural complications. Grouped horizontal bars in different colours represent each year (2024/25, 2023/24 and 2022/23), with longer bars for categories such as anticoagulation events, diagnostic error, and surgical complications, while other categories have shorter bars.&#10;&#10;"/>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a:fillRect/>
                    </a:stretch>
                  </pic:blipFill>
                  <pic:spPr bwMode="auto">
                    <a:xfrm>
                      <a:off x="0" y="0"/>
                      <a:ext cx="5852249" cy="2751256"/>
                    </a:xfrm>
                    <a:prstGeom prst="rect">
                      <a:avLst/>
                    </a:prstGeom>
                    <a:noFill/>
                    <a:ln>
                      <a:noFill/>
                    </a:ln>
                    <a:extLst>
                      <a:ext uri="{53640926-AAD7-44D8-BBD7-CCE9431645EC}">
                        <a14:shadowObscured xmlns:a14="http://schemas.microsoft.com/office/drawing/2010/main"/>
                      </a:ext>
                    </a:extLst>
                  </pic:spPr>
                </pic:pic>
              </a:graphicData>
            </a:graphic>
          </wp:inline>
        </w:drawing>
      </w:r>
      <w:r w:rsidR="03771583" w:rsidRPr="00317E26">
        <w:rPr>
          <w:rFonts w:eastAsiaTheme="minorEastAsia"/>
          <w:b/>
          <w:sz w:val="18"/>
          <w:szCs w:val="18"/>
        </w:rPr>
        <w:t>Note:</w:t>
      </w:r>
      <w:r w:rsidR="03771583" w:rsidRPr="00317E26">
        <w:rPr>
          <w:rFonts w:eastAsiaTheme="minorEastAsia"/>
          <w:sz w:val="18"/>
          <w:szCs w:val="18"/>
        </w:rPr>
        <w:t xml:space="preserve"> </w:t>
      </w:r>
      <w:r w:rsidR="00977912">
        <w:rPr>
          <w:rFonts w:eastAsiaTheme="minorEastAsia"/>
          <w:sz w:val="18"/>
          <w:szCs w:val="18"/>
        </w:rPr>
        <w:t>The</w:t>
      </w:r>
      <w:r w:rsidR="00977912" w:rsidRPr="00317E26">
        <w:rPr>
          <w:rFonts w:eastAsiaTheme="minorEastAsia"/>
          <w:sz w:val="18"/>
          <w:szCs w:val="18"/>
        </w:rPr>
        <w:t xml:space="preserve"> </w:t>
      </w:r>
      <w:r w:rsidR="03771583" w:rsidRPr="00317E26">
        <w:rPr>
          <w:rFonts w:eastAsiaTheme="minorEastAsia"/>
          <w:sz w:val="18"/>
          <w:szCs w:val="18"/>
        </w:rPr>
        <w:t>chart shows the number of ACC risk</w:t>
      </w:r>
      <w:r w:rsidR="00977912">
        <w:rPr>
          <w:rFonts w:eastAsiaTheme="minorEastAsia"/>
          <w:sz w:val="18"/>
          <w:szCs w:val="18"/>
        </w:rPr>
        <w:t>-</w:t>
      </w:r>
      <w:r w:rsidR="00977912" w:rsidRPr="00317E26">
        <w:rPr>
          <w:rFonts w:eastAsiaTheme="minorEastAsia"/>
          <w:sz w:val="18"/>
          <w:szCs w:val="18"/>
        </w:rPr>
        <w:t>of</w:t>
      </w:r>
      <w:r w:rsidR="00977912">
        <w:rPr>
          <w:rFonts w:eastAsiaTheme="minorEastAsia"/>
          <w:sz w:val="18"/>
          <w:szCs w:val="18"/>
        </w:rPr>
        <w:t>-</w:t>
      </w:r>
      <w:r w:rsidR="03771583" w:rsidRPr="00317E26">
        <w:rPr>
          <w:rFonts w:eastAsiaTheme="minorEastAsia"/>
          <w:sz w:val="18"/>
          <w:szCs w:val="18"/>
        </w:rPr>
        <w:t xml:space="preserve">harm events by risk type for </w:t>
      </w:r>
      <w:r w:rsidR="00850872">
        <w:rPr>
          <w:rFonts w:eastAsiaTheme="minorEastAsia"/>
          <w:sz w:val="18"/>
          <w:szCs w:val="18"/>
        </w:rPr>
        <w:t xml:space="preserve">the </w:t>
      </w:r>
      <w:r w:rsidR="03771583" w:rsidRPr="00317E26">
        <w:rPr>
          <w:rFonts w:eastAsiaTheme="minorEastAsia"/>
          <w:sz w:val="18"/>
          <w:szCs w:val="18"/>
        </w:rPr>
        <w:t>year</w:t>
      </w:r>
      <w:r w:rsidR="00850872">
        <w:rPr>
          <w:rFonts w:eastAsiaTheme="minorEastAsia"/>
          <w:sz w:val="18"/>
          <w:szCs w:val="18"/>
        </w:rPr>
        <w:t>s</w:t>
      </w:r>
      <w:r w:rsidR="03771583" w:rsidRPr="00317E26">
        <w:rPr>
          <w:rFonts w:eastAsiaTheme="minorEastAsia"/>
          <w:sz w:val="18"/>
          <w:szCs w:val="18"/>
        </w:rPr>
        <w:t xml:space="preserve"> 2022</w:t>
      </w:r>
      <w:r w:rsidR="00850872">
        <w:rPr>
          <w:rFonts w:eastAsiaTheme="minorEastAsia"/>
          <w:sz w:val="18"/>
          <w:szCs w:val="18"/>
        </w:rPr>
        <w:t>–</w:t>
      </w:r>
      <w:r w:rsidR="03771583" w:rsidRPr="00317E26">
        <w:rPr>
          <w:rFonts w:eastAsiaTheme="minorEastAsia"/>
          <w:sz w:val="18"/>
          <w:szCs w:val="18"/>
        </w:rPr>
        <w:t>2025.</w:t>
      </w:r>
    </w:p>
    <w:p w14:paraId="3A488C1D" w14:textId="563B8075" w:rsidR="00A96EEF" w:rsidRPr="00397686" w:rsidRDefault="00A96EEF" w:rsidP="00871044">
      <w:pPr>
        <w:pStyle w:val="BodytextHQSC"/>
        <w:jc w:val="center"/>
      </w:pPr>
    </w:p>
    <w:p w14:paraId="4E5010BD" w14:textId="77777777" w:rsidR="00BA7A5E" w:rsidRPr="00397686" w:rsidRDefault="00BA7A5E" w:rsidP="00922099">
      <w:pPr>
        <w:pStyle w:val="BodytextHQSC"/>
      </w:pPr>
      <w:r w:rsidRPr="00397686">
        <w:br w:type="page"/>
      </w:r>
    </w:p>
    <w:p w14:paraId="0E922675" w14:textId="511B8E31" w:rsidR="00A96EEF" w:rsidRPr="00397686" w:rsidRDefault="00A96EEF" w:rsidP="00BA7A5E">
      <w:pPr>
        <w:pStyle w:val="Heading1HQSC"/>
      </w:pPr>
      <w:bookmarkStart w:id="76" w:name="_Toc233888612"/>
      <w:r w:rsidRPr="00397686">
        <w:lastRenderedPageBreak/>
        <w:t>References</w:t>
      </w:r>
      <w:bookmarkEnd w:id="76"/>
    </w:p>
    <w:p w14:paraId="17DA21E2" w14:textId="7F56189C" w:rsidR="00A96EEF" w:rsidRPr="00397686" w:rsidRDefault="00A96EEF" w:rsidP="00FF3B19">
      <w:pPr>
        <w:pStyle w:val="BodytextHQSC"/>
        <w:spacing w:before="80"/>
      </w:pPr>
      <w:r w:rsidRPr="00397686">
        <w:t xml:space="preserve">Health NZ. 2025a. </w:t>
      </w:r>
      <w:r w:rsidRPr="00397686">
        <w:rPr>
          <w:i/>
          <w:iCs/>
        </w:rPr>
        <w:t>Health Digital Investment Plan</w:t>
      </w:r>
      <w:r w:rsidRPr="00397686">
        <w:t>. Wellington: Health New Zealand (Health</w:t>
      </w:r>
      <w:r w:rsidR="00FF3B19" w:rsidRPr="00397686">
        <w:t> </w:t>
      </w:r>
      <w:r w:rsidRPr="00397686">
        <w:t xml:space="preserve">NZ). </w:t>
      </w:r>
    </w:p>
    <w:p w14:paraId="2652AA9A" w14:textId="77777777" w:rsidR="00A96EEF" w:rsidRPr="00397686" w:rsidRDefault="00A96EEF" w:rsidP="00FF3B19">
      <w:pPr>
        <w:pStyle w:val="BodytextHQSC"/>
        <w:spacing w:before="80"/>
      </w:pPr>
      <w:r w:rsidRPr="00397686">
        <w:t xml:space="preserve">Health NZ. 2025b. </w:t>
      </w:r>
      <w:r w:rsidRPr="00397686">
        <w:rPr>
          <w:i/>
          <w:iCs/>
        </w:rPr>
        <w:t>New Zealand Health Plan 2024 to 2027: Te Pae Waenga</w:t>
      </w:r>
      <w:r w:rsidRPr="00397686">
        <w:t xml:space="preserve">. Wellington: Health New Zealand (Health NZ). </w:t>
      </w:r>
    </w:p>
    <w:p w14:paraId="4C67A512" w14:textId="77777777" w:rsidR="00A96EEF" w:rsidRPr="00397686" w:rsidRDefault="00A96EEF" w:rsidP="00FF3B19">
      <w:pPr>
        <w:pStyle w:val="BodytextHQSC"/>
        <w:spacing w:before="80"/>
        <w:rPr>
          <w:b/>
        </w:rPr>
      </w:pPr>
      <w:bookmarkStart w:id="77" w:name="_Hlk229732560"/>
      <w:r w:rsidRPr="00397686">
        <w:t>HQSC. nd(a). Health and disability sector harm (adverse) events infographic. Health Quality &amp; Safety Commission (HQSC). URL: hqsc.govt.nz/our-work/system-safety/healing-learning-and-improving-from-harm/infographic-health-and-disability-sector-adverse-events (accessed 14 May 2026).</w:t>
      </w:r>
    </w:p>
    <w:p w14:paraId="3F34762F" w14:textId="28E1F7A1" w:rsidR="00A96EEF" w:rsidRPr="00397686" w:rsidRDefault="00A96EEF" w:rsidP="00FF3B19">
      <w:pPr>
        <w:pStyle w:val="BodytextHQSC"/>
        <w:spacing w:before="80"/>
      </w:pPr>
      <w:r w:rsidRPr="00397686">
        <w:t xml:space="preserve">HQSC. nd(b). Sepsis guides and tools for health professionals. Health Quality &amp; Safety Commission (HQSC). URL: </w:t>
      </w:r>
      <w:r w:rsidRPr="00112894">
        <w:t>hqsc.govt.nz/our-work/improved-service-delivery/sepsis/sepsis-guides-and-tools-for-health-professionals</w:t>
      </w:r>
      <w:r w:rsidRPr="00397686">
        <w:t xml:space="preserve"> (accessed 14 May 2026).</w:t>
      </w:r>
    </w:p>
    <w:p w14:paraId="5AA6D053" w14:textId="77777777" w:rsidR="00A96EEF" w:rsidRPr="00397686" w:rsidRDefault="00A96EEF" w:rsidP="00FF3B19">
      <w:pPr>
        <w:pStyle w:val="BodytextHQSC"/>
        <w:spacing w:before="80"/>
      </w:pPr>
      <w:r w:rsidRPr="00397686">
        <w:t xml:space="preserve">HQSC. 2023a. </w:t>
      </w:r>
      <w:r w:rsidRPr="00397686">
        <w:rPr>
          <w:i/>
          <w:iCs/>
        </w:rPr>
        <w:t>A qualitative thematic analysis of maternity adverse events reported 1 July 2018–30 June 2023</w:t>
      </w:r>
      <w:r w:rsidRPr="00397686">
        <w:t>. Wellington: Health Quality &amp; Safety Commission (HQSC).</w:t>
      </w:r>
    </w:p>
    <w:p w14:paraId="4C92E588" w14:textId="77777777" w:rsidR="00A96EEF" w:rsidRPr="00397686" w:rsidRDefault="00A96EEF" w:rsidP="00FF3B19">
      <w:pPr>
        <w:pStyle w:val="BodytextHQSC"/>
        <w:spacing w:before="80"/>
      </w:pPr>
      <w:r w:rsidRPr="00397686">
        <w:t>HQSC. 2023b. Healing, learning and improving from harm: National adverse events policy 2023. Wellington: Health Quality &amp; Safety Commission (HQSC).</w:t>
      </w:r>
    </w:p>
    <w:p w14:paraId="3A7C6308" w14:textId="77777777" w:rsidR="00A96EEF" w:rsidRPr="00397686" w:rsidRDefault="00A96EEF" w:rsidP="00FF3B19">
      <w:pPr>
        <w:pStyle w:val="BodytextHQSC"/>
        <w:spacing w:before="80"/>
      </w:pPr>
      <w:r w:rsidRPr="00397686">
        <w:t xml:space="preserve">HQSC. 2024a (September). </w:t>
      </w:r>
      <w:r w:rsidRPr="00397686">
        <w:rPr>
          <w:i/>
          <w:iCs/>
        </w:rPr>
        <w:t>Assessing System Quality and Safety: Insights report</w:t>
      </w:r>
      <w:r w:rsidRPr="00397686">
        <w:t xml:space="preserve">. </w:t>
      </w:r>
      <w:bookmarkStart w:id="78" w:name="_Hlk229649341"/>
      <w:r w:rsidRPr="00397686">
        <w:t>Wellington: Health Quality &amp; Safety Commission</w:t>
      </w:r>
      <w:bookmarkEnd w:id="78"/>
      <w:r w:rsidRPr="00397686">
        <w:t xml:space="preserve"> (HQSC). </w:t>
      </w:r>
    </w:p>
    <w:p w14:paraId="50EFEE77" w14:textId="77777777" w:rsidR="00A96EEF" w:rsidRPr="00397686" w:rsidRDefault="00A96EEF" w:rsidP="00FF3B19">
      <w:pPr>
        <w:pStyle w:val="BodytextHQSC"/>
        <w:spacing w:before="80"/>
      </w:pPr>
      <w:r w:rsidRPr="00397686">
        <w:t xml:space="preserve">HQSC. 2024b (November). </w:t>
      </w:r>
      <w:r w:rsidRPr="00397686">
        <w:rPr>
          <w:i/>
          <w:iCs/>
        </w:rPr>
        <w:t>Assessing System Quality and Safety: Insights report</w:t>
      </w:r>
      <w:r w:rsidRPr="00397686">
        <w:t>. Wellington: Health Quality &amp; Safety Commission (HQSC).</w:t>
      </w:r>
    </w:p>
    <w:p w14:paraId="1F9C2CCA" w14:textId="143F8CC4" w:rsidR="00A96EEF" w:rsidRPr="00397686" w:rsidRDefault="00A96EEF" w:rsidP="00FF3B19">
      <w:pPr>
        <w:pStyle w:val="BodytextHQSC"/>
        <w:spacing w:before="80"/>
      </w:pPr>
      <w:r w:rsidRPr="00397686">
        <w:t xml:space="preserve">HQSC. 2024c. </w:t>
      </w:r>
      <w:r w:rsidRPr="00397686">
        <w:rPr>
          <w:i/>
          <w:iCs/>
        </w:rPr>
        <w:t>Collaborating for Quality: A framework for clinical governance | He mahi ngātahi kia kounga: He anga hei whakahaere whare haumanu</w:t>
      </w:r>
      <w:r w:rsidRPr="00397686">
        <w:t>. Wellington:</w:t>
      </w:r>
      <w:r w:rsidRPr="00397686" w:rsidDel="00DD2A27">
        <w:t xml:space="preserve"> </w:t>
      </w:r>
      <w:r w:rsidRPr="00397686">
        <w:t>Health Quality &amp;</w:t>
      </w:r>
      <w:r w:rsidR="00FF3B19" w:rsidRPr="00397686">
        <w:t> </w:t>
      </w:r>
      <w:r w:rsidRPr="00397686">
        <w:t>Safety Commission (HQSC).</w:t>
      </w:r>
    </w:p>
    <w:p w14:paraId="456F07E4" w14:textId="77777777" w:rsidR="00A96EEF" w:rsidRPr="00397686" w:rsidRDefault="00A96EEF" w:rsidP="00FF3B19">
      <w:pPr>
        <w:pStyle w:val="BodytextHQSC"/>
        <w:spacing w:before="80"/>
      </w:pPr>
      <w:r w:rsidRPr="00397686">
        <w:t xml:space="preserve">HQSC. 2024d. </w:t>
      </w:r>
      <w:r w:rsidRPr="00397686">
        <w:rPr>
          <w:i/>
          <w:iCs/>
        </w:rPr>
        <w:t>The Acuity of Acute Care: How increasing, changing or mismatched demand for services may be creating risks to available service supply</w:t>
      </w:r>
      <w:r w:rsidRPr="00397686">
        <w:t xml:space="preserve">. </w:t>
      </w:r>
      <w:r w:rsidRPr="00397686">
        <w:rPr>
          <w:bCs/>
        </w:rPr>
        <w:t>Wellington: Health Quality &amp; Safety Commission</w:t>
      </w:r>
      <w:r w:rsidRPr="00397686">
        <w:t xml:space="preserve"> (HQSC).</w:t>
      </w:r>
    </w:p>
    <w:p w14:paraId="2ABA49D7" w14:textId="2A93D903" w:rsidR="00A96EEF" w:rsidRDefault="00A96EEF" w:rsidP="00FF3B19">
      <w:pPr>
        <w:pStyle w:val="BodytextHQSC"/>
        <w:spacing w:before="80"/>
      </w:pPr>
      <w:r w:rsidRPr="00855D35">
        <w:t>HQSC. 2025</w:t>
      </w:r>
      <w:r w:rsidR="00855D35" w:rsidRPr="00855D35">
        <w:t>a</w:t>
      </w:r>
      <w:r w:rsidRPr="00855D35">
        <w:t>.</w:t>
      </w:r>
      <w:r w:rsidRPr="00397686">
        <w:t xml:space="preserve"> Community-acquired pressure injuries. Health Quality &amp; Safety Commission (HQSC). URL: </w:t>
      </w:r>
      <w:r w:rsidRPr="00112894">
        <w:t>hqsc.govt.nz/our-work/improved-service-delivery/community-acquired-pressure-injuries</w:t>
      </w:r>
      <w:r w:rsidRPr="00397686">
        <w:t xml:space="preserve"> (accessed 14 May 2026).</w:t>
      </w:r>
    </w:p>
    <w:p w14:paraId="183227B3" w14:textId="208EFE3E" w:rsidR="002A57CE" w:rsidRPr="00397686" w:rsidRDefault="002A57CE" w:rsidP="002A57CE">
      <w:pPr>
        <w:pStyle w:val="BodytextHQSC"/>
        <w:spacing w:before="80"/>
      </w:pPr>
      <w:r>
        <w:t xml:space="preserve">HQSC. 2026. </w:t>
      </w:r>
      <w:r w:rsidRPr="00A96742">
        <w:rPr>
          <w:i/>
        </w:rPr>
        <w:t>Aged residential care analysis of harm (adverse) events, 1 July 2024 to 30 June 2025</w:t>
      </w:r>
      <w:r>
        <w:t xml:space="preserve">. </w:t>
      </w:r>
      <w:r w:rsidRPr="00397686">
        <w:t>Health Quality &amp; Safety Commission (HQSC).</w:t>
      </w:r>
    </w:p>
    <w:bookmarkEnd w:id="77"/>
    <w:p w14:paraId="3FE496EA" w14:textId="77777777" w:rsidR="00A96EEF" w:rsidRPr="00397686" w:rsidRDefault="00A96EEF" w:rsidP="00FF3B19">
      <w:pPr>
        <w:pStyle w:val="BodytextHQSC"/>
        <w:spacing w:before="80"/>
      </w:pPr>
      <w:r w:rsidRPr="00397686">
        <w:t xml:space="preserve">Moore D, Loan J, Rohani M, et al. 2024. </w:t>
      </w:r>
      <w:r w:rsidRPr="00397686">
        <w:rPr>
          <w:i/>
        </w:rPr>
        <w:t>A review of aged care funding and service models</w:t>
      </w:r>
      <w:r w:rsidRPr="00397686">
        <w:t>. Wellington: Health New Zealand | Te Whatu Ora.</w:t>
      </w:r>
    </w:p>
    <w:p w14:paraId="3F7E58F6" w14:textId="77777777" w:rsidR="00A96EEF" w:rsidRPr="00397686" w:rsidRDefault="00A96EEF" w:rsidP="00FF3B19">
      <w:pPr>
        <w:pStyle w:val="BodytextHQSC"/>
        <w:spacing w:before="80"/>
      </w:pPr>
      <w:r w:rsidRPr="00397686">
        <w:t xml:space="preserve">WHO, WHO Patient Safety. 2010. </w:t>
      </w:r>
      <w:r w:rsidRPr="00397686">
        <w:rPr>
          <w:i/>
          <w:iCs/>
        </w:rPr>
        <w:t>Conceptual Framework for the International Classification for Patient Safety Version 1.1: Final technical report January 2009</w:t>
      </w:r>
      <w:r w:rsidRPr="00397686">
        <w:t xml:space="preserve">. Geneva: World Health Organization (WHO). </w:t>
      </w:r>
    </w:p>
    <w:p w14:paraId="6D27B9EB" w14:textId="77777777" w:rsidR="00A96EEF" w:rsidRPr="00397686" w:rsidRDefault="00A96EEF" w:rsidP="00FF3B19">
      <w:pPr>
        <w:pStyle w:val="BodytextHQSC"/>
        <w:spacing w:before="80"/>
      </w:pPr>
      <w:r w:rsidRPr="00397686">
        <w:lastRenderedPageBreak/>
        <w:t xml:space="preserve">WHO. 2021. </w:t>
      </w:r>
      <w:r w:rsidRPr="00397686">
        <w:rPr>
          <w:i/>
          <w:iCs/>
        </w:rPr>
        <w:t>Global Patient Safety Action Plan 2021–2030: Towards eliminating avoidable harm in health care</w:t>
      </w:r>
      <w:r w:rsidRPr="00397686">
        <w:t>. Geneva: World Health Organization (WHO).</w:t>
      </w:r>
    </w:p>
    <w:p w14:paraId="0B937DDF" w14:textId="77777777" w:rsidR="0039297D" w:rsidRPr="00397686" w:rsidRDefault="0039297D" w:rsidP="00FF3B19">
      <w:pPr>
        <w:pStyle w:val="BodytextHQSC"/>
        <w:rPr>
          <w:rFonts w:eastAsia="Arial"/>
        </w:rPr>
      </w:pPr>
    </w:p>
    <w:sectPr w:rsidR="0039297D" w:rsidRPr="00397686" w:rsidSect="006D5133">
      <w:footerReference w:type="even" r:id="rId37"/>
      <w:footerReference w:type="default" r:id="rId38"/>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138B5" w14:textId="77777777" w:rsidR="009864F6" w:rsidRDefault="009864F6" w:rsidP="003C45E1">
      <w:pPr>
        <w:spacing w:after="0" w:line="240" w:lineRule="auto"/>
      </w:pPr>
      <w:r>
        <w:separator/>
      </w:r>
    </w:p>
  </w:endnote>
  <w:endnote w:type="continuationSeparator" w:id="0">
    <w:p w14:paraId="508439AD" w14:textId="77777777" w:rsidR="009864F6" w:rsidRDefault="009864F6"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8923" w14:textId="3059CECE" w:rsidR="0017350C" w:rsidRDefault="00BC5010" w:rsidP="0017350C">
    <w:pPr>
      <w:pStyle w:val="Footer"/>
    </w:pPr>
    <w:r>
      <w:fldChar w:fldCharType="begin"/>
    </w:r>
    <w:r>
      <w:instrText xml:space="preserve"> PAGE   \* MERGEFORMAT </w:instrText>
    </w:r>
    <w:r>
      <w:fldChar w:fldCharType="separate"/>
    </w:r>
    <w:r>
      <w:rPr>
        <w:noProof/>
      </w:rPr>
      <w:t>1</w:t>
    </w:r>
    <w:r>
      <w:rPr>
        <w:noProof/>
      </w:rPr>
      <w:fldChar w:fldCharType="end"/>
    </w:r>
    <w:r w:rsidR="0017350C">
      <w:tab/>
    </w:r>
    <w:sdt>
      <w:sdtPr>
        <w:id w:val="-1067563459"/>
        <w:docPartObj>
          <w:docPartGallery w:val="Page Numbers (Top of Page)"/>
          <w:docPartUnique/>
        </w:docPartObj>
      </w:sdtPr>
      <w:sdtEndPr/>
      <w:sdtContent>
        <w:sdt>
          <w:sdtPr>
            <w:id w:val="1387227002"/>
            <w:docPartObj>
              <w:docPartGallery w:val="Page Numbers (Bottom of Page)"/>
              <w:docPartUnique/>
            </w:docPartObj>
          </w:sdtPr>
          <w:sdtEndPr/>
          <w:sdtContent>
            <w:sdt>
              <w:sdtPr>
                <w:id w:val="74485304"/>
                <w:docPartObj>
                  <w:docPartGallery w:val="Page Numbers (Top of Page)"/>
                  <w:docPartUnique/>
                </w:docPartObj>
              </w:sdtPr>
              <w:sdtEndPr/>
              <w:sdtContent>
                <w:r>
                  <w:t xml:space="preserve">Learning from health care harm: </w:t>
                </w:r>
              </w:sdtContent>
            </w:sdt>
          </w:sdtContent>
        </w:sdt>
        <w:r>
          <w:t>System safety report using data from multi-agencies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2D70" w14:textId="52979C04" w:rsidR="0017350C" w:rsidRPr="00314261" w:rsidRDefault="009864F6" w:rsidP="00C6759C">
    <w:pPr>
      <w:pStyle w:val="Footer"/>
    </w:pPr>
    <w:sdt>
      <w:sdtPr>
        <w:id w:val="1955210856"/>
        <w:docPartObj>
          <w:docPartGallery w:val="Page Numbers (Bottom of Page)"/>
          <w:docPartUnique/>
        </w:docPartObj>
      </w:sdtPr>
      <w:sdtEndPr/>
      <w:sdtContent>
        <w:sdt>
          <w:sdtPr>
            <w:id w:val="-1312715153"/>
            <w:docPartObj>
              <w:docPartGallery w:val="Page Numbers (Top of Page)"/>
              <w:docPartUnique/>
            </w:docPartObj>
          </w:sdtPr>
          <w:sdtEndPr/>
          <w:sdtContent>
            <w:r w:rsidR="00C6759C">
              <w:t xml:space="preserve">Learning from health care harm: </w:t>
            </w:r>
          </w:sdtContent>
        </w:sdt>
      </w:sdtContent>
    </w:sdt>
    <w:r w:rsidR="00C6759C">
      <w:t>System safety report using data from multi-agencies</w:t>
    </w:r>
    <w:r w:rsidR="0017350C">
      <w:tab/>
    </w:r>
    <w:r w:rsidR="00E8584B">
      <w:fldChar w:fldCharType="begin"/>
    </w:r>
    <w:r w:rsidR="00E8584B">
      <w:instrText xml:space="preserve"> PAGE   \* MERGEFORMAT </w:instrText>
    </w:r>
    <w:r w:rsidR="00E8584B">
      <w:fldChar w:fldCharType="separate"/>
    </w:r>
    <w:r w:rsidR="00E8584B">
      <w:rPr>
        <w:noProof/>
      </w:rPr>
      <w:t>1</w:t>
    </w:r>
    <w:r w:rsidR="00E858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FB085" w14:textId="77777777" w:rsidR="009864F6" w:rsidRDefault="009864F6" w:rsidP="003C45E1">
      <w:pPr>
        <w:spacing w:after="0" w:line="240" w:lineRule="auto"/>
      </w:pPr>
      <w:r>
        <w:separator/>
      </w:r>
    </w:p>
  </w:footnote>
  <w:footnote w:type="continuationSeparator" w:id="0">
    <w:p w14:paraId="7F3EAE98" w14:textId="77777777" w:rsidR="009864F6" w:rsidRDefault="009864F6" w:rsidP="003C45E1">
      <w:pPr>
        <w:spacing w:after="0" w:line="240" w:lineRule="auto"/>
      </w:pPr>
      <w:r>
        <w:continuationSeparator/>
      </w:r>
    </w:p>
  </w:footnote>
  <w:footnote w:id="1">
    <w:p w14:paraId="2437AE1E" w14:textId="79A917BA" w:rsidR="006D2D23" w:rsidRDefault="006D2D23" w:rsidP="006D2D23">
      <w:pPr>
        <w:pStyle w:val="FootnoteText"/>
      </w:pPr>
      <w:r>
        <w:rPr>
          <w:rStyle w:val="FootnoteReference"/>
        </w:rPr>
        <w:footnoteRef/>
      </w:r>
      <w:r>
        <w:t xml:space="preserve"> </w:t>
      </w:r>
      <w:r>
        <w:tab/>
      </w:r>
      <w:hyperlink r:id="rId1" w:anchor="LMS575578" w:history="1">
        <w:r w:rsidRPr="00E4159F">
          <w:rPr>
            <w:rStyle w:val="Hyperlink"/>
          </w:rPr>
          <w:t xml:space="preserve">Pae Ora (Healthy </w:t>
        </w:r>
        <w:r w:rsidRPr="00B179F9">
          <w:rPr>
            <w:rStyle w:val="Hyperlink"/>
          </w:rPr>
          <w:t>Futures</w:t>
        </w:r>
        <w:r w:rsidRPr="00E4159F">
          <w:rPr>
            <w:rStyle w:val="Hyperlink"/>
          </w:rPr>
          <w:t>) Bill | New Zealand Legislation</w:t>
        </w:r>
      </w:hyperlink>
    </w:p>
  </w:footnote>
  <w:footnote w:id="2">
    <w:p w14:paraId="513C2028" w14:textId="06596A08" w:rsidR="000C5316" w:rsidRPr="000C5316" w:rsidRDefault="000C5316" w:rsidP="000C5316">
      <w:pPr>
        <w:pStyle w:val="FootnoteText"/>
      </w:pPr>
      <w:r>
        <w:rPr>
          <w:rStyle w:val="FootnoteReference"/>
        </w:rPr>
        <w:footnoteRef/>
      </w:r>
      <w:r>
        <w:t xml:space="preserve"> </w:t>
      </w:r>
      <w:r>
        <w:tab/>
      </w:r>
      <w:hyperlink r:id="rId2" w:history="1">
        <w:r w:rsidRPr="00101D5A">
          <w:rPr>
            <w:rStyle w:val="Hyperlink"/>
          </w:rPr>
          <w:t>hqsc.govt.nz/our-data/quality-and-safety-markers</w:t>
        </w:r>
      </w:hyperlink>
      <w:r>
        <w:t xml:space="preserve"> </w:t>
      </w:r>
    </w:p>
  </w:footnote>
  <w:footnote w:id="3">
    <w:p w14:paraId="7287921C" w14:textId="132D178F" w:rsidR="00910621" w:rsidRPr="004319A7" w:rsidRDefault="00910621" w:rsidP="0027226A">
      <w:pPr>
        <w:pStyle w:val="FootnoteText"/>
      </w:pPr>
      <w:r>
        <w:rPr>
          <w:rStyle w:val="FootnoteReference"/>
        </w:rPr>
        <w:footnoteRef/>
      </w:r>
      <w:r>
        <w:t xml:space="preserve"> </w:t>
      </w:r>
      <w:r w:rsidR="0027226A">
        <w:tab/>
      </w:r>
      <w:hyperlink r:id="rId3" w:history="1">
        <w:r w:rsidR="00B179F9" w:rsidRPr="005E4CA9">
          <w:rPr>
            <w:rStyle w:val="Hyperlink"/>
          </w:rPr>
          <w:t>hqsc.govt.nz/our-work/improved-service-delivery/safe-surgery-nz/projects/surgical-teamwork-and-communication/interventions/surgical-safety-checklist</w:t>
        </w:r>
      </w:hyperlink>
      <w:r w:rsidR="00B179F9">
        <w:t xml:space="preserve"> </w:t>
      </w:r>
    </w:p>
  </w:footnote>
  <w:footnote w:id="4">
    <w:p w14:paraId="55FD266B" w14:textId="342D5CC5" w:rsidR="00910621" w:rsidRDefault="00910621" w:rsidP="00821491">
      <w:pPr>
        <w:pStyle w:val="FootnoteText"/>
      </w:pPr>
      <w:r w:rsidRPr="00CA49DD">
        <w:rPr>
          <w:rStyle w:val="FootnoteReference"/>
        </w:rPr>
        <w:footnoteRef/>
      </w:r>
      <w:r w:rsidRPr="00CA49DD">
        <w:t xml:space="preserve"> </w:t>
      </w:r>
      <w:r w:rsidR="00821491">
        <w:tab/>
      </w:r>
      <w:r w:rsidRPr="00CA49DD" w:rsidDel="004C4DD5">
        <w:t xml:space="preserve">The </w:t>
      </w:r>
      <w:r>
        <w:t>recent h</w:t>
      </w:r>
      <w:r w:rsidRPr="00CA49DD">
        <w:t>ealth</w:t>
      </w:r>
      <w:r w:rsidRPr="00CA49DD" w:rsidDel="004C4DD5">
        <w:t xml:space="preserve"> </w:t>
      </w:r>
      <w:r>
        <w:t>and d</w:t>
      </w:r>
      <w:r w:rsidRPr="00CA49DD">
        <w:t>isability system reforms</w:t>
      </w:r>
      <w:r>
        <w:t xml:space="preserve"> included a call for the Commission to establish a quality forum</w:t>
      </w:r>
      <w:r w:rsidRPr="00CA49DD">
        <w:t xml:space="preserve">, to </w:t>
      </w:r>
      <w:r>
        <w:t>‘</w:t>
      </w:r>
      <w:r w:rsidRPr="00CA49DD">
        <w:t>share and assess quality risks across the health system</w:t>
      </w:r>
      <w:r>
        <w:t>’</w:t>
      </w:r>
      <w:r w:rsidRPr="00CA49DD">
        <w:t>.</w:t>
      </w:r>
      <w:r w:rsidRPr="00CA49DD" w:rsidDel="004C4DD5">
        <w:t xml:space="preserve"> </w:t>
      </w:r>
      <w:r>
        <w:t xml:space="preserve">The Commission </w:t>
      </w:r>
      <w:r w:rsidRPr="00CA49DD">
        <w:t xml:space="preserve">has a government </w:t>
      </w:r>
      <w:r w:rsidRPr="00825349">
        <w:t xml:space="preserve">mandate to establish and lead </w:t>
      </w:r>
      <w:r>
        <w:t>this f</w:t>
      </w:r>
      <w:r w:rsidRPr="00825349">
        <w:t xml:space="preserve">orum. The </w:t>
      </w:r>
      <w:r>
        <w:t xml:space="preserve">National Quality </w:t>
      </w:r>
      <w:r w:rsidRPr="00825349">
        <w:t xml:space="preserve">Forum is </w:t>
      </w:r>
      <w:r>
        <w:t xml:space="preserve">now </w:t>
      </w:r>
      <w:r w:rsidRPr="00825349">
        <w:t>the peak body for quality</w:t>
      </w:r>
      <w:r w:rsidRPr="00825349">
        <w:rPr>
          <w:bCs/>
        </w:rPr>
        <w:t xml:space="preserve"> and safety for the public health and disability system in New Zealand.</w:t>
      </w:r>
    </w:p>
  </w:footnote>
  <w:footnote w:id="5">
    <w:p w14:paraId="1C5AC50B" w14:textId="70B761E1" w:rsidR="00552101" w:rsidRDefault="00552101">
      <w:pPr>
        <w:pStyle w:val="FootnoteText"/>
      </w:pPr>
      <w:r>
        <w:rPr>
          <w:rStyle w:val="FootnoteReference"/>
        </w:rPr>
        <w:footnoteRef/>
      </w:r>
      <w:r>
        <w:t xml:space="preserve"> </w:t>
      </w:r>
      <w:r w:rsidR="00200E8D">
        <w:tab/>
      </w:r>
      <w:r>
        <w:t xml:space="preserve">The </w:t>
      </w:r>
      <w:r w:rsidR="00FB4768">
        <w:t>Health Roundtable is an independent</w:t>
      </w:r>
      <w:r w:rsidR="00C17CEA">
        <w:t>, membership organisation</w:t>
      </w:r>
      <w:r w:rsidR="00200E8D">
        <w:t xml:space="preserve"> of more than 200 hospitals</w:t>
      </w:r>
      <w:r w:rsidR="00677A37">
        <w:t xml:space="preserve"> from</w:t>
      </w:r>
      <w:r w:rsidR="00200E8D">
        <w:t xml:space="preserve"> across Australia and New Zealand. </w:t>
      </w:r>
      <w:r w:rsidR="00963F01">
        <w:t xml:space="preserve">The </w:t>
      </w:r>
      <w:r w:rsidR="000E2590">
        <w:t xml:space="preserve">organisation was founded in 1995 </w:t>
      </w:r>
      <w:r w:rsidR="009D7A15">
        <w:t>to</w:t>
      </w:r>
      <w:r w:rsidR="000E2590">
        <w:t xml:space="preserve"> </w:t>
      </w:r>
      <w:r w:rsidR="00677A37">
        <w:t>provid</w:t>
      </w:r>
      <w:r w:rsidR="009D7A15">
        <w:t>e</w:t>
      </w:r>
      <w:r w:rsidR="003C4BA4">
        <w:t xml:space="preserve"> measures, dashboards and reports</w:t>
      </w:r>
      <w:r w:rsidR="00FB4768">
        <w:t xml:space="preserve"> </w:t>
      </w:r>
      <w:r w:rsidR="00CC6600">
        <w:t>on comparative hospital performance</w:t>
      </w:r>
      <w:r w:rsidR="00BD50F7">
        <w:t xml:space="preserve"> across the two countries</w:t>
      </w:r>
      <w:r w:rsidR="006A1E8E">
        <w:t xml:space="preserve"> with the aim of </w:t>
      </w:r>
      <w:r w:rsidR="00F376FD">
        <w:t>improving clinical care, patient outcomes and hospital performance</w:t>
      </w:r>
      <w:r w:rsidR="00BD50F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AC264C"/>
    <w:lvl w:ilvl="0">
      <w:start w:val="1"/>
      <w:numFmt w:val="bullet"/>
      <w:lvlText w:val=""/>
      <w:lvlJc w:val="left"/>
      <w:pPr>
        <w:ind w:left="360" w:hanging="360"/>
      </w:pPr>
      <w:rPr>
        <w:rFonts w:ascii="Symbol" w:hAnsi="Symbol" w:hint="default"/>
        <w:b w:val="0"/>
        <w:bCs w:val="0"/>
        <w:i w:val="0"/>
        <w:iCs w:val="0"/>
        <w:color w:val="auto"/>
        <w:w w:val="100"/>
        <w:sz w:val="22"/>
        <w:szCs w:val="22"/>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7EC1011"/>
    <w:multiLevelType w:val="hybridMultilevel"/>
    <w:tmpl w:val="3AAAFAAA"/>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8958A6"/>
    <w:multiLevelType w:val="hybridMultilevel"/>
    <w:tmpl w:val="4948C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BB56BB"/>
    <w:multiLevelType w:val="hybridMultilevel"/>
    <w:tmpl w:val="1CFA0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998564"/>
    <w:multiLevelType w:val="hybridMultilevel"/>
    <w:tmpl w:val="0B1C83C2"/>
    <w:lvl w:ilvl="0" w:tplc="33BC3568">
      <w:start w:val="1"/>
      <w:numFmt w:val="bullet"/>
      <w:lvlText w:val=""/>
      <w:lvlJc w:val="left"/>
      <w:pPr>
        <w:ind w:left="720" w:hanging="360"/>
      </w:pPr>
      <w:rPr>
        <w:rFonts w:ascii="Symbol" w:hAnsi="Symbol" w:hint="default"/>
      </w:rPr>
    </w:lvl>
    <w:lvl w:ilvl="1" w:tplc="283AABB8">
      <w:start w:val="1"/>
      <w:numFmt w:val="bullet"/>
      <w:lvlText w:val="o"/>
      <w:lvlJc w:val="left"/>
      <w:pPr>
        <w:ind w:left="1440" w:hanging="360"/>
      </w:pPr>
      <w:rPr>
        <w:rFonts w:ascii="Courier New" w:hAnsi="Courier New" w:hint="default"/>
      </w:rPr>
    </w:lvl>
    <w:lvl w:ilvl="2" w:tplc="2C644A00">
      <w:start w:val="1"/>
      <w:numFmt w:val="bullet"/>
      <w:lvlText w:val=""/>
      <w:lvlJc w:val="left"/>
      <w:pPr>
        <w:ind w:left="2160" w:hanging="360"/>
      </w:pPr>
      <w:rPr>
        <w:rFonts w:ascii="Wingdings" w:hAnsi="Wingdings" w:hint="default"/>
      </w:rPr>
    </w:lvl>
    <w:lvl w:ilvl="3" w:tplc="5EE25F44">
      <w:start w:val="1"/>
      <w:numFmt w:val="bullet"/>
      <w:lvlText w:val=""/>
      <w:lvlJc w:val="left"/>
      <w:pPr>
        <w:ind w:left="2880" w:hanging="360"/>
      </w:pPr>
      <w:rPr>
        <w:rFonts w:ascii="Symbol" w:hAnsi="Symbol" w:hint="default"/>
      </w:rPr>
    </w:lvl>
    <w:lvl w:ilvl="4" w:tplc="077675A4">
      <w:start w:val="1"/>
      <w:numFmt w:val="bullet"/>
      <w:lvlText w:val="o"/>
      <w:lvlJc w:val="left"/>
      <w:pPr>
        <w:ind w:left="3600" w:hanging="360"/>
      </w:pPr>
      <w:rPr>
        <w:rFonts w:ascii="Courier New" w:hAnsi="Courier New" w:hint="default"/>
      </w:rPr>
    </w:lvl>
    <w:lvl w:ilvl="5" w:tplc="6FA8EC78">
      <w:start w:val="1"/>
      <w:numFmt w:val="bullet"/>
      <w:lvlText w:val=""/>
      <w:lvlJc w:val="left"/>
      <w:pPr>
        <w:ind w:left="4320" w:hanging="360"/>
      </w:pPr>
      <w:rPr>
        <w:rFonts w:ascii="Wingdings" w:hAnsi="Wingdings" w:hint="default"/>
      </w:rPr>
    </w:lvl>
    <w:lvl w:ilvl="6" w:tplc="7DE408F6">
      <w:start w:val="1"/>
      <w:numFmt w:val="bullet"/>
      <w:lvlText w:val=""/>
      <w:lvlJc w:val="left"/>
      <w:pPr>
        <w:ind w:left="5040" w:hanging="360"/>
      </w:pPr>
      <w:rPr>
        <w:rFonts w:ascii="Symbol" w:hAnsi="Symbol" w:hint="default"/>
      </w:rPr>
    </w:lvl>
    <w:lvl w:ilvl="7" w:tplc="3E8CCBF4">
      <w:start w:val="1"/>
      <w:numFmt w:val="bullet"/>
      <w:lvlText w:val="o"/>
      <w:lvlJc w:val="left"/>
      <w:pPr>
        <w:ind w:left="5760" w:hanging="360"/>
      </w:pPr>
      <w:rPr>
        <w:rFonts w:ascii="Courier New" w:hAnsi="Courier New" w:hint="default"/>
      </w:rPr>
    </w:lvl>
    <w:lvl w:ilvl="8" w:tplc="C87608AC">
      <w:start w:val="1"/>
      <w:numFmt w:val="bullet"/>
      <w:lvlText w:val=""/>
      <w:lvlJc w:val="left"/>
      <w:pPr>
        <w:ind w:left="6480" w:hanging="360"/>
      </w:pPr>
      <w:rPr>
        <w:rFonts w:ascii="Wingdings" w:hAnsi="Wingdings" w:hint="default"/>
      </w:rPr>
    </w:lvl>
  </w:abstractNum>
  <w:abstractNum w:abstractNumId="12" w15:restartNumberingAfterBreak="0">
    <w:nsid w:val="3BF41B3F"/>
    <w:multiLevelType w:val="hybridMultilevel"/>
    <w:tmpl w:val="836A1256"/>
    <w:lvl w:ilvl="0" w:tplc="CF42D130">
      <w:start w:val="1"/>
      <w:numFmt w:val="bullet"/>
      <w:lvlText w:val=""/>
      <w:lvlJc w:val="left"/>
      <w:pPr>
        <w:ind w:left="720" w:hanging="360"/>
      </w:pPr>
      <w:rPr>
        <w:rFonts w:ascii="Symbol" w:hAnsi="Symbol" w:hint="default"/>
      </w:rPr>
    </w:lvl>
    <w:lvl w:ilvl="1" w:tplc="9D22893C">
      <w:start w:val="1"/>
      <w:numFmt w:val="bullet"/>
      <w:lvlText w:val="o"/>
      <w:lvlJc w:val="left"/>
      <w:pPr>
        <w:ind w:left="1440" w:hanging="360"/>
      </w:pPr>
      <w:rPr>
        <w:rFonts w:ascii="Courier New" w:hAnsi="Courier New" w:hint="default"/>
      </w:rPr>
    </w:lvl>
    <w:lvl w:ilvl="2" w:tplc="65CA827C">
      <w:start w:val="1"/>
      <w:numFmt w:val="bullet"/>
      <w:lvlText w:val=""/>
      <w:lvlJc w:val="left"/>
      <w:pPr>
        <w:ind w:left="2160" w:hanging="360"/>
      </w:pPr>
      <w:rPr>
        <w:rFonts w:ascii="Wingdings" w:hAnsi="Wingdings" w:hint="default"/>
      </w:rPr>
    </w:lvl>
    <w:lvl w:ilvl="3" w:tplc="6F0CB35E">
      <w:start w:val="1"/>
      <w:numFmt w:val="bullet"/>
      <w:lvlText w:val=""/>
      <w:lvlJc w:val="left"/>
      <w:pPr>
        <w:ind w:left="2880" w:hanging="360"/>
      </w:pPr>
      <w:rPr>
        <w:rFonts w:ascii="Symbol" w:hAnsi="Symbol" w:hint="default"/>
      </w:rPr>
    </w:lvl>
    <w:lvl w:ilvl="4" w:tplc="A0A42F5A">
      <w:start w:val="1"/>
      <w:numFmt w:val="bullet"/>
      <w:lvlText w:val="o"/>
      <w:lvlJc w:val="left"/>
      <w:pPr>
        <w:ind w:left="3600" w:hanging="360"/>
      </w:pPr>
      <w:rPr>
        <w:rFonts w:ascii="Courier New" w:hAnsi="Courier New" w:hint="default"/>
      </w:rPr>
    </w:lvl>
    <w:lvl w:ilvl="5" w:tplc="E9260AD2">
      <w:start w:val="1"/>
      <w:numFmt w:val="bullet"/>
      <w:lvlText w:val=""/>
      <w:lvlJc w:val="left"/>
      <w:pPr>
        <w:ind w:left="4320" w:hanging="360"/>
      </w:pPr>
      <w:rPr>
        <w:rFonts w:ascii="Wingdings" w:hAnsi="Wingdings" w:hint="default"/>
      </w:rPr>
    </w:lvl>
    <w:lvl w:ilvl="6" w:tplc="78C8070C">
      <w:start w:val="1"/>
      <w:numFmt w:val="bullet"/>
      <w:lvlText w:val=""/>
      <w:lvlJc w:val="left"/>
      <w:pPr>
        <w:ind w:left="5040" w:hanging="360"/>
      </w:pPr>
      <w:rPr>
        <w:rFonts w:ascii="Symbol" w:hAnsi="Symbol" w:hint="default"/>
      </w:rPr>
    </w:lvl>
    <w:lvl w:ilvl="7" w:tplc="A23C5ED6">
      <w:start w:val="1"/>
      <w:numFmt w:val="bullet"/>
      <w:lvlText w:val="o"/>
      <w:lvlJc w:val="left"/>
      <w:pPr>
        <w:ind w:left="5760" w:hanging="360"/>
      </w:pPr>
      <w:rPr>
        <w:rFonts w:ascii="Courier New" w:hAnsi="Courier New" w:hint="default"/>
      </w:rPr>
    </w:lvl>
    <w:lvl w:ilvl="8" w:tplc="9D72A952">
      <w:start w:val="1"/>
      <w:numFmt w:val="bullet"/>
      <w:lvlText w:val=""/>
      <w:lvlJc w:val="left"/>
      <w:pPr>
        <w:ind w:left="6480" w:hanging="360"/>
      </w:pPr>
      <w:rPr>
        <w:rFonts w:ascii="Wingdings" w:hAnsi="Wingdings" w:hint="default"/>
      </w:rPr>
    </w:lvl>
  </w:abstractNum>
  <w:abstractNum w:abstractNumId="13" w15:restartNumberingAfterBreak="0">
    <w:nsid w:val="3C0C5BAA"/>
    <w:multiLevelType w:val="hybridMultilevel"/>
    <w:tmpl w:val="BC9C4A48"/>
    <w:lvl w:ilvl="0" w:tplc="28B88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D465A16"/>
    <w:multiLevelType w:val="multilevel"/>
    <w:tmpl w:val="7024B24E"/>
    <w:lvl w:ilvl="0">
      <w:start w:val="1"/>
      <w:numFmt w:val="bullet"/>
      <w:pStyle w:val="Bullet"/>
      <w:lvlText w:val=""/>
      <w:lvlJc w:val="left"/>
      <w:pPr>
        <w:tabs>
          <w:tab w:val="num" w:pos="397"/>
        </w:tabs>
        <w:ind w:left="397" w:hanging="397"/>
      </w:pPr>
      <w:rPr>
        <w:rFonts w:ascii="Symbol" w:hAnsi="Symbol" w:hint="default"/>
        <w:color w:val="auto"/>
        <w:sz w:val="22"/>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7701FB"/>
    <w:multiLevelType w:val="multilevel"/>
    <w:tmpl w:val="F012ABEA"/>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DF5E6B"/>
    <w:multiLevelType w:val="multilevel"/>
    <w:tmpl w:val="E9AC264C"/>
    <w:styleLink w:val="Style1"/>
    <w:lvl w:ilvl="0">
      <w:start w:val="1"/>
      <w:numFmt w:val="bullet"/>
      <w:lvlText w:val=""/>
      <w:lvlJc w:val="left"/>
      <w:pPr>
        <w:ind w:left="360" w:hanging="360"/>
      </w:pPr>
      <w:rPr>
        <w:rFonts w:ascii="Symbol" w:hAnsi="Symbol" w:hint="default"/>
        <w:b w:val="0"/>
        <w:bCs w:val="0"/>
        <w:i w:val="0"/>
        <w:iCs w:val="0"/>
        <w:color w:val="auto"/>
        <w:w w:val="100"/>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15:restartNumberingAfterBreak="0">
    <w:nsid w:val="571A4D53"/>
    <w:multiLevelType w:val="hybridMultilevel"/>
    <w:tmpl w:val="3698AD06"/>
    <w:lvl w:ilvl="0" w:tplc="1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2"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10"/>
  </w:num>
  <w:num w:numId="2" w16cid:durableId="1664695360">
    <w:abstractNumId w:val="17"/>
  </w:num>
  <w:num w:numId="3" w16cid:durableId="86075489">
    <w:abstractNumId w:val="22"/>
  </w:num>
  <w:num w:numId="4" w16cid:durableId="961226629">
    <w:abstractNumId w:val="18"/>
  </w:num>
  <w:num w:numId="5" w16cid:durableId="810247892">
    <w:abstractNumId w:val="23"/>
  </w:num>
  <w:num w:numId="6" w16cid:durableId="199098544">
    <w:abstractNumId w:val="14"/>
  </w:num>
  <w:num w:numId="7" w16cid:durableId="1829781319">
    <w:abstractNumId w:val="26"/>
  </w:num>
  <w:num w:numId="8" w16cid:durableId="534579980">
    <w:abstractNumId w:val="19"/>
  </w:num>
  <w:num w:numId="9" w16cid:durableId="1863742993">
    <w:abstractNumId w:val="9"/>
  </w:num>
  <w:num w:numId="10" w16cid:durableId="50538599">
    <w:abstractNumId w:val="7"/>
  </w:num>
  <w:num w:numId="11" w16cid:durableId="1131828693">
    <w:abstractNumId w:val="4"/>
  </w:num>
  <w:num w:numId="12" w16cid:durableId="1093433892">
    <w:abstractNumId w:val="25"/>
  </w:num>
  <w:num w:numId="13" w16cid:durableId="272787516">
    <w:abstractNumId w:val="24"/>
  </w:num>
  <w:num w:numId="14" w16cid:durableId="1390617373">
    <w:abstractNumId w:val="5"/>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64591683">
    <w:abstractNumId w:val="13"/>
  </w:num>
  <w:num w:numId="20" w16cid:durableId="68894586">
    <w:abstractNumId w:val="20"/>
  </w:num>
  <w:num w:numId="21" w16cid:durableId="1016423024">
    <w:abstractNumId w:val="15"/>
  </w:num>
  <w:num w:numId="22" w16cid:durableId="519121977">
    <w:abstractNumId w:val="16"/>
  </w:num>
  <w:num w:numId="23" w16cid:durableId="676229141">
    <w:abstractNumId w:val="6"/>
  </w:num>
  <w:num w:numId="24" w16cid:durableId="1737971129">
    <w:abstractNumId w:val="11"/>
  </w:num>
  <w:num w:numId="25" w16cid:durableId="1559780123">
    <w:abstractNumId w:val="12"/>
  </w:num>
  <w:num w:numId="26" w16cid:durableId="495194007">
    <w:abstractNumId w:val="21"/>
  </w:num>
  <w:num w:numId="27" w16cid:durableId="334916241">
    <w:abstractNumId w:val="3"/>
  </w:num>
  <w:num w:numId="28" w16cid:durableId="3729062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1D4"/>
    <w:rsid w:val="00000224"/>
    <w:rsid w:val="00001030"/>
    <w:rsid w:val="00001303"/>
    <w:rsid w:val="00001D39"/>
    <w:rsid w:val="00002148"/>
    <w:rsid w:val="0000264E"/>
    <w:rsid w:val="000029B9"/>
    <w:rsid w:val="00003697"/>
    <w:rsid w:val="00003978"/>
    <w:rsid w:val="00004909"/>
    <w:rsid w:val="00004ED2"/>
    <w:rsid w:val="00005986"/>
    <w:rsid w:val="00006C16"/>
    <w:rsid w:val="00006FE9"/>
    <w:rsid w:val="000072B5"/>
    <w:rsid w:val="00007325"/>
    <w:rsid w:val="00010898"/>
    <w:rsid w:val="00010B51"/>
    <w:rsid w:val="0001160B"/>
    <w:rsid w:val="00012CD3"/>
    <w:rsid w:val="00013EAA"/>
    <w:rsid w:val="000141CC"/>
    <w:rsid w:val="00014473"/>
    <w:rsid w:val="0001452D"/>
    <w:rsid w:val="0001499C"/>
    <w:rsid w:val="00014BDF"/>
    <w:rsid w:val="000154D5"/>
    <w:rsid w:val="000157B9"/>
    <w:rsid w:val="00015F44"/>
    <w:rsid w:val="0001624F"/>
    <w:rsid w:val="00016356"/>
    <w:rsid w:val="000168E9"/>
    <w:rsid w:val="0001698D"/>
    <w:rsid w:val="00016E01"/>
    <w:rsid w:val="0001707C"/>
    <w:rsid w:val="000170C5"/>
    <w:rsid w:val="00017135"/>
    <w:rsid w:val="00017216"/>
    <w:rsid w:val="0001773C"/>
    <w:rsid w:val="00017E9F"/>
    <w:rsid w:val="00020D9B"/>
    <w:rsid w:val="00020ECA"/>
    <w:rsid w:val="00021A1A"/>
    <w:rsid w:val="0002289D"/>
    <w:rsid w:val="000230FF"/>
    <w:rsid w:val="000235D4"/>
    <w:rsid w:val="000243DA"/>
    <w:rsid w:val="000246FA"/>
    <w:rsid w:val="00024845"/>
    <w:rsid w:val="000252C0"/>
    <w:rsid w:val="00025559"/>
    <w:rsid w:val="000257A9"/>
    <w:rsid w:val="000257D7"/>
    <w:rsid w:val="00026401"/>
    <w:rsid w:val="00027510"/>
    <w:rsid w:val="0003020D"/>
    <w:rsid w:val="00030475"/>
    <w:rsid w:val="00030A12"/>
    <w:rsid w:val="0003165F"/>
    <w:rsid w:val="000318E3"/>
    <w:rsid w:val="000327D1"/>
    <w:rsid w:val="00032A0A"/>
    <w:rsid w:val="00032A27"/>
    <w:rsid w:val="000334BC"/>
    <w:rsid w:val="00033EEB"/>
    <w:rsid w:val="0003438B"/>
    <w:rsid w:val="00035765"/>
    <w:rsid w:val="00035936"/>
    <w:rsid w:val="0004105F"/>
    <w:rsid w:val="00041929"/>
    <w:rsid w:val="00043083"/>
    <w:rsid w:val="00043279"/>
    <w:rsid w:val="0004381C"/>
    <w:rsid w:val="00043E1E"/>
    <w:rsid w:val="000447F4"/>
    <w:rsid w:val="00044DD8"/>
    <w:rsid w:val="00045634"/>
    <w:rsid w:val="0004575A"/>
    <w:rsid w:val="00046A6C"/>
    <w:rsid w:val="000501A9"/>
    <w:rsid w:val="00050A3B"/>
    <w:rsid w:val="00050E91"/>
    <w:rsid w:val="00050FAF"/>
    <w:rsid w:val="000513FA"/>
    <w:rsid w:val="00051CC0"/>
    <w:rsid w:val="000520A6"/>
    <w:rsid w:val="000522B9"/>
    <w:rsid w:val="0005287A"/>
    <w:rsid w:val="000528BE"/>
    <w:rsid w:val="00052927"/>
    <w:rsid w:val="00052B4C"/>
    <w:rsid w:val="00053048"/>
    <w:rsid w:val="00053117"/>
    <w:rsid w:val="00053AD5"/>
    <w:rsid w:val="0005504C"/>
    <w:rsid w:val="00055439"/>
    <w:rsid w:val="00055671"/>
    <w:rsid w:val="00056F98"/>
    <w:rsid w:val="00057A09"/>
    <w:rsid w:val="00057F11"/>
    <w:rsid w:val="0006044A"/>
    <w:rsid w:val="00060508"/>
    <w:rsid w:val="000608E0"/>
    <w:rsid w:val="00061140"/>
    <w:rsid w:val="00062334"/>
    <w:rsid w:val="00062B20"/>
    <w:rsid w:val="00062B82"/>
    <w:rsid w:val="000636B4"/>
    <w:rsid w:val="00063767"/>
    <w:rsid w:val="000639C8"/>
    <w:rsid w:val="000640B0"/>
    <w:rsid w:val="00065B37"/>
    <w:rsid w:val="00065F0D"/>
    <w:rsid w:val="000660B2"/>
    <w:rsid w:val="00066237"/>
    <w:rsid w:val="000668D2"/>
    <w:rsid w:val="00066C48"/>
    <w:rsid w:val="00067E14"/>
    <w:rsid w:val="00070832"/>
    <w:rsid w:val="0007179D"/>
    <w:rsid w:val="00071CE6"/>
    <w:rsid w:val="00072A5A"/>
    <w:rsid w:val="00072B90"/>
    <w:rsid w:val="00073157"/>
    <w:rsid w:val="00073AE3"/>
    <w:rsid w:val="000746A6"/>
    <w:rsid w:val="0007489B"/>
    <w:rsid w:val="00074968"/>
    <w:rsid w:val="00074F4D"/>
    <w:rsid w:val="00075089"/>
    <w:rsid w:val="00075279"/>
    <w:rsid w:val="00075FB8"/>
    <w:rsid w:val="00076781"/>
    <w:rsid w:val="00076DF7"/>
    <w:rsid w:val="000770A2"/>
    <w:rsid w:val="000773F6"/>
    <w:rsid w:val="000803CB"/>
    <w:rsid w:val="00081068"/>
    <w:rsid w:val="00081374"/>
    <w:rsid w:val="00081524"/>
    <w:rsid w:val="00081E3B"/>
    <w:rsid w:val="00081EB7"/>
    <w:rsid w:val="0008255A"/>
    <w:rsid w:val="000827CC"/>
    <w:rsid w:val="000828FC"/>
    <w:rsid w:val="00082B04"/>
    <w:rsid w:val="000838FD"/>
    <w:rsid w:val="00084186"/>
    <w:rsid w:val="00084287"/>
    <w:rsid w:val="000847C4"/>
    <w:rsid w:val="00085300"/>
    <w:rsid w:val="00085FA7"/>
    <w:rsid w:val="000867AB"/>
    <w:rsid w:val="0008726B"/>
    <w:rsid w:val="000876C4"/>
    <w:rsid w:val="00091A23"/>
    <w:rsid w:val="000920F3"/>
    <w:rsid w:val="000929D9"/>
    <w:rsid w:val="00092A37"/>
    <w:rsid w:val="00092C19"/>
    <w:rsid w:val="000934AA"/>
    <w:rsid w:val="00094184"/>
    <w:rsid w:val="00094CAE"/>
    <w:rsid w:val="00094E67"/>
    <w:rsid w:val="00096969"/>
    <w:rsid w:val="00096C19"/>
    <w:rsid w:val="00096F7A"/>
    <w:rsid w:val="00097A0E"/>
    <w:rsid w:val="00097F57"/>
    <w:rsid w:val="000A122D"/>
    <w:rsid w:val="000A1387"/>
    <w:rsid w:val="000A17FD"/>
    <w:rsid w:val="000A1BB6"/>
    <w:rsid w:val="000A33FA"/>
    <w:rsid w:val="000A3520"/>
    <w:rsid w:val="000A43F5"/>
    <w:rsid w:val="000A4BBD"/>
    <w:rsid w:val="000A4EFB"/>
    <w:rsid w:val="000A527A"/>
    <w:rsid w:val="000A5622"/>
    <w:rsid w:val="000A6F2D"/>
    <w:rsid w:val="000B019C"/>
    <w:rsid w:val="000B0D09"/>
    <w:rsid w:val="000B111C"/>
    <w:rsid w:val="000B291A"/>
    <w:rsid w:val="000B296D"/>
    <w:rsid w:val="000B2BFB"/>
    <w:rsid w:val="000B3077"/>
    <w:rsid w:val="000B30E4"/>
    <w:rsid w:val="000B4492"/>
    <w:rsid w:val="000B49F5"/>
    <w:rsid w:val="000B509E"/>
    <w:rsid w:val="000B6713"/>
    <w:rsid w:val="000B6C07"/>
    <w:rsid w:val="000B7925"/>
    <w:rsid w:val="000C1227"/>
    <w:rsid w:val="000C2861"/>
    <w:rsid w:val="000C2CCE"/>
    <w:rsid w:val="000C334A"/>
    <w:rsid w:val="000C37E4"/>
    <w:rsid w:val="000C39E4"/>
    <w:rsid w:val="000C3A2A"/>
    <w:rsid w:val="000C5316"/>
    <w:rsid w:val="000C6BF7"/>
    <w:rsid w:val="000C6CDA"/>
    <w:rsid w:val="000C71F5"/>
    <w:rsid w:val="000C7ADD"/>
    <w:rsid w:val="000C7C4C"/>
    <w:rsid w:val="000C7FD6"/>
    <w:rsid w:val="000D0601"/>
    <w:rsid w:val="000D190F"/>
    <w:rsid w:val="000D31FA"/>
    <w:rsid w:val="000D3E58"/>
    <w:rsid w:val="000D4C2B"/>
    <w:rsid w:val="000D4FB8"/>
    <w:rsid w:val="000D5074"/>
    <w:rsid w:val="000D61D8"/>
    <w:rsid w:val="000D6E48"/>
    <w:rsid w:val="000D6E57"/>
    <w:rsid w:val="000D73E4"/>
    <w:rsid w:val="000D7DD4"/>
    <w:rsid w:val="000D7E4B"/>
    <w:rsid w:val="000E0291"/>
    <w:rsid w:val="000E0586"/>
    <w:rsid w:val="000E07BD"/>
    <w:rsid w:val="000E13FC"/>
    <w:rsid w:val="000E2026"/>
    <w:rsid w:val="000E20DD"/>
    <w:rsid w:val="000E2590"/>
    <w:rsid w:val="000E27FF"/>
    <w:rsid w:val="000E30F0"/>
    <w:rsid w:val="000E3A4A"/>
    <w:rsid w:val="000E4645"/>
    <w:rsid w:val="000E4A16"/>
    <w:rsid w:val="000E53B0"/>
    <w:rsid w:val="000E5B30"/>
    <w:rsid w:val="000E5BA0"/>
    <w:rsid w:val="000E6DCE"/>
    <w:rsid w:val="000F0797"/>
    <w:rsid w:val="000F32D0"/>
    <w:rsid w:val="000F3D49"/>
    <w:rsid w:val="000F3FB6"/>
    <w:rsid w:val="000F5021"/>
    <w:rsid w:val="000F536E"/>
    <w:rsid w:val="000F7471"/>
    <w:rsid w:val="00100357"/>
    <w:rsid w:val="001005D1"/>
    <w:rsid w:val="00100F66"/>
    <w:rsid w:val="00101302"/>
    <w:rsid w:val="00101325"/>
    <w:rsid w:val="00101D82"/>
    <w:rsid w:val="00102078"/>
    <w:rsid w:val="00102A9A"/>
    <w:rsid w:val="00103675"/>
    <w:rsid w:val="00103BC4"/>
    <w:rsid w:val="00103F13"/>
    <w:rsid w:val="00104BBC"/>
    <w:rsid w:val="00105E23"/>
    <w:rsid w:val="00106ECE"/>
    <w:rsid w:val="00107724"/>
    <w:rsid w:val="001111D6"/>
    <w:rsid w:val="001123E1"/>
    <w:rsid w:val="00112894"/>
    <w:rsid w:val="0011360D"/>
    <w:rsid w:val="00114DB2"/>
    <w:rsid w:val="0011525E"/>
    <w:rsid w:val="0011537F"/>
    <w:rsid w:val="00115489"/>
    <w:rsid w:val="00115AEB"/>
    <w:rsid w:val="00116D81"/>
    <w:rsid w:val="00117BDF"/>
    <w:rsid w:val="00121381"/>
    <w:rsid w:val="0012174C"/>
    <w:rsid w:val="00121D47"/>
    <w:rsid w:val="00121FC1"/>
    <w:rsid w:val="00122A2F"/>
    <w:rsid w:val="001249E2"/>
    <w:rsid w:val="00125B7C"/>
    <w:rsid w:val="00126F51"/>
    <w:rsid w:val="00127CDC"/>
    <w:rsid w:val="0013118C"/>
    <w:rsid w:val="001317E7"/>
    <w:rsid w:val="00131E3D"/>
    <w:rsid w:val="0013273E"/>
    <w:rsid w:val="00133436"/>
    <w:rsid w:val="00133D3B"/>
    <w:rsid w:val="00133F6A"/>
    <w:rsid w:val="0013495C"/>
    <w:rsid w:val="00134969"/>
    <w:rsid w:val="00134F5C"/>
    <w:rsid w:val="00135395"/>
    <w:rsid w:val="00135436"/>
    <w:rsid w:val="0013593B"/>
    <w:rsid w:val="0013633B"/>
    <w:rsid w:val="001374DA"/>
    <w:rsid w:val="001375D4"/>
    <w:rsid w:val="00137604"/>
    <w:rsid w:val="00137734"/>
    <w:rsid w:val="001378CA"/>
    <w:rsid w:val="00137DDB"/>
    <w:rsid w:val="00137FA3"/>
    <w:rsid w:val="00140139"/>
    <w:rsid w:val="00140AAC"/>
    <w:rsid w:val="00141171"/>
    <w:rsid w:val="00141256"/>
    <w:rsid w:val="00143FA5"/>
    <w:rsid w:val="00144CE4"/>
    <w:rsid w:val="00145466"/>
    <w:rsid w:val="00145BB4"/>
    <w:rsid w:val="00146477"/>
    <w:rsid w:val="00146AE2"/>
    <w:rsid w:val="00146B72"/>
    <w:rsid w:val="00146CFC"/>
    <w:rsid w:val="00147145"/>
    <w:rsid w:val="00147437"/>
    <w:rsid w:val="00150CEE"/>
    <w:rsid w:val="00150DD1"/>
    <w:rsid w:val="00150EC1"/>
    <w:rsid w:val="00150EE7"/>
    <w:rsid w:val="00150F2F"/>
    <w:rsid w:val="0015137D"/>
    <w:rsid w:val="00151967"/>
    <w:rsid w:val="0015274F"/>
    <w:rsid w:val="00153C73"/>
    <w:rsid w:val="00155250"/>
    <w:rsid w:val="00155375"/>
    <w:rsid w:val="00156A72"/>
    <w:rsid w:val="00156D36"/>
    <w:rsid w:val="0015766D"/>
    <w:rsid w:val="001578C8"/>
    <w:rsid w:val="001607A7"/>
    <w:rsid w:val="00161213"/>
    <w:rsid w:val="00161902"/>
    <w:rsid w:val="00161B4A"/>
    <w:rsid w:val="00162584"/>
    <w:rsid w:val="001639FA"/>
    <w:rsid w:val="00164036"/>
    <w:rsid w:val="00164768"/>
    <w:rsid w:val="00165730"/>
    <w:rsid w:val="00165B6D"/>
    <w:rsid w:val="00166F06"/>
    <w:rsid w:val="00167060"/>
    <w:rsid w:val="0016774C"/>
    <w:rsid w:val="00167AD8"/>
    <w:rsid w:val="001702D2"/>
    <w:rsid w:val="00170428"/>
    <w:rsid w:val="0017350C"/>
    <w:rsid w:val="00173B88"/>
    <w:rsid w:val="001747DA"/>
    <w:rsid w:val="00175BDC"/>
    <w:rsid w:val="00177070"/>
    <w:rsid w:val="001774D3"/>
    <w:rsid w:val="00180063"/>
    <w:rsid w:val="00180418"/>
    <w:rsid w:val="00180AE5"/>
    <w:rsid w:val="0018227B"/>
    <w:rsid w:val="00182925"/>
    <w:rsid w:val="00182FAD"/>
    <w:rsid w:val="00183147"/>
    <w:rsid w:val="00183219"/>
    <w:rsid w:val="0018397F"/>
    <w:rsid w:val="00183B2E"/>
    <w:rsid w:val="00183E0A"/>
    <w:rsid w:val="00183F98"/>
    <w:rsid w:val="00184A41"/>
    <w:rsid w:val="00185457"/>
    <w:rsid w:val="001855EA"/>
    <w:rsid w:val="0018578B"/>
    <w:rsid w:val="00185846"/>
    <w:rsid w:val="00185A4F"/>
    <w:rsid w:val="00185F52"/>
    <w:rsid w:val="00186E96"/>
    <w:rsid w:val="001871FE"/>
    <w:rsid w:val="00191236"/>
    <w:rsid w:val="00191D2C"/>
    <w:rsid w:val="001922D0"/>
    <w:rsid w:val="001928EE"/>
    <w:rsid w:val="0019298C"/>
    <w:rsid w:val="001934BE"/>
    <w:rsid w:val="00193951"/>
    <w:rsid w:val="00193B89"/>
    <w:rsid w:val="0019407B"/>
    <w:rsid w:val="0019468A"/>
    <w:rsid w:val="00196007"/>
    <w:rsid w:val="00196EEE"/>
    <w:rsid w:val="001A02AD"/>
    <w:rsid w:val="001A039F"/>
    <w:rsid w:val="001A132C"/>
    <w:rsid w:val="001A2C2A"/>
    <w:rsid w:val="001A2FF4"/>
    <w:rsid w:val="001A3769"/>
    <w:rsid w:val="001A3B6C"/>
    <w:rsid w:val="001A43A4"/>
    <w:rsid w:val="001A43CD"/>
    <w:rsid w:val="001A44E7"/>
    <w:rsid w:val="001A494B"/>
    <w:rsid w:val="001A4B3E"/>
    <w:rsid w:val="001A6553"/>
    <w:rsid w:val="001A6659"/>
    <w:rsid w:val="001A725E"/>
    <w:rsid w:val="001A7757"/>
    <w:rsid w:val="001B0124"/>
    <w:rsid w:val="001B0726"/>
    <w:rsid w:val="001B161C"/>
    <w:rsid w:val="001B2A5B"/>
    <w:rsid w:val="001B2FE7"/>
    <w:rsid w:val="001B36CC"/>
    <w:rsid w:val="001B3BF7"/>
    <w:rsid w:val="001B4002"/>
    <w:rsid w:val="001B4750"/>
    <w:rsid w:val="001B4C8C"/>
    <w:rsid w:val="001B599E"/>
    <w:rsid w:val="001B619D"/>
    <w:rsid w:val="001B662E"/>
    <w:rsid w:val="001B663F"/>
    <w:rsid w:val="001B6AEC"/>
    <w:rsid w:val="001B6BED"/>
    <w:rsid w:val="001B71BC"/>
    <w:rsid w:val="001B7246"/>
    <w:rsid w:val="001B753C"/>
    <w:rsid w:val="001C0502"/>
    <w:rsid w:val="001C0C95"/>
    <w:rsid w:val="001C1161"/>
    <w:rsid w:val="001C1ECD"/>
    <w:rsid w:val="001C20A0"/>
    <w:rsid w:val="001C2409"/>
    <w:rsid w:val="001C255F"/>
    <w:rsid w:val="001C292B"/>
    <w:rsid w:val="001C30FF"/>
    <w:rsid w:val="001C456F"/>
    <w:rsid w:val="001C4DBB"/>
    <w:rsid w:val="001C5B05"/>
    <w:rsid w:val="001C7EDB"/>
    <w:rsid w:val="001C7F6A"/>
    <w:rsid w:val="001D0822"/>
    <w:rsid w:val="001D16FA"/>
    <w:rsid w:val="001D28DF"/>
    <w:rsid w:val="001D356C"/>
    <w:rsid w:val="001D3BAE"/>
    <w:rsid w:val="001D3DC7"/>
    <w:rsid w:val="001D426D"/>
    <w:rsid w:val="001D43F4"/>
    <w:rsid w:val="001D6AAD"/>
    <w:rsid w:val="001D7F9F"/>
    <w:rsid w:val="001E06DF"/>
    <w:rsid w:val="001E0876"/>
    <w:rsid w:val="001E0B57"/>
    <w:rsid w:val="001E1397"/>
    <w:rsid w:val="001E2677"/>
    <w:rsid w:val="001E28EA"/>
    <w:rsid w:val="001E30D1"/>
    <w:rsid w:val="001E388B"/>
    <w:rsid w:val="001E4347"/>
    <w:rsid w:val="001E4F28"/>
    <w:rsid w:val="001E5644"/>
    <w:rsid w:val="001E57D9"/>
    <w:rsid w:val="001E5EE7"/>
    <w:rsid w:val="001E6A9F"/>
    <w:rsid w:val="001E74FD"/>
    <w:rsid w:val="001E7A46"/>
    <w:rsid w:val="001F1896"/>
    <w:rsid w:val="001F2DE8"/>
    <w:rsid w:val="001F2F3B"/>
    <w:rsid w:val="001F3461"/>
    <w:rsid w:val="001F38E9"/>
    <w:rsid w:val="001F3B17"/>
    <w:rsid w:val="001F47A7"/>
    <w:rsid w:val="001F4EA5"/>
    <w:rsid w:val="001F71E4"/>
    <w:rsid w:val="002000A2"/>
    <w:rsid w:val="002000D9"/>
    <w:rsid w:val="00200320"/>
    <w:rsid w:val="00200E8D"/>
    <w:rsid w:val="0020107E"/>
    <w:rsid w:val="00202EF9"/>
    <w:rsid w:val="00203EA2"/>
    <w:rsid w:val="002053FE"/>
    <w:rsid w:val="00205657"/>
    <w:rsid w:val="00205AD6"/>
    <w:rsid w:val="0020690D"/>
    <w:rsid w:val="00206BAD"/>
    <w:rsid w:val="00207193"/>
    <w:rsid w:val="00207501"/>
    <w:rsid w:val="002077B7"/>
    <w:rsid w:val="002078C0"/>
    <w:rsid w:val="00207D4F"/>
    <w:rsid w:val="00210C3B"/>
    <w:rsid w:val="00210EFF"/>
    <w:rsid w:val="002121B9"/>
    <w:rsid w:val="002124FD"/>
    <w:rsid w:val="0021261B"/>
    <w:rsid w:val="002126A0"/>
    <w:rsid w:val="00212906"/>
    <w:rsid w:val="00212C1E"/>
    <w:rsid w:val="00213A41"/>
    <w:rsid w:val="00213C4A"/>
    <w:rsid w:val="00215693"/>
    <w:rsid w:val="002156E3"/>
    <w:rsid w:val="002160AC"/>
    <w:rsid w:val="00216709"/>
    <w:rsid w:val="00216F8D"/>
    <w:rsid w:val="00217705"/>
    <w:rsid w:val="002201B7"/>
    <w:rsid w:val="002208E8"/>
    <w:rsid w:val="00225BC0"/>
    <w:rsid w:val="00225E3E"/>
    <w:rsid w:val="00226191"/>
    <w:rsid w:val="002266BE"/>
    <w:rsid w:val="00227413"/>
    <w:rsid w:val="0022769E"/>
    <w:rsid w:val="0023054B"/>
    <w:rsid w:val="002319F3"/>
    <w:rsid w:val="00231DC1"/>
    <w:rsid w:val="00231EA0"/>
    <w:rsid w:val="002321B8"/>
    <w:rsid w:val="002329AB"/>
    <w:rsid w:val="0023372D"/>
    <w:rsid w:val="002339C3"/>
    <w:rsid w:val="002339EA"/>
    <w:rsid w:val="00233B54"/>
    <w:rsid w:val="00236CE5"/>
    <w:rsid w:val="002371B4"/>
    <w:rsid w:val="00237533"/>
    <w:rsid w:val="00237E74"/>
    <w:rsid w:val="00241D87"/>
    <w:rsid w:val="00242C47"/>
    <w:rsid w:val="00242DD6"/>
    <w:rsid w:val="00244839"/>
    <w:rsid w:val="00245178"/>
    <w:rsid w:val="00245B70"/>
    <w:rsid w:val="00246D32"/>
    <w:rsid w:val="00250C41"/>
    <w:rsid w:val="0025114E"/>
    <w:rsid w:val="002514A1"/>
    <w:rsid w:val="00252322"/>
    <w:rsid w:val="00252B7B"/>
    <w:rsid w:val="00254A3C"/>
    <w:rsid w:val="00254F1E"/>
    <w:rsid w:val="0025501D"/>
    <w:rsid w:val="00256217"/>
    <w:rsid w:val="0025650F"/>
    <w:rsid w:val="0025651D"/>
    <w:rsid w:val="0025662E"/>
    <w:rsid w:val="002571F2"/>
    <w:rsid w:val="00257F1B"/>
    <w:rsid w:val="00262AA7"/>
    <w:rsid w:val="002647E1"/>
    <w:rsid w:val="002664CB"/>
    <w:rsid w:val="002665C5"/>
    <w:rsid w:val="00266928"/>
    <w:rsid w:val="00266F0D"/>
    <w:rsid w:val="0026783B"/>
    <w:rsid w:val="00267E90"/>
    <w:rsid w:val="0027152B"/>
    <w:rsid w:val="0027226A"/>
    <w:rsid w:val="00272AA4"/>
    <w:rsid w:val="00274CB0"/>
    <w:rsid w:val="00274E4A"/>
    <w:rsid w:val="00274EA0"/>
    <w:rsid w:val="00275F09"/>
    <w:rsid w:val="002773F8"/>
    <w:rsid w:val="002800A6"/>
    <w:rsid w:val="0028081A"/>
    <w:rsid w:val="00280BED"/>
    <w:rsid w:val="002811AB"/>
    <w:rsid w:val="00281C33"/>
    <w:rsid w:val="00282167"/>
    <w:rsid w:val="002824B3"/>
    <w:rsid w:val="00282828"/>
    <w:rsid w:val="00282B43"/>
    <w:rsid w:val="00282F59"/>
    <w:rsid w:val="0028364A"/>
    <w:rsid w:val="002839B9"/>
    <w:rsid w:val="00284CDD"/>
    <w:rsid w:val="002857F2"/>
    <w:rsid w:val="00285D03"/>
    <w:rsid w:val="00286166"/>
    <w:rsid w:val="00286219"/>
    <w:rsid w:val="0028667B"/>
    <w:rsid w:val="002866C9"/>
    <w:rsid w:val="00286B25"/>
    <w:rsid w:val="002874B5"/>
    <w:rsid w:val="00287D53"/>
    <w:rsid w:val="0029029C"/>
    <w:rsid w:val="002904A3"/>
    <w:rsid w:val="0029076C"/>
    <w:rsid w:val="002914AC"/>
    <w:rsid w:val="00291AD2"/>
    <w:rsid w:val="00291C20"/>
    <w:rsid w:val="00291E66"/>
    <w:rsid w:val="0029313B"/>
    <w:rsid w:val="00293179"/>
    <w:rsid w:val="00295251"/>
    <w:rsid w:val="0029676C"/>
    <w:rsid w:val="002968CC"/>
    <w:rsid w:val="002969D8"/>
    <w:rsid w:val="00297582"/>
    <w:rsid w:val="00297676"/>
    <w:rsid w:val="00297B4B"/>
    <w:rsid w:val="00297F53"/>
    <w:rsid w:val="002A0EB2"/>
    <w:rsid w:val="002A2788"/>
    <w:rsid w:val="002A33F8"/>
    <w:rsid w:val="002A344E"/>
    <w:rsid w:val="002A3EDE"/>
    <w:rsid w:val="002A57CE"/>
    <w:rsid w:val="002A754C"/>
    <w:rsid w:val="002B1B8B"/>
    <w:rsid w:val="002B2361"/>
    <w:rsid w:val="002B2E02"/>
    <w:rsid w:val="002B2EAE"/>
    <w:rsid w:val="002B3397"/>
    <w:rsid w:val="002B4B0F"/>
    <w:rsid w:val="002B4FF6"/>
    <w:rsid w:val="002B5D84"/>
    <w:rsid w:val="002B60AC"/>
    <w:rsid w:val="002B728A"/>
    <w:rsid w:val="002B7465"/>
    <w:rsid w:val="002B762D"/>
    <w:rsid w:val="002B7900"/>
    <w:rsid w:val="002B7926"/>
    <w:rsid w:val="002C098F"/>
    <w:rsid w:val="002C0FEC"/>
    <w:rsid w:val="002C1D55"/>
    <w:rsid w:val="002C20D1"/>
    <w:rsid w:val="002C447C"/>
    <w:rsid w:val="002C448A"/>
    <w:rsid w:val="002C4DCC"/>
    <w:rsid w:val="002C549B"/>
    <w:rsid w:val="002C56E1"/>
    <w:rsid w:val="002C5AE0"/>
    <w:rsid w:val="002C5FBE"/>
    <w:rsid w:val="002C6C01"/>
    <w:rsid w:val="002C79E3"/>
    <w:rsid w:val="002C7A21"/>
    <w:rsid w:val="002C7C23"/>
    <w:rsid w:val="002D08DE"/>
    <w:rsid w:val="002D102F"/>
    <w:rsid w:val="002D1319"/>
    <w:rsid w:val="002D1E1F"/>
    <w:rsid w:val="002D2032"/>
    <w:rsid w:val="002D22C7"/>
    <w:rsid w:val="002D2866"/>
    <w:rsid w:val="002D3B8E"/>
    <w:rsid w:val="002D418A"/>
    <w:rsid w:val="002D584C"/>
    <w:rsid w:val="002D631F"/>
    <w:rsid w:val="002D64A4"/>
    <w:rsid w:val="002D7041"/>
    <w:rsid w:val="002D7E58"/>
    <w:rsid w:val="002E11C8"/>
    <w:rsid w:val="002E14F3"/>
    <w:rsid w:val="002E1666"/>
    <w:rsid w:val="002E1F74"/>
    <w:rsid w:val="002E2256"/>
    <w:rsid w:val="002E2CCF"/>
    <w:rsid w:val="002E5136"/>
    <w:rsid w:val="002E51C9"/>
    <w:rsid w:val="002E51F0"/>
    <w:rsid w:val="002E547C"/>
    <w:rsid w:val="002E54DA"/>
    <w:rsid w:val="002E54F1"/>
    <w:rsid w:val="002E5D3D"/>
    <w:rsid w:val="002E5D42"/>
    <w:rsid w:val="002E73BD"/>
    <w:rsid w:val="002E7781"/>
    <w:rsid w:val="002E7831"/>
    <w:rsid w:val="002E786C"/>
    <w:rsid w:val="002F01CD"/>
    <w:rsid w:val="002F0AF8"/>
    <w:rsid w:val="002F29E2"/>
    <w:rsid w:val="002F4D2C"/>
    <w:rsid w:val="002F4FCF"/>
    <w:rsid w:val="002F5363"/>
    <w:rsid w:val="002F59C6"/>
    <w:rsid w:val="002F61DE"/>
    <w:rsid w:val="002F6704"/>
    <w:rsid w:val="002F68B5"/>
    <w:rsid w:val="002F6DA6"/>
    <w:rsid w:val="002F7539"/>
    <w:rsid w:val="00300830"/>
    <w:rsid w:val="00300B50"/>
    <w:rsid w:val="00300E46"/>
    <w:rsid w:val="0030109F"/>
    <w:rsid w:val="00301AB6"/>
    <w:rsid w:val="00302015"/>
    <w:rsid w:val="0030270C"/>
    <w:rsid w:val="0030283B"/>
    <w:rsid w:val="00302BB0"/>
    <w:rsid w:val="00303137"/>
    <w:rsid w:val="003038A4"/>
    <w:rsid w:val="00303EF1"/>
    <w:rsid w:val="00310779"/>
    <w:rsid w:val="00310A90"/>
    <w:rsid w:val="00310DD7"/>
    <w:rsid w:val="00311AD9"/>
    <w:rsid w:val="00312BCF"/>
    <w:rsid w:val="003131FD"/>
    <w:rsid w:val="003132BF"/>
    <w:rsid w:val="00313C11"/>
    <w:rsid w:val="0031409C"/>
    <w:rsid w:val="003141F5"/>
    <w:rsid w:val="00314261"/>
    <w:rsid w:val="00314CB8"/>
    <w:rsid w:val="00315F43"/>
    <w:rsid w:val="00316108"/>
    <w:rsid w:val="00317E26"/>
    <w:rsid w:val="00320E30"/>
    <w:rsid w:val="00321422"/>
    <w:rsid w:val="0032151E"/>
    <w:rsid w:val="00321E08"/>
    <w:rsid w:val="0032263F"/>
    <w:rsid w:val="0032308F"/>
    <w:rsid w:val="0032396B"/>
    <w:rsid w:val="00323B9E"/>
    <w:rsid w:val="00324C52"/>
    <w:rsid w:val="003255BF"/>
    <w:rsid w:val="00326968"/>
    <w:rsid w:val="00327BE5"/>
    <w:rsid w:val="003303CC"/>
    <w:rsid w:val="00330567"/>
    <w:rsid w:val="003307E4"/>
    <w:rsid w:val="00331646"/>
    <w:rsid w:val="00331D2C"/>
    <w:rsid w:val="00332D2E"/>
    <w:rsid w:val="003342AD"/>
    <w:rsid w:val="003357FE"/>
    <w:rsid w:val="003362C8"/>
    <w:rsid w:val="003362F8"/>
    <w:rsid w:val="00336657"/>
    <w:rsid w:val="00340841"/>
    <w:rsid w:val="0034086D"/>
    <w:rsid w:val="00340F02"/>
    <w:rsid w:val="003410A9"/>
    <w:rsid w:val="003415B4"/>
    <w:rsid w:val="00341D71"/>
    <w:rsid w:val="0034255E"/>
    <w:rsid w:val="00342D56"/>
    <w:rsid w:val="003432A9"/>
    <w:rsid w:val="0034352E"/>
    <w:rsid w:val="0034373A"/>
    <w:rsid w:val="00343A1B"/>
    <w:rsid w:val="003441A2"/>
    <w:rsid w:val="00344A8D"/>
    <w:rsid w:val="003451B3"/>
    <w:rsid w:val="00345201"/>
    <w:rsid w:val="003453C5"/>
    <w:rsid w:val="00345AC1"/>
    <w:rsid w:val="00345ACC"/>
    <w:rsid w:val="00345AF5"/>
    <w:rsid w:val="00345B68"/>
    <w:rsid w:val="003470AA"/>
    <w:rsid w:val="003478C2"/>
    <w:rsid w:val="0034793F"/>
    <w:rsid w:val="00350934"/>
    <w:rsid w:val="003509DA"/>
    <w:rsid w:val="00351219"/>
    <w:rsid w:val="003515FC"/>
    <w:rsid w:val="00351FFF"/>
    <w:rsid w:val="00352747"/>
    <w:rsid w:val="00352749"/>
    <w:rsid w:val="003535C3"/>
    <w:rsid w:val="00354854"/>
    <w:rsid w:val="0035511D"/>
    <w:rsid w:val="003557A9"/>
    <w:rsid w:val="003558C2"/>
    <w:rsid w:val="00356454"/>
    <w:rsid w:val="0035680A"/>
    <w:rsid w:val="00356A7E"/>
    <w:rsid w:val="00356ACF"/>
    <w:rsid w:val="00357B0F"/>
    <w:rsid w:val="003606A9"/>
    <w:rsid w:val="003608EE"/>
    <w:rsid w:val="00361ACD"/>
    <w:rsid w:val="0036225A"/>
    <w:rsid w:val="003629AB"/>
    <w:rsid w:val="003639E0"/>
    <w:rsid w:val="00364294"/>
    <w:rsid w:val="00366A0C"/>
    <w:rsid w:val="003674A9"/>
    <w:rsid w:val="00367E0F"/>
    <w:rsid w:val="00367E5F"/>
    <w:rsid w:val="00367EBA"/>
    <w:rsid w:val="00370C0F"/>
    <w:rsid w:val="003719DE"/>
    <w:rsid w:val="00371B04"/>
    <w:rsid w:val="00371DCE"/>
    <w:rsid w:val="003720D9"/>
    <w:rsid w:val="00372989"/>
    <w:rsid w:val="00373CC7"/>
    <w:rsid w:val="00374EB2"/>
    <w:rsid w:val="003751B1"/>
    <w:rsid w:val="003762D0"/>
    <w:rsid w:val="00376A51"/>
    <w:rsid w:val="00380044"/>
    <w:rsid w:val="0038042C"/>
    <w:rsid w:val="003817FA"/>
    <w:rsid w:val="00381FD5"/>
    <w:rsid w:val="00385BC6"/>
    <w:rsid w:val="00385DED"/>
    <w:rsid w:val="00386712"/>
    <w:rsid w:val="00387005"/>
    <w:rsid w:val="00387023"/>
    <w:rsid w:val="00390A08"/>
    <w:rsid w:val="003916E7"/>
    <w:rsid w:val="0039251B"/>
    <w:rsid w:val="0039297D"/>
    <w:rsid w:val="00392C96"/>
    <w:rsid w:val="0039629B"/>
    <w:rsid w:val="003963A3"/>
    <w:rsid w:val="003963E6"/>
    <w:rsid w:val="0039694A"/>
    <w:rsid w:val="0039703C"/>
    <w:rsid w:val="00397410"/>
    <w:rsid w:val="00397686"/>
    <w:rsid w:val="0039799E"/>
    <w:rsid w:val="003A11EA"/>
    <w:rsid w:val="003A159B"/>
    <w:rsid w:val="003A1838"/>
    <w:rsid w:val="003A1BE0"/>
    <w:rsid w:val="003A1F95"/>
    <w:rsid w:val="003A20C0"/>
    <w:rsid w:val="003A210A"/>
    <w:rsid w:val="003A3B78"/>
    <w:rsid w:val="003A3D1C"/>
    <w:rsid w:val="003A3FC6"/>
    <w:rsid w:val="003A498D"/>
    <w:rsid w:val="003A663F"/>
    <w:rsid w:val="003B0801"/>
    <w:rsid w:val="003B0AB7"/>
    <w:rsid w:val="003B0D2B"/>
    <w:rsid w:val="003B1000"/>
    <w:rsid w:val="003B13D7"/>
    <w:rsid w:val="003B17AB"/>
    <w:rsid w:val="003B188B"/>
    <w:rsid w:val="003B2107"/>
    <w:rsid w:val="003B2192"/>
    <w:rsid w:val="003B2535"/>
    <w:rsid w:val="003B38EF"/>
    <w:rsid w:val="003B40ED"/>
    <w:rsid w:val="003B475A"/>
    <w:rsid w:val="003B4D29"/>
    <w:rsid w:val="003B4FB6"/>
    <w:rsid w:val="003B67C0"/>
    <w:rsid w:val="003B6893"/>
    <w:rsid w:val="003B6C8D"/>
    <w:rsid w:val="003B7065"/>
    <w:rsid w:val="003B735E"/>
    <w:rsid w:val="003B784D"/>
    <w:rsid w:val="003C09B1"/>
    <w:rsid w:val="003C1442"/>
    <w:rsid w:val="003C19C2"/>
    <w:rsid w:val="003C3427"/>
    <w:rsid w:val="003C347D"/>
    <w:rsid w:val="003C3482"/>
    <w:rsid w:val="003C45E1"/>
    <w:rsid w:val="003C4854"/>
    <w:rsid w:val="003C4BA4"/>
    <w:rsid w:val="003C4D95"/>
    <w:rsid w:val="003C7C59"/>
    <w:rsid w:val="003D0546"/>
    <w:rsid w:val="003D1089"/>
    <w:rsid w:val="003D1091"/>
    <w:rsid w:val="003D19E6"/>
    <w:rsid w:val="003D2AF3"/>
    <w:rsid w:val="003D378C"/>
    <w:rsid w:val="003D5A5F"/>
    <w:rsid w:val="003D6BDE"/>
    <w:rsid w:val="003D6C81"/>
    <w:rsid w:val="003D70F4"/>
    <w:rsid w:val="003D7D5C"/>
    <w:rsid w:val="003E1978"/>
    <w:rsid w:val="003E19A3"/>
    <w:rsid w:val="003E2238"/>
    <w:rsid w:val="003E2AD4"/>
    <w:rsid w:val="003E38E3"/>
    <w:rsid w:val="003E3D39"/>
    <w:rsid w:val="003E47C5"/>
    <w:rsid w:val="003E47D9"/>
    <w:rsid w:val="003E4ABB"/>
    <w:rsid w:val="003E4FE6"/>
    <w:rsid w:val="003E52D6"/>
    <w:rsid w:val="003E53D4"/>
    <w:rsid w:val="003E560A"/>
    <w:rsid w:val="003E5ECA"/>
    <w:rsid w:val="003E6C80"/>
    <w:rsid w:val="003E74B4"/>
    <w:rsid w:val="003F0791"/>
    <w:rsid w:val="003F07BA"/>
    <w:rsid w:val="003F0BD1"/>
    <w:rsid w:val="003F2E6A"/>
    <w:rsid w:val="003F3565"/>
    <w:rsid w:val="003F3715"/>
    <w:rsid w:val="003F4CA1"/>
    <w:rsid w:val="003F5A26"/>
    <w:rsid w:val="003F5C54"/>
    <w:rsid w:val="003F5F9D"/>
    <w:rsid w:val="003F71E2"/>
    <w:rsid w:val="003F7777"/>
    <w:rsid w:val="003F7F1E"/>
    <w:rsid w:val="00400342"/>
    <w:rsid w:val="004005CC"/>
    <w:rsid w:val="00400884"/>
    <w:rsid w:val="00402237"/>
    <w:rsid w:val="004022FD"/>
    <w:rsid w:val="00402A50"/>
    <w:rsid w:val="00403596"/>
    <w:rsid w:val="00403828"/>
    <w:rsid w:val="00404096"/>
    <w:rsid w:val="004040D9"/>
    <w:rsid w:val="00404523"/>
    <w:rsid w:val="00405157"/>
    <w:rsid w:val="0040657D"/>
    <w:rsid w:val="00407250"/>
    <w:rsid w:val="00407A57"/>
    <w:rsid w:val="00407CA8"/>
    <w:rsid w:val="00410CEE"/>
    <w:rsid w:val="00410D2D"/>
    <w:rsid w:val="0041131B"/>
    <w:rsid w:val="004114BA"/>
    <w:rsid w:val="00411BBC"/>
    <w:rsid w:val="00411F99"/>
    <w:rsid w:val="004125FF"/>
    <w:rsid w:val="00412D8C"/>
    <w:rsid w:val="00412F08"/>
    <w:rsid w:val="00416245"/>
    <w:rsid w:val="00416599"/>
    <w:rsid w:val="00416629"/>
    <w:rsid w:val="004169B1"/>
    <w:rsid w:val="00417DB8"/>
    <w:rsid w:val="004201E0"/>
    <w:rsid w:val="004217AB"/>
    <w:rsid w:val="00421B77"/>
    <w:rsid w:val="0042216D"/>
    <w:rsid w:val="004227EA"/>
    <w:rsid w:val="00422F54"/>
    <w:rsid w:val="004241B9"/>
    <w:rsid w:val="0042448E"/>
    <w:rsid w:val="00424796"/>
    <w:rsid w:val="004248E2"/>
    <w:rsid w:val="004258F9"/>
    <w:rsid w:val="00425AA0"/>
    <w:rsid w:val="00425FF5"/>
    <w:rsid w:val="00426478"/>
    <w:rsid w:val="004265E8"/>
    <w:rsid w:val="00426CAE"/>
    <w:rsid w:val="00427806"/>
    <w:rsid w:val="00427E39"/>
    <w:rsid w:val="00430A4D"/>
    <w:rsid w:val="0043112C"/>
    <w:rsid w:val="004312F2"/>
    <w:rsid w:val="00431C45"/>
    <w:rsid w:val="0043288F"/>
    <w:rsid w:val="00432DE0"/>
    <w:rsid w:val="00433D6F"/>
    <w:rsid w:val="00434B37"/>
    <w:rsid w:val="004363F2"/>
    <w:rsid w:val="004369A3"/>
    <w:rsid w:val="00436E40"/>
    <w:rsid w:val="0043743D"/>
    <w:rsid w:val="00440186"/>
    <w:rsid w:val="00440ADC"/>
    <w:rsid w:val="0044121D"/>
    <w:rsid w:val="0044155B"/>
    <w:rsid w:val="00442097"/>
    <w:rsid w:val="00442889"/>
    <w:rsid w:val="00442D68"/>
    <w:rsid w:val="00442F69"/>
    <w:rsid w:val="0044307E"/>
    <w:rsid w:val="00443D84"/>
    <w:rsid w:val="00444364"/>
    <w:rsid w:val="004443E2"/>
    <w:rsid w:val="004447D9"/>
    <w:rsid w:val="00445098"/>
    <w:rsid w:val="004458DE"/>
    <w:rsid w:val="004466EF"/>
    <w:rsid w:val="00447327"/>
    <w:rsid w:val="0045000E"/>
    <w:rsid w:val="00452CE1"/>
    <w:rsid w:val="00453139"/>
    <w:rsid w:val="00453182"/>
    <w:rsid w:val="0045436C"/>
    <w:rsid w:val="0045520B"/>
    <w:rsid w:val="004556F2"/>
    <w:rsid w:val="00455D23"/>
    <w:rsid w:val="00455E10"/>
    <w:rsid w:val="00456B71"/>
    <w:rsid w:val="00457185"/>
    <w:rsid w:val="0045730F"/>
    <w:rsid w:val="00457EB6"/>
    <w:rsid w:val="00457EFB"/>
    <w:rsid w:val="00460F66"/>
    <w:rsid w:val="004612B7"/>
    <w:rsid w:val="00461A9A"/>
    <w:rsid w:val="00461AE6"/>
    <w:rsid w:val="004622DA"/>
    <w:rsid w:val="00462A09"/>
    <w:rsid w:val="00462B2C"/>
    <w:rsid w:val="00462D7A"/>
    <w:rsid w:val="00463184"/>
    <w:rsid w:val="0046348B"/>
    <w:rsid w:val="004639D3"/>
    <w:rsid w:val="00463A78"/>
    <w:rsid w:val="004659A2"/>
    <w:rsid w:val="004673E9"/>
    <w:rsid w:val="004674E6"/>
    <w:rsid w:val="004701C6"/>
    <w:rsid w:val="0047073F"/>
    <w:rsid w:val="00470861"/>
    <w:rsid w:val="0047098D"/>
    <w:rsid w:val="0047136F"/>
    <w:rsid w:val="004729A3"/>
    <w:rsid w:val="00473373"/>
    <w:rsid w:val="0047580A"/>
    <w:rsid w:val="00475DD5"/>
    <w:rsid w:val="0047623A"/>
    <w:rsid w:val="0047638D"/>
    <w:rsid w:val="0047654C"/>
    <w:rsid w:val="00477806"/>
    <w:rsid w:val="00477A50"/>
    <w:rsid w:val="00477F9C"/>
    <w:rsid w:val="0048009E"/>
    <w:rsid w:val="004801F5"/>
    <w:rsid w:val="004805A8"/>
    <w:rsid w:val="00480931"/>
    <w:rsid w:val="0048247F"/>
    <w:rsid w:val="0048307E"/>
    <w:rsid w:val="004835D6"/>
    <w:rsid w:val="0048383D"/>
    <w:rsid w:val="00483C70"/>
    <w:rsid w:val="00484186"/>
    <w:rsid w:val="004846B0"/>
    <w:rsid w:val="004857E1"/>
    <w:rsid w:val="00485DF7"/>
    <w:rsid w:val="00486514"/>
    <w:rsid w:val="004867B0"/>
    <w:rsid w:val="00486805"/>
    <w:rsid w:val="0048724E"/>
    <w:rsid w:val="00487363"/>
    <w:rsid w:val="0049022D"/>
    <w:rsid w:val="004907D7"/>
    <w:rsid w:val="00491348"/>
    <w:rsid w:val="004916B3"/>
    <w:rsid w:val="004918E2"/>
    <w:rsid w:val="004928B0"/>
    <w:rsid w:val="00492A98"/>
    <w:rsid w:val="00492CDF"/>
    <w:rsid w:val="00492DCB"/>
    <w:rsid w:val="00492F45"/>
    <w:rsid w:val="0049377E"/>
    <w:rsid w:val="00493DE2"/>
    <w:rsid w:val="00493E05"/>
    <w:rsid w:val="004947A0"/>
    <w:rsid w:val="00496580"/>
    <w:rsid w:val="0049681B"/>
    <w:rsid w:val="004968AD"/>
    <w:rsid w:val="004968AF"/>
    <w:rsid w:val="00496A72"/>
    <w:rsid w:val="0049711B"/>
    <w:rsid w:val="00497438"/>
    <w:rsid w:val="00497802"/>
    <w:rsid w:val="004979D4"/>
    <w:rsid w:val="004A0DE8"/>
    <w:rsid w:val="004A111B"/>
    <w:rsid w:val="004A182F"/>
    <w:rsid w:val="004A19DC"/>
    <w:rsid w:val="004A1ACA"/>
    <w:rsid w:val="004A1E32"/>
    <w:rsid w:val="004A2142"/>
    <w:rsid w:val="004A2535"/>
    <w:rsid w:val="004A29B1"/>
    <w:rsid w:val="004A2F67"/>
    <w:rsid w:val="004A3E2E"/>
    <w:rsid w:val="004A4C63"/>
    <w:rsid w:val="004A54CE"/>
    <w:rsid w:val="004A54FD"/>
    <w:rsid w:val="004A6075"/>
    <w:rsid w:val="004A71EE"/>
    <w:rsid w:val="004A7440"/>
    <w:rsid w:val="004A7A66"/>
    <w:rsid w:val="004B0A5A"/>
    <w:rsid w:val="004B0E7D"/>
    <w:rsid w:val="004B112F"/>
    <w:rsid w:val="004B387A"/>
    <w:rsid w:val="004B3939"/>
    <w:rsid w:val="004B3AD8"/>
    <w:rsid w:val="004B497C"/>
    <w:rsid w:val="004B4BDE"/>
    <w:rsid w:val="004B4DAF"/>
    <w:rsid w:val="004B5234"/>
    <w:rsid w:val="004B587E"/>
    <w:rsid w:val="004B6865"/>
    <w:rsid w:val="004B6D12"/>
    <w:rsid w:val="004B7369"/>
    <w:rsid w:val="004B7CE3"/>
    <w:rsid w:val="004B7D0B"/>
    <w:rsid w:val="004C0247"/>
    <w:rsid w:val="004C0746"/>
    <w:rsid w:val="004C0D9C"/>
    <w:rsid w:val="004C1F5F"/>
    <w:rsid w:val="004C24CF"/>
    <w:rsid w:val="004C313A"/>
    <w:rsid w:val="004C36A8"/>
    <w:rsid w:val="004C4B0B"/>
    <w:rsid w:val="004C4EAA"/>
    <w:rsid w:val="004C5732"/>
    <w:rsid w:val="004C57A5"/>
    <w:rsid w:val="004C5AB6"/>
    <w:rsid w:val="004C6CC9"/>
    <w:rsid w:val="004D024D"/>
    <w:rsid w:val="004D0920"/>
    <w:rsid w:val="004D0AD0"/>
    <w:rsid w:val="004D0BCC"/>
    <w:rsid w:val="004D1363"/>
    <w:rsid w:val="004D1936"/>
    <w:rsid w:val="004D1970"/>
    <w:rsid w:val="004D23C6"/>
    <w:rsid w:val="004D2E68"/>
    <w:rsid w:val="004D3B53"/>
    <w:rsid w:val="004D441C"/>
    <w:rsid w:val="004D458A"/>
    <w:rsid w:val="004D4A35"/>
    <w:rsid w:val="004D5D7F"/>
    <w:rsid w:val="004D65D5"/>
    <w:rsid w:val="004D6650"/>
    <w:rsid w:val="004D6696"/>
    <w:rsid w:val="004D6F3C"/>
    <w:rsid w:val="004D72A1"/>
    <w:rsid w:val="004E0317"/>
    <w:rsid w:val="004E04D9"/>
    <w:rsid w:val="004E138B"/>
    <w:rsid w:val="004E1BE6"/>
    <w:rsid w:val="004E1DD4"/>
    <w:rsid w:val="004E2E6A"/>
    <w:rsid w:val="004E32F2"/>
    <w:rsid w:val="004E3979"/>
    <w:rsid w:val="004E3C2D"/>
    <w:rsid w:val="004E44D3"/>
    <w:rsid w:val="004E48CC"/>
    <w:rsid w:val="004E4BE9"/>
    <w:rsid w:val="004E52B3"/>
    <w:rsid w:val="004E5A6D"/>
    <w:rsid w:val="004E672A"/>
    <w:rsid w:val="004E6BCC"/>
    <w:rsid w:val="004E6CE7"/>
    <w:rsid w:val="004E7227"/>
    <w:rsid w:val="004E755F"/>
    <w:rsid w:val="004F0494"/>
    <w:rsid w:val="004F055B"/>
    <w:rsid w:val="004F0B03"/>
    <w:rsid w:val="004F0CFB"/>
    <w:rsid w:val="004F0DE1"/>
    <w:rsid w:val="004F3933"/>
    <w:rsid w:val="004F432A"/>
    <w:rsid w:val="004F49CA"/>
    <w:rsid w:val="004F4CCA"/>
    <w:rsid w:val="004F6871"/>
    <w:rsid w:val="004F724C"/>
    <w:rsid w:val="004F7537"/>
    <w:rsid w:val="004F7FF3"/>
    <w:rsid w:val="0050051E"/>
    <w:rsid w:val="00500A62"/>
    <w:rsid w:val="00501697"/>
    <w:rsid w:val="005025A1"/>
    <w:rsid w:val="005025F6"/>
    <w:rsid w:val="005054B9"/>
    <w:rsid w:val="00505999"/>
    <w:rsid w:val="00505EE6"/>
    <w:rsid w:val="00506B0D"/>
    <w:rsid w:val="00507332"/>
    <w:rsid w:val="0050735A"/>
    <w:rsid w:val="00507780"/>
    <w:rsid w:val="0050789C"/>
    <w:rsid w:val="00510612"/>
    <w:rsid w:val="005109A0"/>
    <w:rsid w:val="00510B6B"/>
    <w:rsid w:val="00510E22"/>
    <w:rsid w:val="00510E46"/>
    <w:rsid w:val="005138DF"/>
    <w:rsid w:val="00514035"/>
    <w:rsid w:val="00514571"/>
    <w:rsid w:val="00514779"/>
    <w:rsid w:val="005149DD"/>
    <w:rsid w:val="005166C8"/>
    <w:rsid w:val="005166FD"/>
    <w:rsid w:val="005170CF"/>
    <w:rsid w:val="005172DC"/>
    <w:rsid w:val="00517310"/>
    <w:rsid w:val="005176A1"/>
    <w:rsid w:val="00517EF4"/>
    <w:rsid w:val="00520367"/>
    <w:rsid w:val="0052044C"/>
    <w:rsid w:val="005207ED"/>
    <w:rsid w:val="0052104D"/>
    <w:rsid w:val="00521BEE"/>
    <w:rsid w:val="0052342F"/>
    <w:rsid w:val="0052349B"/>
    <w:rsid w:val="00523E4C"/>
    <w:rsid w:val="005240E9"/>
    <w:rsid w:val="005245D5"/>
    <w:rsid w:val="005254A4"/>
    <w:rsid w:val="00525834"/>
    <w:rsid w:val="0052592D"/>
    <w:rsid w:val="005259CB"/>
    <w:rsid w:val="00525A32"/>
    <w:rsid w:val="005261DE"/>
    <w:rsid w:val="005267A2"/>
    <w:rsid w:val="0052726C"/>
    <w:rsid w:val="00530162"/>
    <w:rsid w:val="00530F66"/>
    <w:rsid w:val="0053200A"/>
    <w:rsid w:val="00532671"/>
    <w:rsid w:val="00532FA3"/>
    <w:rsid w:val="00533512"/>
    <w:rsid w:val="005337D0"/>
    <w:rsid w:val="00533F38"/>
    <w:rsid w:val="0053423C"/>
    <w:rsid w:val="00534663"/>
    <w:rsid w:val="005351ED"/>
    <w:rsid w:val="00535679"/>
    <w:rsid w:val="005360EA"/>
    <w:rsid w:val="005367D7"/>
    <w:rsid w:val="005369FF"/>
    <w:rsid w:val="00536AA7"/>
    <w:rsid w:val="005372AB"/>
    <w:rsid w:val="00537CBE"/>
    <w:rsid w:val="00540003"/>
    <w:rsid w:val="005410A4"/>
    <w:rsid w:val="00541549"/>
    <w:rsid w:val="005416DE"/>
    <w:rsid w:val="00541EA4"/>
    <w:rsid w:val="0054278B"/>
    <w:rsid w:val="00543B4C"/>
    <w:rsid w:val="00543BBF"/>
    <w:rsid w:val="005448C3"/>
    <w:rsid w:val="00544C79"/>
    <w:rsid w:val="00544FC7"/>
    <w:rsid w:val="0054585E"/>
    <w:rsid w:val="005459A3"/>
    <w:rsid w:val="00545D9B"/>
    <w:rsid w:val="00546460"/>
    <w:rsid w:val="00547557"/>
    <w:rsid w:val="0055114A"/>
    <w:rsid w:val="00551B62"/>
    <w:rsid w:val="00551DD8"/>
    <w:rsid w:val="0055206B"/>
    <w:rsid w:val="00552101"/>
    <w:rsid w:val="0055276C"/>
    <w:rsid w:val="00552AA8"/>
    <w:rsid w:val="005557C1"/>
    <w:rsid w:val="00555C13"/>
    <w:rsid w:val="0055619F"/>
    <w:rsid w:val="005578F6"/>
    <w:rsid w:val="00560F3D"/>
    <w:rsid w:val="00561028"/>
    <w:rsid w:val="00562582"/>
    <w:rsid w:val="00563352"/>
    <w:rsid w:val="00563EA8"/>
    <w:rsid w:val="00564F4C"/>
    <w:rsid w:val="00566A3D"/>
    <w:rsid w:val="00567AE0"/>
    <w:rsid w:val="005713AA"/>
    <w:rsid w:val="005716FE"/>
    <w:rsid w:val="00571B7F"/>
    <w:rsid w:val="00572C53"/>
    <w:rsid w:val="00573178"/>
    <w:rsid w:val="00573E55"/>
    <w:rsid w:val="00573F40"/>
    <w:rsid w:val="0057420D"/>
    <w:rsid w:val="00574832"/>
    <w:rsid w:val="00574CD4"/>
    <w:rsid w:val="0057587C"/>
    <w:rsid w:val="00575902"/>
    <w:rsid w:val="00577867"/>
    <w:rsid w:val="00580694"/>
    <w:rsid w:val="005808B2"/>
    <w:rsid w:val="00580F29"/>
    <w:rsid w:val="00581B57"/>
    <w:rsid w:val="005820DB"/>
    <w:rsid w:val="005825AC"/>
    <w:rsid w:val="0058260A"/>
    <w:rsid w:val="005828BA"/>
    <w:rsid w:val="00583A8B"/>
    <w:rsid w:val="0058455D"/>
    <w:rsid w:val="00584623"/>
    <w:rsid w:val="0058469C"/>
    <w:rsid w:val="005853F2"/>
    <w:rsid w:val="00585988"/>
    <w:rsid w:val="00585B79"/>
    <w:rsid w:val="0058635A"/>
    <w:rsid w:val="00586628"/>
    <w:rsid w:val="005878FC"/>
    <w:rsid w:val="005909FB"/>
    <w:rsid w:val="005916C2"/>
    <w:rsid w:val="00592677"/>
    <w:rsid w:val="005927D2"/>
    <w:rsid w:val="005929D8"/>
    <w:rsid w:val="00592AD3"/>
    <w:rsid w:val="0059396B"/>
    <w:rsid w:val="005943FF"/>
    <w:rsid w:val="00594523"/>
    <w:rsid w:val="005952A0"/>
    <w:rsid w:val="005961EF"/>
    <w:rsid w:val="005964E0"/>
    <w:rsid w:val="00596F53"/>
    <w:rsid w:val="00597B5E"/>
    <w:rsid w:val="005A09C3"/>
    <w:rsid w:val="005A0D71"/>
    <w:rsid w:val="005A211F"/>
    <w:rsid w:val="005A22F3"/>
    <w:rsid w:val="005A28B3"/>
    <w:rsid w:val="005A2EB7"/>
    <w:rsid w:val="005A3817"/>
    <w:rsid w:val="005A4568"/>
    <w:rsid w:val="005A4781"/>
    <w:rsid w:val="005A4906"/>
    <w:rsid w:val="005A4D74"/>
    <w:rsid w:val="005A5351"/>
    <w:rsid w:val="005A5B29"/>
    <w:rsid w:val="005A6D47"/>
    <w:rsid w:val="005A7C42"/>
    <w:rsid w:val="005B033F"/>
    <w:rsid w:val="005B04AD"/>
    <w:rsid w:val="005B0876"/>
    <w:rsid w:val="005B0A6E"/>
    <w:rsid w:val="005B15CC"/>
    <w:rsid w:val="005B1640"/>
    <w:rsid w:val="005B1A77"/>
    <w:rsid w:val="005B1D3D"/>
    <w:rsid w:val="005B2710"/>
    <w:rsid w:val="005B2800"/>
    <w:rsid w:val="005B338F"/>
    <w:rsid w:val="005B45C7"/>
    <w:rsid w:val="005B4BAB"/>
    <w:rsid w:val="005B59BC"/>
    <w:rsid w:val="005B5BC6"/>
    <w:rsid w:val="005B6122"/>
    <w:rsid w:val="005B68AE"/>
    <w:rsid w:val="005B6E75"/>
    <w:rsid w:val="005B6F44"/>
    <w:rsid w:val="005B7663"/>
    <w:rsid w:val="005C003E"/>
    <w:rsid w:val="005C1314"/>
    <w:rsid w:val="005C1804"/>
    <w:rsid w:val="005C2C00"/>
    <w:rsid w:val="005C2E82"/>
    <w:rsid w:val="005C485C"/>
    <w:rsid w:val="005C48F2"/>
    <w:rsid w:val="005C4E3B"/>
    <w:rsid w:val="005C4E86"/>
    <w:rsid w:val="005C4FF9"/>
    <w:rsid w:val="005C5699"/>
    <w:rsid w:val="005C69DB"/>
    <w:rsid w:val="005C7253"/>
    <w:rsid w:val="005C79DC"/>
    <w:rsid w:val="005C7F08"/>
    <w:rsid w:val="005D04BE"/>
    <w:rsid w:val="005D1CD9"/>
    <w:rsid w:val="005D1D89"/>
    <w:rsid w:val="005D1F93"/>
    <w:rsid w:val="005D2C59"/>
    <w:rsid w:val="005D2FC8"/>
    <w:rsid w:val="005D3D5A"/>
    <w:rsid w:val="005D6063"/>
    <w:rsid w:val="005D6AB6"/>
    <w:rsid w:val="005D729D"/>
    <w:rsid w:val="005D7A7F"/>
    <w:rsid w:val="005D7AF0"/>
    <w:rsid w:val="005E0696"/>
    <w:rsid w:val="005E082F"/>
    <w:rsid w:val="005E0AEB"/>
    <w:rsid w:val="005E1C29"/>
    <w:rsid w:val="005E34EE"/>
    <w:rsid w:val="005E3951"/>
    <w:rsid w:val="005E3A56"/>
    <w:rsid w:val="005E46FA"/>
    <w:rsid w:val="005E4BE3"/>
    <w:rsid w:val="005E544F"/>
    <w:rsid w:val="005E5A16"/>
    <w:rsid w:val="005E5D63"/>
    <w:rsid w:val="005E608D"/>
    <w:rsid w:val="005E6AF5"/>
    <w:rsid w:val="005E73F7"/>
    <w:rsid w:val="005F0774"/>
    <w:rsid w:val="005F0B6D"/>
    <w:rsid w:val="005F0D71"/>
    <w:rsid w:val="005F1AB2"/>
    <w:rsid w:val="005F28A0"/>
    <w:rsid w:val="005F2B44"/>
    <w:rsid w:val="005F49B7"/>
    <w:rsid w:val="005F4F38"/>
    <w:rsid w:val="005F5DC8"/>
    <w:rsid w:val="005F6329"/>
    <w:rsid w:val="005F658C"/>
    <w:rsid w:val="005F6C8C"/>
    <w:rsid w:val="005F6F7D"/>
    <w:rsid w:val="005F7629"/>
    <w:rsid w:val="00600817"/>
    <w:rsid w:val="00601F0D"/>
    <w:rsid w:val="0060248A"/>
    <w:rsid w:val="00602CE5"/>
    <w:rsid w:val="00602F25"/>
    <w:rsid w:val="00603086"/>
    <w:rsid w:val="006043A1"/>
    <w:rsid w:val="00604F76"/>
    <w:rsid w:val="00605792"/>
    <w:rsid w:val="00606BE2"/>
    <w:rsid w:val="00606CAA"/>
    <w:rsid w:val="00606E99"/>
    <w:rsid w:val="006073BB"/>
    <w:rsid w:val="006102F8"/>
    <w:rsid w:val="006107EF"/>
    <w:rsid w:val="0061208C"/>
    <w:rsid w:val="00613B3E"/>
    <w:rsid w:val="00615805"/>
    <w:rsid w:val="006159E3"/>
    <w:rsid w:val="00615DC5"/>
    <w:rsid w:val="00616388"/>
    <w:rsid w:val="006170EE"/>
    <w:rsid w:val="00617C2E"/>
    <w:rsid w:val="006206AA"/>
    <w:rsid w:val="0062090C"/>
    <w:rsid w:val="006223A2"/>
    <w:rsid w:val="0062308A"/>
    <w:rsid w:val="006239DE"/>
    <w:rsid w:val="00623AF3"/>
    <w:rsid w:val="00623DE6"/>
    <w:rsid w:val="0062476A"/>
    <w:rsid w:val="00625265"/>
    <w:rsid w:val="0062561B"/>
    <w:rsid w:val="0062696F"/>
    <w:rsid w:val="00627CDB"/>
    <w:rsid w:val="00630143"/>
    <w:rsid w:val="006308C5"/>
    <w:rsid w:val="00630927"/>
    <w:rsid w:val="00630A1A"/>
    <w:rsid w:val="00630D21"/>
    <w:rsid w:val="0063112B"/>
    <w:rsid w:val="00631355"/>
    <w:rsid w:val="00632295"/>
    <w:rsid w:val="00632461"/>
    <w:rsid w:val="006326CE"/>
    <w:rsid w:val="00633B64"/>
    <w:rsid w:val="00634D3E"/>
    <w:rsid w:val="00634EAC"/>
    <w:rsid w:val="0063520F"/>
    <w:rsid w:val="00635778"/>
    <w:rsid w:val="00635C94"/>
    <w:rsid w:val="00635F6B"/>
    <w:rsid w:val="0064037C"/>
    <w:rsid w:val="00640803"/>
    <w:rsid w:val="00640F2D"/>
    <w:rsid w:val="00640F90"/>
    <w:rsid w:val="00641059"/>
    <w:rsid w:val="00641373"/>
    <w:rsid w:val="006418A7"/>
    <w:rsid w:val="0064198B"/>
    <w:rsid w:val="00641AC2"/>
    <w:rsid w:val="00642879"/>
    <w:rsid w:val="00643491"/>
    <w:rsid w:val="006438D6"/>
    <w:rsid w:val="00643FC6"/>
    <w:rsid w:val="006449E5"/>
    <w:rsid w:val="00644A66"/>
    <w:rsid w:val="0064560A"/>
    <w:rsid w:val="00645E02"/>
    <w:rsid w:val="0064696E"/>
    <w:rsid w:val="006469DF"/>
    <w:rsid w:val="00646AB1"/>
    <w:rsid w:val="00646DBC"/>
    <w:rsid w:val="006501CA"/>
    <w:rsid w:val="00650F4E"/>
    <w:rsid w:val="006518AF"/>
    <w:rsid w:val="00651EE8"/>
    <w:rsid w:val="00652026"/>
    <w:rsid w:val="006522C0"/>
    <w:rsid w:val="00653066"/>
    <w:rsid w:val="00653291"/>
    <w:rsid w:val="0065374E"/>
    <w:rsid w:val="00653A72"/>
    <w:rsid w:val="00653B17"/>
    <w:rsid w:val="00654875"/>
    <w:rsid w:val="00654E0F"/>
    <w:rsid w:val="0065535B"/>
    <w:rsid w:val="00655DCA"/>
    <w:rsid w:val="00656732"/>
    <w:rsid w:val="00661672"/>
    <w:rsid w:val="00662F45"/>
    <w:rsid w:val="00663033"/>
    <w:rsid w:val="006638C5"/>
    <w:rsid w:val="00663AAE"/>
    <w:rsid w:val="00663AC7"/>
    <w:rsid w:val="006641E8"/>
    <w:rsid w:val="00664489"/>
    <w:rsid w:val="0066455C"/>
    <w:rsid w:val="00665601"/>
    <w:rsid w:val="006657D7"/>
    <w:rsid w:val="00665D22"/>
    <w:rsid w:val="00665EA3"/>
    <w:rsid w:val="00667365"/>
    <w:rsid w:val="0066747C"/>
    <w:rsid w:val="0066771E"/>
    <w:rsid w:val="00672126"/>
    <w:rsid w:val="0067370E"/>
    <w:rsid w:val="00673F59"/>
    <w:rsid w:val="00673FBE"/>
    <w:rsid w:val="0067432D"/>
    <w:rsid w:val="00675AD4"/>
    <w:rsid w:val="00675B32"/>
    <w:rsid w:val="00675B7E"/>
    <w:rsid w:val="006778EC"/>
    <w:rsid w:val="00677A37"/>
    <w:rsid w:val="00677DF6"/>
    <w:rsid w:val="00680240"/>
    <w:rsid w:val="0068146B"/>
    <w:rsid w:val="006821D2"/>
    <w:rsid w:val="0068435B"/>
    <w:rsid w:val="00684544"/>
    <w:rsid w:val="0068547C"/>
    <w:rsid w:val="006865A6"/>
    <w:rsid w:val="00687450"/>
    <w:rsid w:val="00687A2D"/>
    <w:rsid w:val="00687A5D"/>
    <w:rsid w:val="006901D3"/>
    <w:rsid w:val="0069060A"/>
    <w:rsid w:val="006907DA"/>
    <w:rsid w:val="00690865"/>
    <w:rsid w:val="00691F5B"/>
    <w:rsid w:val="0069240B"/>
    <w:rsid w:val="006928DB"/>
    <w:rsid w:val="00692CBD"/>
    <w:rsid w:val="006930E0"/>
    <w:rsid w:val="00693A09"/>
    <w:rsid w:val="00695C2D"/>
    <w:rsid w:val="00696271"/>
    <w:rsid w:val="00696DEB"/>
    <w:rsid w:val="006970A0"/>
    <w:rsid w:val="006974A2"/>
    <w:rsid w:val="00697C79"/>
    <w:rsid w:val="006A033D"/>
    <w:rsid w:val="006A059D"/>
    <w:rsid w:val="006A0E73"/>
    <w:rsid w:val="006A1E8E"/>
    <w:rsid w:val="006A22A1"/>
    <w:rsid w:val="006A2A46"/>
    <w:rsid w:val="006A2DCD"/>
    <w:rsid w:val="006A2ED1"/>
    <w:rsid w:val="006A3910"/>
    <w:rsid w:val="006A3E5C"/>
    <w:rsid w:val="006A473A"/>
    <w:rsid w:val="006A4E3B"/>
    <w:rsid w:val="006A4FA3"/>
    <w:rsid w:val="006A51BB"/>
    <w:rsid w:val="006A573C"/>
    <w:rsid w:val="006A5E5D"/>
    <w:rsid w:val="006A6F8D"/>
    <w:rsid w:val="006A7E69"/>
    <w:rsid w:val="006B03F3"/>
    <w:rsid w:val="006B2A8F"/>
    <w:rsid w:val="006B2F4A"/>
    <w:rsid w:val="006B337B"/>
    <w:rsid w:val="006B4B65"/>
    <w:rsid w:val="006B4E4A"/>
    <w:rsid w:val="006B57FB"/>
    <w:rsid w:val="006B5C6E"/>
    <w:rsid w:val="006B61D0"/>
    <w:rsid w:val="006B63B1"/>
    <w:rsid w:val="006B651A"/>
    <w:rsid w:val="006B6BEA"/>
    <w:rsid w:val="006B719C"/>
    <w:rsid w:val="006B7508"/>
    <w:rsid w:val="006B7BD5"/>
    <w:rsid w:val="006B7DA6"/>
    <w:rsid w:val="006C04DF"/>
    <w:rsid w:val="006C0DC8"/>
    <w:rsid w:val="006C1DA4"/>
    <w:rsid w:val="006C23A7"/>
    <w:rsid w:val="006C331C"/>
    <w:rsid w:val="006C371A"/>
    <w:rsid w:val="006C39E4"/>
    <w:rsid w:val="006C4097"/>
    <w:rsid w:val="006C40B7"/>
    <w:rsid w:val="006C4E62"/>
    <w:rsid w:val="006C552B"/>
    <w:rsid w:val="006C6284"/>
    <w:rsid w:val="006C6781"/>
    <w:rsid w:val="006C6809"/>
    <w:rsid w:val="006C788C"/>
    <w:rsid w:val="006D07D0"/>
    <w:rsid w:val="006D18A7"/>
    <w:rsid w:val="006D1F05"/>
    <w:rsid w:val="006D201C"/>
    <w:rsid w:val="006D2605"/>
    <w:rsid w:val="006D2860"/>
    <w:rsid w:val="006D2995"/>
    <w:rsid w:val="006D2D23"/>
    <w:rsid w:val="006D341B"/>
    <w:rsid w:val="006D36F6"/>
    <w:rsid w:val="006D3867"/>
    <w:rsid w:val="006D3D27"/>
    <w:rsid w:val="006D4188"/>
    <w:rsid w:val="006D447E"/>
    <w:rsid w:val="006D4931"/>
    <w:rsid w:val="006D4BD1"/>
    <w:rsid w:val="006D5133"/>
    <w:rsid w:val="006D5205"/>
    <w:rsid w:val="006D5316"/>
    <w:rsid w:val="006D666D"/>
    <w:rsid w:val="006D6960"/>
    <w:rsid w:val="006D7511"/>
    <w:rsid w:val="006D7547"/>
    <w:rsid w:val="006E00EE"/>
    <w:rsid w:val="006E06A2"/>
    <w:rsid w:val="006E0B8A"/>
    <w:rsid w:val="006E0CBC"/>
    <w:rsid w:val="006E0E2B"/>
    <w:rsid w:val="006E0F33"/>
    <w:rsid w:val="006E1EC2"/>
    <w:rsid w:val="006E1F62"/>
    <w:rsid w:val="006E2DF5"/>
    <w:rsid w:val="006E3B1A"/>
    <w:rsid w:val="006E3D7B"/>
    <w:rsid w:val="006E41CB"/>
    <w:rsid w:val="006E4525"/>
    <w:rsid w:val="006E5039"/>
    <w:rsid w:val="006E5E6B"/>
    <w:rsid w:val="006E706A"/>
    <w:rsid w:val="006E7142"/>
    <w:rsid w:val="006E7737"/>
    <w:rsid w:val="006E77B3"/>
    <w:rsid w:val="006E7DDF"/>
    <w:rsid w:val="006F07F3"/>
    <w:rsid w:val="006F3241"/>
    <w:rsid w:val="006F34B7"/>
    <w:rsid w:val="006F4129"/>
    <w:rsid w:val="006F4C78"/>
    <w:rsid w:val="006F4F4B"/>
    <w:rsid w:val="006F5CB3"/>
    <w:rsid w:val="006F6E95"/>
    <w:rsid w:val="006F7A16"/>
    <w:rsid w:val="0070039B"/>
    <w:rsid w:val="007008FE"/>
    <w:rsid w:val="007020E2"/>
    <w:rsid w:val="00702438"/>
    <w:rsid w:val="00702451"/>
    <w:rsid w:val="00702FFD"/>
    <w:rsid w:val="00703375"/>
    <w:rsid w:val="0070392F"/>
    <w:rsid w:val="00705399"/>
    <w:rsid w:val="0070693C"/>
    <w:rsid w:val="007069F1"/>
    <w:rsid w:val="00707E7B"/>
    <w:rsid w:val="0071051D"/>
    <w:rsid w:val="00712A01"/>
    <w:rsid w:val="0071442C"/>
    <w:rsid w:val="007148B9"/>
    <w:rsid w:val="00714D78"/>
    <w:rsid w:val="0071595A"/>
    <w:rsid w:val="0071620A"/>
    <w:rsid w:val="00716634"/>
    <w:rsid w:val="00720C32"/>
    <w:rsid w:val="007215AF"/>
    <w:rsid w:val="007217B7"/>
    <w:rsid w:val="00721D22"/>
    <w:rsid w:val="00722122"/>
    <w:rsid w:val="00722C09"/>
    <w:rsid w:val="00723E64"/>
    <w:rsid w:val="00724075"/>
    <w:rsid w:val="007248A2"/>
    <w:rsid w:val="00725600"/>
    <w:rsid w:val="00725713"/>
    <w:rsid w:val="007265FD"/>
    <w:rsid w:val="0072696B"/>
    <w:rsid w:val="00726C56"/>
    <w:rsid w:val="0072715F"/>
    <w:rsid w:val="00727A2A"/>
    <w:rsid w:val="00727F57"/>
    <w:rsid w:val="00727FA8"/>
    <w:rsid w:val="00730153"/>
    <w:rsid w:val="007304A0"/>
    <w:rsid w:val="00731F29"/>
    <w:rsid w:val="00732553"/>
    <w:rsid w:val="00732C70"/>
    <w:rsid w:val="00732FBC"/>
    <w:rsid w:val="007330A4"/>
    <w:rsid w:val="00733CF1"/>
    <w:rsid w:val="00733E13"/>
    <w:rsid w:val="007342A2"/>
    <w:rsid w:val="00734382"/>
    <w:rsid w:val="007343EC"/>
    <w:rsid w:val="007347F0"/>
    <w:rsid w:val="007351D5"/>
    <w:rsid w:val="007366EE"/>
    <w:rsid w:val="00737366"/>
    <w:rsid w:val="00737C6D"/>
    <w:rsid w:val="00740668"/>
    <w:rsid w:val="007415A2"/>
    <w:rsid w:val="007423C9"/>
    <w:rsid w:val="00743F88"/>
    <w:rsid w:val="0074645D"/>
    <w:rsid w:val="00746616"/>
    <w:rsid w:val="00746D82"/>
    <w:rsid w:val="00746E10"/>
    <w:rsid w:val="00747588"/>
    <w:rsid w:val="007502B0"/>
    <w:rsid w:val="00750889"/>
    <w:rsid w:val="0075099E"/>
    <w:rsid w:val="00750B70"/>
    <w:rsid w:val="00752144"/>
    <w:rsid w:val="00752D4C"/>
    <w:rsid w:val="00753009"/>
    <w:rsid w:val="00754B46"/>
    <w:rsid w:val="00755424"/>
    <w:rsid w:val="0075561A"/>
    <w:rsid w:val="007560A3"/>
    <w:rsid w:val="00756A15"/>
    <w:rsid w:val="00756ACA"/>
    <w:rsid w:val="007570F3"/>
    <w:rsid w:val="00757519"/>
    <w:rsid w:val="00757BCB"/>
    <w:rsid w:val="00757FD8"/>
    <w:rsid w:val="007606C3"/>
    <w:rsid w:val="00760894"/>
    <w:rsid w:val="0076220F"/>
    <w:rsid w:val="00762251"/>
    <w:rsid w:val="00762438"/>
    <w:rsid w:val="007633EF"/>
    <w:rsid w:val="00763701"/>
    <w:rsid w:val="00763715"/>
    <w:rsid w:val="0076390B"/>
    <w:rsid w:val="007639B9"/>
    <w:rsid w:val="00763B87"/>
    <w:rsid w:val="00764327"/>
    <w:rsid w:val="00764E9F"/>
    <w:rsid w:val="00770403"/>
    <w:rsid w:val="00770866"/>
    <w:rsid w:val="00770D2E"/>
    <w:rsid w:val="00770DCA"/>
    <w:rsid w:val="00770DFD"/>
    <w:rsid w:val="0077140E"/>
    <w:rsid w:val="00771C4D"/>
    <w:rsid w:val="00771E61"/>
    <w:rsid w:val="00773076"/>
    <w:rsid w:val="00773DCF"/>
    <w:rsid w:val="0077627D"/>
    <w:rsid w:val="00777261"/>
    <w:rsid w:val="0077726F"/>
    <w:rsid w:val="00777716"/>
    <w:rsid w:val="007802B5"/>
    <w:rsid w:val="007806A7"/>
    <w:rsid w:val="00780D91"/>
    <w:rsid w:val="00782679"/>
    <w:rsid w:val="0078302A"/>
    <w:rsid w:val="00784A52"/>
    <w:rsid w:val="007852F8"/>
    <w:rsid w:val="00785E55"/>
    <w:rsid w:val="00786142"/>
    <w:rsid w:val="00786552"/>
    <w:rsid w:val="00786878"/>
    <w:rsid w:val="00786B6F"/>
    <w:rsid w:val="00790B45"/>
    <w:rsid w:val="007917B4"/>
    <w:rsid w:val="007922E7"/>
    <w:rsid w:val="0079298A"/>
    <w:rsid w:val="00792BD4"/>
    <w:rsid w:val="00792E41"/>
    <w:rsid w:val="00792E4C"/>
    <w:rsid w:val="007935F9"/>
    <w:rsid w:val="00794AC1"/>
    <w:rsid w:val="00795B30"/>
    <w:rsid w:val="007962EE"/>
    <w:rsid w:val="00796320"/>
    <w:rsid w:val="007965FB"/>
    <w:rsid w:val="00796811"/>
    <w:rsid w:val="00797213"/>
    <w:rsid w:val="007976A3"/>
    <w:rsid w:val="007A0445"/>
    <w:rsid w:val="007A1083"/>
    <w:rsid w:val="007A13D0"/>
    <w:rsid w:val="007A1450"/>
    <w:rsid w:val="007A28E9"/>
    <w:rsid w:val="007A38CB"/>
    <w:rsid w:val="007A3B1C"/>
    <w:rsid w:val="007A3B97"/>
    <w:rsid w:val="007A3CA8"/>
    <w:rsid w:val="007A45E0"/>
    <w:rsid w:val="007A4836"/>
    <w:rsid w:val="007A4C81"/>
    <w:rsid w:val="007A4D53"/>
    <w:rsid w:val="007A53B6"/>
    <w:rsid w:val="007A570B"/>
    <w:rsid w:val="007A5EA0"/>
    <w:rsid w:val="007A61CF"/>
    <w:rsid w:val="007A6859"/>
    <w:rsid w:val="007A7614"/>
    <w:rsid w:val="007B0021"/>
    <w:rsid w:val="007B151D"/>
    <w:rsid w:val="007B192E"/>
    <w:rsid w:val="007B1980"/>
    <w:rsid w:val="007B2E6E"/>
    <w:rsid w:val="007B2F07"/>
    <w:rsid w:val="007B3511"/>
    <w:rsid w:val="007B3D3F"/>
    <w:rsid w:val="007B3E2D"/>
    <w:rsid w:val="007B4237"/>
    <w:rsid w:val="007C0224"/>
    <w:rsid w:val="007C0501"/>
    <w:rsid w:val="007C1395"/>
    <w:rsid w:val="007C13AC"/>
    <w:rsid w:val="007C2810"/>
    <w:rsid w:val="007C2E58"/>
    <w:rsid w:val="007C3522"/>
    <w:rsid w:val="007C37B3"/>
    <w:rsid w:val="007C454E"/>
    <w:rsid w:val="007C4613"/>
    <w:rsid w:val="007C7ED1"/>
    <w:rsid w:val="007D02D7"/>
    <w:rsid w:val="007D0D05"/>
    <w:rsid w:val="007D0DAD"/>
    <w:rsid w:val="007D1686"/>
    <w:rsid w:val="007D172C"/>
    <w:rsid w:val="007D1A7B"/>
    <w:rsid w:val="007D219A"/>
    <w:rsid w:val="007D2F78"/>
    <w:rsid w:val="007D30DD"/>
    <w:rsid w:val="007D3166"/>
    <w:rsid w:val="007D34AD"/>
    <w:rsid w:val="007D3A9C"/>
    <w:rsid w:val="007D4743"/>
    <w:rsid w:val="007D4C67"/>
    <w:rsid w:val="007D794A"/>
    <w:rsid w:val="007D7E75"/>
    <w:rsid w:val="007E0634"/>
    <w:rsid w:val="007E0B30"/>
    <w:rsid w:val="007E0F18"/>
    <w:rsid w:val="007E147D"/>
    <w:rsid w:val="007E186C"/>
    <w:rsid w:val="007E2377"/>
    <w:rsid w:val="007E2912"/>
    <w:rsid w:val="007E2D4F"/>
    <w:rsid w:val="007E3524"/>
    <w:rsid w:val="007E40CB"/>
    <w:rsid w:val="007E50DB"/>
    <w:rsid w:val="007E5241"/>
    <w:rsid w:val="007E5DCA"/>
    <w:rsid w:val="007E7FA2"/>
    <w:rsid w:val="007F055D"/>
    <w:rsid w:val="007F09B4"/>
    <w:rsid w:val="007F129A"/>
    <w:rsid w:val="007F1E53"/>
    <w:rsid w:val="007F2B12"/>
    <w:rsid w:val="007F2D3B"/>
    <w:rsid w:val="007F2E0B"/>
    <w:rsid w:val="007F3352"/>
    <w:rsid w:val="007F36A7"/>
    <w:rsid w:val="007F3FD7"/>
    <w:rsid w:val="007F4776"/>
    <w:rsid w:val="007F47D0"/>
    <w:rsid w:val="007F5496"/>
    <w:rsid w:val="007F5A4C"/>
    <w:rsid w:val="007F5E75"/>
    <w:rsid w:val="007F6258"/>
    <w:rsid w:val="007F694F"/>
    <w:rsid w:val="007F6D64"/>
    <w:rsid w:val="007F7612"/>
    <w:rsid w:val="007F79FC"/>
    <w:rsid w:val="00801A1F"/>
    <w:rsid w:val="0080238B"/>
    <w:rsid w:val="00802A41"/>
    <w:rsid w:val="00802B78"/>
    <w:rsid w:val="00802C3C"/>
    <w:rsid w:val="00803339"/>
    <w:rsid w:val="00803404"/>
    <w:rsid w:val="008036BA"/>
    <w:rsid w:val="00803F48"/>
    <w:rsid w:val="00804217"/>
    <w:rsid w:val="00804BA9"/>
    <w:rsid w:val="0080549C"/>
    <w:rsid w:val="008056B3"/>
    <w:rsid w:val="00806A50"/>
    <w:rsid w:val="00806BBB"/>
    <w:rsid w:val="0080722C"/>
    <w:rsid w:val="00807922"/>
    <w:rsid w:val="00807A3B"/>
    <w:rsid w:val="00811357"/>
    <w:rsid w:val="008115CF"/>
    <w:rsid w:val="008131B0"/>
    <w:rsid w:val="00814DA8"/>
    <w:rsid w:val="008163BC"/>
    <w:rsid w:val="00816A83"/>
    <w:rsid w:val="00817E07"/>
    <w:rsid w:val="00817FD7"/>
    <w:rsid w:val="00820A45"/>
    <w:rsid w:val="00820CC5"/>
    <w:rsid w:val="00820F38"/>
    <w:rsid w:val="00821047"/>
    <w:rsid w:val="00821491"/>
    <w:rsid w:val="00821DD1"/>
    <w:rsid w:val="00822654"/>
    <w:rsid w:val="00823DCD"/>
    <w:rsid w:val="008243E8"/>
    <w:rsid w:val="008246FC"/>
    <w:rsid w:val="00824927"/>
    <w:rsid w:val="008250F5"/>
    <w:rsid w:val="00825C56"/>
    <w:rsid w:val="00825D54"/>
    <w:rsid w:val="00826392"/>
    <w:rsid w:val="00827D97"/>
    <w:rsid w:val="008309F2"/>
    <w:rsid w:val="00830FAC"/>
    <w:rsid w:val="008316BC"/>
    <w:rsid w:val="008316FC"/>
    <w:rsid w:val="008332F5"/>
    <w:rsid w:val="00833405"/>
    <w:rsid w:val="00833566"/>
    <w:rsid w:val="00833889"/>
    <w:rsid w:val="00833922"/>
    <w:rsid w:val="00835FC3"/>
    <w:rsid w:val="00836C24"/>
    <w:rsid w:val="00836FCA"/>
    <w:rsid w:val="00841260"/>
    <w:rsid w:val="008418D4"/>
    <w:rsid w:val="00842CC9"/>
    <w:rsid w:val="008430FB"/>
    <w:rsid w:val="00843806"/>
    <w:rsid w:val="00843FE8"/>
    <w:rsid w:val="00844202"/>
    <w:rsid w:val="00845529"/>
    <w:rsid w:val="00845F20"/>
    <w:rsid w:val="0084633E"/>
    <w:rsid w:val="00846BB0"/>
    <w:rsid w:val="00846C16"/>
    <w:rsid w:val="00847663"/>
    <w:rsid w:val="0085071D"/>
    <w:rsid w:val="00850872"/>
    <w:rsid w:val="008508B8"/>
    <w:rsid w:val="008509E2"/>
    <w:rsid w:val="00850E0E"/>
    <w:rsid w:val="00850FA3"/>
    <w:rsid w:val="00851573"/>
    <w:rsid w:val="00851905"/>
    <w:rsid w:val="00852E1D"/>
    <w:rsid w:val="00853670"/>
    <w:rsid w:val="0085368F"/>
    <w:rsid w:val="00853A4A"/>
    <w:rsid w:val="00853BDC"/>
    <w:rsid w:val="00853C74"/>
    <w:rsid w:val="00853CFE"/>
    <w:rsid w:val="0085597F"/>
    <w:rsid w:val="00855D35"/>
    <w:rsid w:val="008601B0"/>
    <w:rsid w:val="008602BF"/>
    <w:rsid w:val="00860396"/>
    <w:rsid w:val="008609D6"/>
    <w:rsid w:val="008613D5"/>
    <w:rsid w:val="00861C08"/>
    <w:rsid w:val="00861DA1"/>
    <w:rsid w:val="00861FE4"/>
    <w:rsid w:val="00862740"/>
    <w:rsid w:val="00862C80"/>
    <w:rsid w:val="00863ECD"/>
    <w:rsid w:val="008648AA"/>
    <w:rsid w:val="008650B3"/>
    <w:rsid w:val="00865172"/>
    <w:rsid w:val="00865BF7"/>
    <w:rsid w:val="008660E1"/>
    <w:rsid w:val="00866251"/>
    <w:rsid w:val="00866C0F"/>
    <w:rsid w:val="00870080"/>
    <w:rsid w:val="0087040B"/>
    <w:rsid w:val="00871044"/>
    <w:rsid w:val="0087154E"/>
    <w:rsid w:val="00871C43"/>
    <w:rsid w:val="00872005"/>
    <w:rsid w:val="0087377D"/>
    <w:rsid w:val="0087393A"/>
    <w:rsid w:val="008739C8"/>
    <w:rsid w:val="008753F7"/>
    <w:rsid w:val="00875747"/>
    <w:rsid w:val="008767F1"/>
    <w:rsid w:val="00876DCA"/>
    <w:rsid w:val="00877116"/>
    <w:rsid w:val="008776A7"/>
    <w:rsid w:val="00877B82"/>
    <w:rsid w:val="008803B1"/>
    <w:rsid w:val="00880C1F"/>
    <w:rsid w:val="00881869"/>
    <w:rsid w:val="00882706"/>
    <w:rsid w:val="00884417"/>
    <w:rsid w:val="008848E9"/>
    <w:rsid w:val="008853FD"/>
    <w:rsid w:val="008855A2"/>
    <w:rsid w:val="00885FCF"/>
    <w:rsid w:val="00891378"/>
    <w:rsid w:val="008913EA"/>
    <w:rsid w:val="008917AD"/>
    <w:rsid w:val="00892A9A"/>
    <w:rsid w:val="00892EF6"/>
    <w:rsid w:val="008934E1"/>
    <w:rsid w:val="00893A15"/>
    <w:rsid w:val="00893C1F"/>
    <w:rsid w:val="00894223"/>
    <w:rsid w:val="00894628"/>
    <w:rsid w:val="008946E7"/>
    <w:rsid w:val="00894BA6"/>
    <w:rsid w:val="00895969"/>
    <w:rsid w:val="00895AFA"/>
    <w:rsid w:val="00895DBF"/>
    <w:rsid w:val="008960B0"/>
    <w:rsid w:val="00896645"/>
    <w:rsid w:val="00896BB8"/>
    <w:rsid w:val="0089762F"/>
    <w:rsid w:val="00897727"/>
    <w:rsid w:val="008977C8"/>
    <w:rsid w:val="00897D74"/>
    <w:rsid w:val="008A112F"/>
    <w:rsid w:val="008A1839"/>
    <w:rsid w:val="008A22FC"/>
    <w:rsid w:val="008A2AFB"/>
    <w:rsid w:val="008A3AC4"/>
    <w:rsid w:val="008A4374"/>
    <w:rsid w:val="008A4A85"/>
    <w:rsid w:val="008A5888"/>
    <w:rsid w:val="008A60AE"/>
    <w:rsid w:val="008A618B"/>
    <w:rsid w:val="008A6311"/>
    <w:rsid w:val="008A69AB"/>
    <w:rsid w:val="008A7A03"/>
    <w:rsid w:val="008B0DA1"/>
    <w:rsid w:val="008B0E06"/>
    <w:rsid w:val="008B32ED"/>
    <w:rsid w:val="008B3F5F"/>
    <w:rsid w:val="008B462D"/>
    <w:rsid w:val="008B4BD2"/>
    <w:rsid w:val="008B4E25"/>
    <w:rsid w:val="008B51F0"/>
    <w:rsid w:val="008B5B0B"/>
    <w:rsid w:val="008B5B79"/>
    <w:rsid w:val="008B72ED"/>
    <w:rsid w:val="008C329A"/>
    <w:rsid w:val="008C3781"/>
    <w:rsid w:val="008C41C2"/>
    <w:rsid w:val="008C4218"/>
    <w:rsid w:val="008C4AFD"/>
    <w:rsid w:val="008C4F1F"/>
    <w:rsid w:val="008C5AA9"/>
    <w:rsid w:val="008C5AC5"/>
    <w:rsid w:val="008C5E97"/>
    <w:rsid w:val="008C6746"/>
    <w:rsid w:val="008C6CD7"/>
    <w:rsid w:val="008C6E42"/>
    <w:rsid w:val="008C6F33"/>
    <w:rsid w:val="008C71CC"/>
    <w:rsid w:val="008C736E"/>
    <w:rsid w:val="008C7A00"/>
    <w:rsid w:val="008C7BAF"/>
    <w:rsid w:val="008D0D0B"/>
    <w:rsid w:val="008D0E52"/>
    <w:rsid w:val="008D1429"/>
    <w:rsid w:val="008D1E6C"/>
    <w:rsid w:val="008D291D"/>
    <w:rsid w:val="008D358A"/>
    <w:rsid w:val="008D4ACA"/>
    <w:rsid w:val="008D5150"/>
    <w:rsid w:val="008D5C80"/>
    <w:rsid w:val="008D6832"/>
    <w:rsid w:val="008D7ACA"/>
    <w:rsid w:val="008D7B48"/>
    <w:rsid w:val="008E0386"/>
    <w:rsid w:val="008E05AA"/>
    <w:rsid w:val="008E0D10"/>
    <w:rsid w:val="008E1024"/>
    <w:rsid w:val="008E3825"/>
    <w:rsid w:val="008E41D0"/>
    <w:rsid w:val="008E5736"/>
    <w:rsid w:val="008E57E9"/>
    <w:rsid w:val="008E6296"/>
    <w:rsid w:val="008E6B58"/>
    <w:rsid w:val="008E7EA5"/>
    <w:rsid w:val="008F0563"/>
    <w:rsid w:val="008F058E"/>
    <w:rsid w:val="008F0987"/>
    <w:rsid w:val="008F1265"/>
    <w:rsid w:val="008F12DC"/>
    <w:rsid w:val="008F18B5"/>
    <w:rsid w:val="008F1E1C"/>
    <w:rsid w:val="008F31AA"/>
    <w:rsid w:val="008F3A74"/>
    <w:rsid w:val="008F4538"/>
    <w:rsid w:val="008F5764"/>
    <w:rsid w:val="008F6345"/>
    <w:rsid w:val="008F6B3D"/>
    <w:rsid w:val="008F6ECF"/>
    <w:rsid w:val="008F7030"/>
    <w:rsid w:val="008F749A"/>
    <w:rsid w:val="008F76DE"/>
    <w:rsid w:val="008F7AB9"/>
    <w:rsid w:val="008F7CCC"/>
    <w:rsid w:val="008F7E4B"/>
    <w:rsid w:val="008F7E81"/>
    <w:rsid w:val="0090065D"/>
    <w:rsid w:val="00900AFF"/>
    <w:rsid w:val="00900B78"/>
    <w:rsid w:val="009010C8"/>
    <w:rsid w:val="0090166D"/>
    <w:rsid w:val="00903B6B"/>
    <w:rsid w:val="00905597"/>
    <w:rsid w:val="00905630"/>
    <w:rsid w:val="009061E8"/>
    <w:rsid w:val="00906793"/>
    <w:rsid w:val="009101F4"/>
    <w:rsid w:val="009105AE"/>
    <w:rsid w:val="00910621"/>
    <w:rsid w:val="00910825"/>
    <w:rsid w:val="00910AB4"/>
    <w:rsid w:val="00910CE4"/>
    <w:rsid w:val="00910EE3"/>
    <w:rsid w:val="009114D3"/>
    <w:rsid w:val="00911901"/>
    <w:rsid w:val="00911920"/>
    <w:rsid w:val="00914500"/>
    <w:rsid w:val="0091586E"/>
    <w:rsid w:val="00915D2C"/>
    <w:rsid w:val="00916107"/>
    <w:rsid w:val="00916F9F"/>
    <w:rsid w:val="00917ACF"/>
    <w:rsid w:val="009200C0"/>
    <w:rsid w:val="00920E35"/>
    <w:rsid w:val="0092186C"/>
    <w:rsid w:val="00921D3E"/>
    <w:rsid w:val="00922099"/>
    <w:rsid w:val="0092235E"/>
    <w:rsid w:val="009224C9"/>
    <w:rsid w:val="00922614"/>
    <w:rsid w:val="0092294D"/>
    <w:rsid w:val="0092346D"/>
    <w:rsid w:val="00923481"/>
    <w:rsid w:val="0092430F"/>
    <w:rsid w:val="00924DE9"/>
    <w:rsid w:val="00927106"/>
    <w:rsid w:val="009277D1"/>
    <w:rsid w:val="00930B7A"/>
    <w:rsid w:val="00930BF3"/>
    <w:rsid w:val="00931A72"/>
    <w:rsid w:val="00931D26"/>
    <w:rsid w:val="0093243B"/>
    <w:rsid w:val="0093263A"/>
    <w:rsid w:val="00932E5B"/>
    <w:rsid w:val="009350E4"/>
    <w:rsid w:val="009359BD"/>
    <w:rsid w:val="00935E8C"/>
    <w:rsid w:val="00935ECE"/>
    <w:rsid w:val="00935FC7"/>
    <w:rsid w:val="00936282"/>
    <w:rsid w:val="00940E1B"/>
    <w:rsid w:val="00940FF4"/>
    <w:rsid w:val="0094131A"/>
    <w:rsid w:val="00942158"/>
    <w:rsid w:val="0094278E"/>
    <w:rsid w:val="009427D0"/>
    <w:rsid w:val="00944659"/>
    <w:rsid w:val="00946357"/>
    <w:rsid w:val="00947665"/>
    <w:rsid w:val="00951121"/>
    <w:rsid w:val="009522ED"/>
    <w:rsid w:val="00952425"/>
    <w:rsid w:val="009524D7"/>
    <w:rsid w:val="009526C6"/>
    <w:rsid w:val="0095283A"/>
    <w:rsid w:val="00952964"/>
    <w:rsid w:val="00952FE6"/>
    <w:rsid w:val="009538DA"/>
    <w:rsid w:val="00954859"/>
    <w:rsid w:val="009551D9"/>
    <w:rsid w:val="009555B5"/>
    <w:rsid w:val="009561DD"/>
    <w:rsid w:val="00956731"/>
    <w:rsid w:val="00956CFC"/>
    <w:rsid w:val="009572EB"/>
    <w:rsid w:val="00957E68"/>
    <w:rsid w:val="00960486"/>
    <w:rsid w:val="0096081E"/>
    <w:rsid w:val="00961A9C"/>
    <w:rsid w:val="00961D5C"/>
    <w:rsid w:val="00962138"/>
    <w:rsid w:val="009622A5"/>
    <w:rsid w:val="00962F66"/>
    <w:rsid w:val="009630DB"/>
    <w:rsid w:val="00963594"/>
    <w:rsid w:val="00963AFF"/>
    <w:rsid w:val="00963F01"/>
    <w:rsid w:val="009658FD"/>
    <w:rsid w:val="0096648D"/>
    <w:rsid w:val="00966794"/>
    <w:rsid w:val="009669C1"/>
    <w:rsid w:val="009705D8"/>
    <w:rsid w:val="00971032"/>
    <w:rsid w:val="0097124F"/>
    <w:rsid w:val="009714A9"/>
    <w:rsid w:val="009727E5"/>
    <w:rsid w:val="00972AC5"/>
    <w:rsid w:val="009740A1"/>
    <w:rsid w:val="00975915"/>
    <w:rsid w:val="00975CE8"/>
    <w:rsid w:val="0097679C"/>
    <w:rsid w:val="00976B21"/>
    <w:rsid w:val="00977912"/>
    <w:rsid w:val="00980BE5"/>
    <w:rsid w:val="00980E85"/>
    <w:rsid w:val="00981344"/>
    <w:rsid w:val="00981FC3"/>
    <w:rsid w:val="0098266C"/>
    <w:rsid w:val="00982A4D"/>
    <w:rsid w:val="009860B1"/>
    <w:rsid w:val="009861E0"/>
    <w:rsid w:val="009864F6"/>
    <w:rsid w:val="00987573"/>
    <w:rsid w:val="009878E1"/>
    <w:rsid w:val="00987B2A"/>
    <w:rsid w:val="00987D1B"/>
    <w:rsid w:val="00990C4B"/>
    <w:rsid w:val="00991FC7"/>
    <w:rsid w:val="0099200B"/>
    <w:rsid w:val="00992D7B"/>
    <w:rsid w:val="00994889"/>
    <w:rsid w:val="009950C0"/>
    <w:rsid w:val="00995BAE"/>
    <w:rsid w:val="0099637C"/>
    <w:rsid w:val="00996B65"/>
    <w:rsid w:val="009A0136"/>
    <w:rsid w:val="009A02FD"/>
    <w:rsid w:val="009A084C"/>
    <w:rsid w:val="009A0EF7"/>
    <w:rsid w:val="009A0EFC"/>
    <w:rsid w:val="009A15FC"/>
    <w:rsid w:val="009A1A43"/>
    <w:rsid w:val="009A1BA8"/>
    <w:rsid w:val="009A270D"/>
    <w:rsid w:val="009A3E9A"/>
    <w:rsid w:val="009A4663"/>
    <w:rsid w:val="009A4F53"/>
    <w:rsid w:val="009A5604"/>
    <w:rsid w:val="009A57A7"/>
    <w:rsid w:val="009A5930"/>
    <w:rsid w:val="009A65BA"/>
    <w:rsid w:val="009A70C6"/>
    <w:rsid w:val="009A7126"/>
    <w:rsid w:val="009A7F4B"/>
    <w:rsid w:val="009A7FA9"/>
    <w:rsid w:val="009B0A87"/>
    <w:rsid w:val="009B1229"/>
    <w:rsid w:val="009B1392"/>
    <w:rsid w:val="009B25F5"/>
    <w:rsid w:val="009B289D"/>
    <w:rsid w:val="009B2D10"/>
    <w:rsid w:val="009B4E57"/>
    <w:rsid w:val="009B5C4F"/>
    <w:rsid w:val="009B5ECD"/>
    <w:rsid w:val="009B60E1"/>
    <w:rsid w:val="009B6390"/>
    <w:rsid w:val="009B6DBE"/>
    <w:rsid w:val="009B7443"/>
    <w:rsid w:val="009B7630"/>
    <w:rsid w:val="009B7B1B"/>
    <w:rsid w:val="009B7EBE"/>
    <w:rsid w:val="009C0F9D"/>
    <w:rsid w:val="009C107F"/>
    <w:rsid w:val="009C1A16"/>
    <w:rsid w:val="009C1C33"/>
    <w:rsid w:val="009C22A0"/>
    <w:rsid w:val="009C2995"/>
    <w:rsid w:val="009C2A91"/>
    <w:rsid w:val="009C3348"/>
    <w:rsid w:val="009C3F05"/>
    <w:rsid w:val="009C3F70"/>
    <w:rsid w:val="009C5835"/>
    <w:rsid w:val="009D11CB"/>
    <w:rsid w:val="009D1B4C"/>
    <w:rsid w:val="009D1D66"/>
    <w:rsid w:val="009D266A"/>
    <w:rsid w:val="009D4AF8"/>
    <w:rsid w:val="009D56D9"/>
    <w:rsid w:val="009D622E"/>
    <w:rsid w:val="009D6F86"/>
    <w:rsid w:val="009D79CD"/>
    <w:rsid w:val="009D7A15"/>
    <w:rsid w:val="009D7AF1"/>
    <w:rsid w:val="009E0326"/>
    <w:rsid w:val="009E0F6B"/>
    <w:rsid w:val="009E1ED9"/>
    <w:rsid w:val="009E2620"/>
    <w:rsid w:val="009E3D79"/>
    <w:rsid w:val="009E4F4F"/>
    <w:rsid w:val="009E52B6"/>
    <w:rsid w:val="009E5660"/>
    <w:rsid w:val="009E6E20"/>
    <w:rsid w:val="009E6F13"/>
    <w:rsid w:val="009F12F3"/>
    <w:rsid w:val="009F28F6"/>
    <w:rsid w:val="009F2A42"/>
    <w:rsid w:val="009F378B"/>
    <w:rsid w:val="009F389D"/>
    <w:rsid w:val="009F4DB8"/>
    <w:rsid w:val="009F4E05"/>
    <w:rsid w:val="009F4F26"/>
    <w:rsid w:val="009F505C"/>
    <w:rsid w:val="009F5084"/>
    <w:rsid w:val="009F51B7"/>
    <w:rsid w:val="009F6E4E"/>
    <w:rsid w:val="009F713A"/>
    <w:rsid w:val="009F75E2"/>
    <w:rsid w:val="009F76E1"/>
    <w:rsid w:val="00A0059D"/>
    <w:rsid w:val="00A00662"/>
    <w:rsid w:val="00A02660"/>
    <w:rsid w:val="00A02C31"/>
    <w:rsid w:val="00A03AF2"/>
    <w:rsid w:val="00A04E00"/>
    <w:rsid w:val="00A0512B"/>
    <w:rsid w:val="00A052F6"/>
    <w:rsid w:val="00A05598"/>
    <w:rsid w:val="00A059BF"/>
    <w:rsid w:val="00A05F9D"/>
    <w:rsid w:val="00A06700"/>
    <w:rsid w:val="00A06FFA"/>
    <w:rsid w:val="00A073A7"/>
    <w:rsid w:val="00A075BA"/>
    <w:rsid w:val="00A07D79"/>
    <w:rsid w:val="00A100B4"/>
    <w:rsid w:val="00A10B52"/>
    <w:rsid w:val="00A117C5"/>
    <w:rsid w:val="00A11F18"/>
    <w:rsid w:val="00A123C1"/>
    <w:rsid w:val="00A129F3"/>
    <w:rsid w:val="00A12A1E"/>
    <w:rsid w:val="00A12B86"/>
    <w:rsid w:val="00A12F69"/>
    <w:rsid w:val="00A13A94"/>
    <w:rsid w:val="00A13E10"/>
    <w:rsid w:val="00A1460D"/>
    <w:rsid w:val="00A156C7"/>
    <w:rsid w:val="00A16165"/>
    <w:rsid w:val="00A17A19"/>
    <w:rsid w:val="00A203DB"/>
    <w:rsid w:val="00A20901"/>
    <w:rsid w:val="00A220BF"/>
    <w:rsid w:val="00A225AF"/>
    <w:rsid w:val="00A2261C"/>
    <w:rsid w:val="00A2381C"/>
    <w:rsid w:val="00A23B6B"/>
    <w:rsid w:val="00A23F96"/>
    <w:rsid w:val="00A2558F"/>
    <w:rsid w:val="00A25E97"/>
    <w:rsid w:val="00A278C8"/>
    <w:rsid w:val="00A313E6"/>
    <w:rsid w:val="00A322BB"/>
    <w:rsid w:val="00A3281F"/>
    <w:rsid w:val="00A32E59"/>
    <w:rsid w:val="00A33A39"/>
    <w:rsid w:val="00A34631"/>
    <w:rsid w:val="00A347E4"/>
    <w:rsid w:val="00A3491E"/>
    <w:rsid w:val="00A34BAF"/>
    <w:rsid w:val="00A34BC6"/>
    <w:rsid w:val="00A35128"/>
    <w:rsid w:val="00A3589B"/>
    <w:rsid w:val="00A35F3A"/>
    <w:rsid w:val="00A3695C"/>
    <w:rsid w:val="00A37BA8"/>
    <w:rsid w:val="00A37CC2"/>
    <w:rsid w:val="00A41608"/>
    <w:rsid w:val="00A42D4B"/>
    <w:rsid w:val="00A43DD2"/>
    <w:rsid w:val="00A44CC5"/>
    <w:rsid w:val="00A456FA"/>
    <w:rsid w:val="00A45A13"/>
    <w:rsid w:val="00A45FCB"/>
    <w:rsid w:val="00A461F4"/>
    <w:rsid w:val="00A4651A"/>
    <w:rsid w:val="00A46AEA"/>
    <w:rsid w:val="00A50A57"/>
    <w:rsid w:val="00A50AE1"/>
    <w:rsid w:val="00A51050"/>
    <w:rsid w:val="00A51606"/>
    <w:rsid w:val="00A518F1"/>
    <w:rsid w:val="00A5275C"/>
    <w:rsid w:val="00A53296"/>
    <w:rsid w:val="00A533FF"/>
    <w:rsid w:val="00A5436D"/>
    <w:rsid w:val="00A54C80"/>
    <w:rsid w:val="00A54CFC"/>
    <w:rsid w:val="00A56787"/>
    <w:rsid w:val="00A567B6"/>
    <w:rsid w:val="00A5683B"/>
    <w:rsid w:val="00A56998"/>
    <w:rsid w:val="00A5711F"/>
    <w:rsid w:val="00A57261"/>
    <w:rsid w:val="00A57488"/>
    <w:rsid w:val="00A57C25"/>
    <w:rsid w:val="00A6040B"/>
    <w:rsid w:val="00A60DD1"/>
    <w:rsid w:val="00A619D6"/>
    <w:rsid w:val="00A627C3"/>
    <w:rsid w:val="00A6384E"/>
    <w:rsid w:val="00A63F17"/>
    <w:rsid w:val="00A64020"/>
    <w:rsid w:val="00A64F05"/>
    <w:rsid w:val="00A64FAA"/>
    <w:rsid w:val="00A64FD0"/>
    <w:rsid w:val="00A6539C"/>
    <w:rsid w:val="00A65EA0"/>
    <w:rsid w:val="00A666C8"/>
    <w:rsid w:val="00A668B1"/>
    <w:rsid w:val="00A66C36"/>
    <w:rsid w:val="00A67092"/>
    <w:rsid w:val="00A6737A"/>
    <w:rsid w:val="00A67C26"/>
    <w:rsid w:val="00A7062B"/>
    <w:rsid w:val="00A70B1C"/>
    <w:rsid w:val="00A71F4E"/>
    <w:rsid w:val="00A7257A"/>
    <w:rsid w:val="00A728B8"/>
    <w:rsid w:val="00A7328E"/>
    <w:rsid w:val="00A73F48"/>
    <w:rsid w:val="00A740C2"/>
    <w:rsid w:val="00A75519"/>
    <w:rsid w:val="00A75B3A"/>
    <w:rsid w:val="00A75C6B"/>
    <w:rsid w:val="00A763BD"/>
    <w:rsid w:val="00A76736"/>
    <w:rsid w:val="00A7698C"/>
    <w:rsid w:val="00A7728E"/>
    <w:rsid w:val="00A80094"/>
    <w:rsid w:val="00A80131"/>
    <w:rsid w:val="00A82024"/>
    <w:rsid w:val="00A83AB8"/>
    <w:rsid w:val="00A84D7E"/>
    <w:rsid w:val="00A86536"/>
    <w:rsid w:val="00A86F2D"/>
    <w:rsid w:val="00A87A48"/>
    <w:rsid w:val="00A87AEA"/>
    <w:rsid w:val="00A90D28"/>
    <w:rsid w:val="00A9188E"/>
    <w:rsid w:val="00A9198C"/>
    <w:rsid w:val="00A92C02"/>
    <w:rsid w:val="00A935D9"/>
    <w:rsid w:val="00A93D39"/>
    <w:rsid w:val="00A94155"/>
    <w:rsid w:val="00A94A67"/>
    <w:rsid w:val="00A94DB6"/>
    <w:rsid w:val="00A95013"/>
    <w:rsid w:val="00A9531E"/>
    <w:rsid w:val="00A959BB"/>
    <w:rsid w:val="00A95C29"/>
    <w:rsid w:val="00A96742"/>
    <w:rsid w:val="00A96BEE"/>
    <w:rsid w:val="00A96EEF"/>
    <w:rsid w:val="00A97B76"/>
    <w:rsid w:val="00AA0359"/>
    <w:rsid w:val="00AA039C"/>
    <w:rsid w:val="00AA06A9"/>
    <w:rsid w:val="00AA2AAC"/>
    <w:rsid w:val="00AA31EC"/>
    <w:rsid w:val="00AA32F5"/>
    <w:rsid w:val="00AA4199"/>
    <w:rsid w:val="00AA4854"/>
    <w:rsid w:val="00AA4FB3"/>
    <w:rsid w:val="00AA5F2D"/>
    <w:rsid w:val="00AA6B0B"/>
    <w:rsid w:val="00AA6D42"/>
    <w:rsid w:val="00AA7153"/>
    <w:rsid w:val="00AA7B43"/>
    <w:rsid w:val="00AB08BF"/>
    <w:rsid w:val="00AB0CBA"/>
    <w:rsid w:val="00AB1036"/>
    <w:rsid w:val="00AB119C"/>
    <w:rsid w:val="00AB14AE"/>
    <w:rsid w:val="00AB1598"/>
    <w:rsid w:val="00AB1B19"/>
    <w:rsid w:val="00AB229E"/>
    <w:rsid w:val="00AB38A9"/>
    <w:rsid w:val="00AB503A"/>
    <w:rsid w:val="00AB5779"/>
    <w:rsid w:val="00AB5867"/>
    <w:rsid w:val="00AB5AC5"/>
    <w:rsid w:val="00AB5C65"/>
    <w:rsid w:val="00AB617C"/>
    <w:rsid w:val="00AB6BEF"/>
    <w:rsid w:val="00AB7495"/>
    <w:rsid w:val="00AB7496"/>
    <w:rsid w:val="00AB7832"/>
    <w:rsid w:val="00AC019F"/>
    <w:rsid w:val="00AC0387"/>
    <w:rsid w:val="00AC0841"/>
    <w:rsid w:val="00AC0ECA"/>
    <w:rsid w:val="00AC19EE"/>
    <w:rsid w:val="00AC1F59"/>
    <w:rsid w:val="00AC28C3"/>
    <w:rsid w:val="00AC3D8C"/>
    <w:rsid w:val="00AC4655"/>
    <w:rsid w:val="00AC4A79"/>
    <w:rsid w:val="00AC51A6"/>
    <w:rsid w:val="00AC637F"/>
    <w:rsid w:val="00AD064F"/>
    <w:rsid w:val="00AD0650"/>
    <w:rsid w:val="00AD0E11"/>
    <w:rsid w:val="00AD0F03"/>
    <w:rsid w:val="00AD22C3"/>
    <w:rsid w:val="00AD42D6"/>
    <w:rsid w:val="00AD4D98"/>
    <w:rsid w:val="00AD52B8"/>
    <w:rsid w:val="00AD56B9"/>
    <w:rsid w:val="00AD56CE"/>
    <w:rsid w:val="00AD5F19"/>
    <w:rsid w:val="00AD6BEA"/>
    <w:rsid w:val="00AD70E0"/>
    <w:rsid w:val="00AD7166"/>
    <w:rsid w:val="00AD7350"/>
    <w:rsid w:val="00AD74D3"/>
    <w:rsid w:val="00AE117F"/>
    <w:rsid w:val="00AE325C"/>
    <w:rsid w:val="00AE3968"/>
    <w:rsid w:val="00AE45A5"/>
    <w:rsid w:val="00AE6DAE"/>
    <w:rsid w:val="00AE7638"/>
    <w:rsid w:val="00AE7BBD"/>
    <w:rsid w:val="00AE7F4C"/>
    <w:rsid w:val="00AF115F"/>
    <w:rsid w:val="00AF232C"/>
    <w:rsid w:val="00AF29E6"/>
    <w:rsid w:val="00AF2C1C"/>
    <w:rsid w:val="00AF3523"/>
    <w:rsid w:val="00AF35FA"/>
    <w:rsid w:val="00AF3B53"/>
    <w:rsid w:val="00AF4DED"/>
    <w:rsid w:val="00AF5A3C"/>
    <w:rsid w:val="00AF5AD7"/>
    <w:rsid w:val="00AF681D"/>
    <w:rsid w:val="00AF6B96"/>
    <w:rsid w:val="00AF6C49"/>
    <w:rsid w:val="00B00617"/>
    <w:rsid w:val="00B008D0"/>
    <w:rsid w:val="00B014BA"/>
    <w:rsid w:val="00B024BB"/>
    <w:rsid w:val="00B02EA6"/>
    <w:rsid w:val="00B03DD8"/>
    <w:rsid w:val="00B05A60"/>
    <w:rsid w:val="00B05FDC"/>
    <w:rsid w:val="00B062AF"/>
    <w:rsid w:val="00B06366"/>
    <w:rsid w:val="00B0744F"/>
    <w:rsid w:val="00B07A87"/>
    <w:rsid w:val="00B07F87"/>
    <w:rsid w:val="00B1000C"/>
    <w:rsid w:val="00B10057"/>
    <w:rsid w:val="00B1063C"/>
    <w:rsid w:val="00B10C82"/>
    <w:rsid w:val="00B10CC1"/>
    <w:rsid w:val="00B11A92"/>
    <w:rsid w:val="00B124BE"/>
    <w:rsid w:val="00B124D2"/>
    <w:rsid w:val="00B127F9"/>
    <w:rsid w:val="00B138B6"/>
    <w:rsid w:val="00B13CE2"/>
    <w:rsid w:val="00B1400A"/>
    <w:rsid w:val="00B142BC"/>
    <w:rsid w:val="00B15399"/>
    <w:rsid w:val="00B1594F"/>
    <w:rsid w:val="00B15AE5"/>
    <w:rsid w:val="00B17747"/>
    <w:rsid w:val="00B179F9"/>
    <w:rsid w:val="00B20055"/>
    <w:rsid w:val="00B20E20"/>
    <w:rsid w:val="00B228F2"/>
    <w:rsid w:val="00B234AE"/>
    <w:rsid w:val="00B234BA"/>
    <w:rsid w:val="00B23770"/>
    <w:rsid w:val="00B23CCC"/>
    <w:rsid w:val="00B23E77"/>
    <w:rsid w:val="00B23EF3"/>
    <w:rsid w:val="00B24C0E"/>
    <w:rsid w:val="00B250B4"/>
    <w:rsid w:val="00B252BC"/>
    <w:rsid w:val="00B260B4"/>
    <w:rsid w:val="00B26289"/>
    <w:rsid w:val="00B2634F"/>
    <w:rsid w:val="00B26E64"/>
    <w:rsid w:val="00B30287"/>
    <w:rsid w:val="00B31216"/>
    <w:rsid w:val="00B315F2"/>
    <w:rsid w:val="00B316A0"/>
    <w:rsid w:val="00B331B2"/>
    <w:rsid w:val="00B33B6D"/>
    <w:rsid w:val="00B347E2"/>
    <w:rsid w:val="00B34D3C"/>
    <w:rsid w:val="00B35C57"/>
    <w:rsid w:val="00B36433"/>
    <w:rsid w:val="00B4098B"/>
    <w:rsid w:val="00B40B9A"/>
    <w:rsid w:val="00B40DB6"/>
    <w:rsid w:val="00B416B4"/>
    <w:rsid w:val="00B42FDE"/>
    <w:rsid w:val="00B43090"/>
    <w:rsid w:val="00B442AC"/>
    <w:rsid w:val="00B45187"/>
    <w:rsid w:val="00B4620D"/>
    <w:rsid w:val="00B46539"/>
    <w:rsid w:val="00B46C04"/>
    <w:rsid w:val="00B46F6E"/>
    <w:rsid w:val="00B4731B"/>
    <w:rsid w:val="00B47380"/>
    <w:rsid w:val="00B47C01"/>
    <w:rsid w:val="00B50322"/>
    <w:rsid w:val="00B507C1"/>
    <w:rsid w:val="00B51111"/>
    <w:rsid w:val="00B51A14"/>
    <w:rsid w:val="00B51B63"/>
    <w:rsid w:val="00B52077"/>
    <w:rsid w:val="00B52A08"/>
    <w:rsid w:val="00B52B1A"/>
    <w:rsid w:val="00B52E48"/>
    <w:rsid w:val="00B54B4E"/>
    <w:rsid w:val="00B54FC8"/>
    <w:rsid w:val="00B54FF9"/>
    <w:rsid w:val="00B55857"/>
    <w:rsid w:val="00B55EE5"/>
    <w:rsid w:val="00B57A95"/>
    <w:rsid w:val="00B57F3B"/>
    <w:rsid w:val="00B60158"/>
    <w:rsid w:val="00B602BF"/>
    <w:rsid w:val="00B606A8"/>
    <w:rsid w:val="00B61980"/>
    <w:rsid w:val="00B61DF2"/>
    <w:rsid w:val="00B63111"/>
    <w:rsid w:val="00B633EA"/>
    <w:rsid w:val="00B63514"/>
    <w:rsid w:val="00B648E2"/>
    <w:rsid w:val="00B64D07"/>
    <w:rsid w:val="00B653E5"/>
    <w:rsid w:val="00B660B9"/>
    <w:rsid w:val="00B66EB5"/>
    <w:rsid w:val="00B673CF"/>
    <w:rsid w:val="00B722B2"/>
    <w:rsid w:val="00B74276"/>
    <w:rsid w:val="00B75C02"/>
    <w:rsid w:val="00B75D99"/>
    <w:rsid w:val="00B7606A"/>
    <w:rsid w:val="00B76B2D"/>
    <w:rsid w:val="00B77B23"/>
    <w:rsid w:val="00B81F52"/>
    <w:rsid w:val="00B821AF"/>
    <w:rsid w:val="00B83646"/>
    <w:rsid w:val="00B8460B"/>
    <w:rsid w:val="00B855C7"/>
    <w:rsid w:val="00B85642"/>
    <w:rsid w:val="00B85649"/>
    <w:rsid w:val="00B85928"/>
    <w:rsid w:val="00B85A67"/>
    <w:rsid w:val="00B861D6"/>
    <w:rsid w:val="00B86303"/>
    <w:rsid w:val="00B86B40"/>
    <w:rsid w:val="00B90B93"/>
    <w:rsid w:val="00B90D20"/>
    <w:rsid w:val="00B90F49"/>
    <w:rsid w:val="00B91116"/>
    <w:rsid w:val="00B92399"/>
    <w:rsid w:val="00B92B0C"/>
    <w:rsid w:val="00B9480F"/>
    <w:rsid w:val="00B94E9E"/>
    <w:rsid w:val="00B95382"/>
    <w:rsid w:val="00B96A41"/>
    <w:rsid w:val="00B97676"/>
    <w:rsid w:val="00B97AD4"/>
    <w:rsid w:val="00BA1173"/>
    <w:rsid w:val="00BA1ECC"/>
    <w:rsid w:val="00BA37BF"/>
    <w:rsid w:val="00BA3C1E"/>
    <w:rsid w:val="00BA3F77"/>
    <w:rsid w:val="00BA4CAD"/>
    <w:rsid w:val="00BA5846"/>
    <w:rsid w:val="00BA6322"/>
    <w:rsid w:val="00BA6384"/>
    <w:rsid w:val="00BA6D0D"/>
    <w:rsid w:val="00BA6F95"/>
    <w:rsid w:val="00BA70E2"/>
    <w:rsid w:val="00BA7839"/>
    <w:rsid w:val="00BA7A5E"/>
    <w:rsid w:val="00BA7C3F"/>
    <w:rsid w:val="00BA7FA4"/>
    <w:rsid w:val="00BB02A5"/>
    <w:rsid w:val="00BB0CCA"/>
    <w:rsid w:val="00BB145B"/>
    <w:rsid w:val="00BB18D0"/>
    <w:rsid w:val="00BB1BF5"/>
    <w:rsid w:val="00BB3059"/>
    <w:rsid w:val="00BB3B41"/>
    <w:rsid w:val="00BB3F28"/>
    <w:rsid w:val="00BB41DE"/>
    <w:rsid w:val="00BB51D5"/>
    <w:rsid w:val="00BB5FA9"/>
    <w:rsid w:val="00BB62E3"/>
    <w:rsid w:val="00BB7084"/>
    <w:rsid w:val="00BB757D"/>
    <w:rsid w:val="00BB7E75"/>
    <w:rsid w:val="00BB7FC7"/>
    <w:rsid w:val="00BC0D63"/>
    <w:rsid w:val="00BC14DB"/>
    <w:rsid w:val="00BC1CB4"/>
    <w:rsid w:val="00BC1F1C"/>
    <w:rsid w:val="00BC202C"/>
    <w:rsid w:val="00BC43B4"/>
    <w:rsid w:val="00BC4910"/>
    <w:rsid w:val="00BC4FBB"/>
    <w:rsid w:val="00BC5010"/>
    <w:rsid w:val="00BC5543"/>
    <w:rsid w:val="00BC5EA3"/>
    <w:rsid w:val="00BC6622"/>
    <w:rsid w:val="00BD0B4E"/>
    <w:rsid w:val="00BD0DFB"/>
    <w:rsid w:val="00BD0E9E"/>
    <w:rsid w:val="00BD1865"/>
    <w:rsid w:val="00BD1AA4"/>
    <w:rsid w:val="00BD1B69"/>
    <w:rsid w:val="00BD1CBC"/>
    <w:rsid w:val="00BD1F6F"/>
    <w:rsid w:val="00BD217B"/>
    <w:rsid w:val="00BD2435"/>
    <w:rsid w:val="00BD2C46"/>
    <w:rsid w:val="00BD305F"/>
    <w:rsid w:val="00BD3311"/>
    <w:rsid w:val="00BD3899"/>
    <w:rsid w:val="00BD4EC2"/>
    <w:rsid w:val="00BD50F7"/>
    <w:rsid w:val="00BD7D7A"/>
    <w:rsid w:val="00BD7F74"/>
    <w:rsid w:val="00BE0337"/>
    <w:rsid w:val="00BE162D"/>
    <w:rsid w:val="00BE2199"/>
    <w:rsid w:val="00BE2A2D"/>
    <w:rsid w:val="00BE3307"/>
    <w:rsid w:val="00BE3BB6"/>
    <w:rsid w:val="00BE52A6"/>
    <w:rsid w:val="00BE70EF"/>
    <w:rsid w:val="00BF08F7"/>
    <w:rsid w:val="00BF1108"/>
    <w:rsid w:val="00BF155F"/>
    <w:rsid w:val="00BF2C0E"/>
    <w:rsid w:val="00BF32CE"/>
    <w:rsid w:val="00BF3EB3"/>
    <w:rsid w:val="00BF4961"/>
    <w:rsid w:val="00BF4E52"/>
    <w:rsid w:val="00BF5E3F"/>
    <w:rsid w:val="00BF6033"/>
    <w:rsid w:val="00BF771B"/>
    <w:rsid w:val="00BF7ABE"/>
    <w:rsid w:val="00C0004C"/>
    <w:rsid w:val="00C010CB"/>
    <w:rsid w:val="00C017AC"/>
    <w:rsid w:val="00C01A65"/>
    <w:rsid w:val="00C01CAC"/>
    <w:rsid w:val="00C01E9E"/>
    <w:rsid w:val="00C03D5F"/>
    <w:rsid w:val="00C04422"/>
    <w:rsid w:val="00C046ED"/>
    <w:rsid w:val="00C05A7E"/>
    <w:rsid w:val="00C06AB5"/>
    <w:rsid w:val="00C06F95"/>
    <w:rsid w:val="00C07620"/>
    <w:rsid w:val="00C0771B"/>
    <w:rsid w:val="00C07928"/>
    <w:rsid w:val="00C107BC"/>
    <w:rsid w:val="00C109D3"/>
    <w:rsid w:val="00C10A43"/>
    <w:rsid w:val="00C10A69"/>
    <w:rsid w:val="00C10BA1"/>
    <w:rsid w:val="00C11053"/>
    <w:rsid w:val="00C1387B"/>
    <w:rsid w:val="00C14402"/>
    <w:rsid w:val="00C15DAC"/>
    <w:rsid w:val="00C1669E"/>
    <w:rsid w:val="00C1691A"/>
    <w:rsid w:val="00C1717A"/>
    <w:rsid w:val="00C1720A"/>
    <w:rsid w:val="00C174C1"/>
    <w:rsid w:val="00C1781F"/>
    <w:rsid w:val="00C17B4C"/>
    <w:rsid w:val="00C17CEA"/>
    <w:rsid w:val="00C20FF4"/>
    <w:rsid w:val="00C2137F"/>
    <w:rsid w:val="00C21466"/>
    <w:rsid w:val="00C214CB"/>
    <w:rsid w:val="00C230D9"/>
    <w:rsid w:val="00C23346"/>
    <w:rsid w:val="00C2355E"/>
    <w:rsid w:val="00C23632"/>
    <w:rsid w:val="00C23B9F"/>
    <w:rsid w:val="00C25709"/>
    <w:rsid w:val="00C25A7C"/>
    <w:rsid w:val="00C25C88"/>
    <w:rsid w:val="00C25DAC"/>
    <w:rsid w:val="00C2622C"/>
    <w:rsid w:val="00C2642A"/>
    <w:rsid w:val="00C27859"/>
    <w:rsid w:val="00C27FD1"/>
    <w:rsid w:val="00C30088"/>
    <w:rsid w:val="00C302B8"/>
    <w:rsid w:val="00C303C9"/>
    <w:rsid w:val="00C313F6"/>
    <w:rsid w:val="00C31730"/>
    <w:rsid w:val="00C323C3"/>
    <w:rsid w:val="00C350B9"/>
    <w:rsid w:val="00C35D1C"/>
    <w:rsid w:val="00C36287"/>
    <w:rsid w:val="00C362F2"/>
    <w:rsid w:val="00C40EE7"/>
    <w:rsid w:val="00C41617"/>
    <w:rsid w:val="00C41C9C"/>
    <w:rsid w:val="00C42008"/>
    <w:rsid w:val="00C4201A"/>
    <w:rsid w:val="00C431A6"/>
    <w:rsid w:val="00C4408B"/>
    <w:rsid w:val="00C45408"/>
    <w:rsid w:val="00C47141"/>
    <w:rsid w:val="00C479DF"/>
    <w:rsid w:val="00C50121"/>
    <w:rsid w:val="00C510CE"/>
    <w:rsid w:val="00C51579"/>
    <w:rsid w:val="00C54331"/>
    <w:rsid w:val="00C546A3"/>
    <w:rsid w:val="00C54A95"/>
    <w:rsid w:val="00C55064"/>
    <w:rsid w:val="00C552CA"/>
    <w:rsid w:val="00C55DAB"/>
    <w:rsid w:val="00C572D5"/>
    <w:rsid w:val="00C57E6B"/>
    <w:rsid w:val="00C6039C"/>
    <w:rsid w:val="00C60C51"/>
    <w:rsid w:val="00C61599"/>
    <w:rsid w:val="00C61DB7"/>
    <w:rsid w:val="00C62AC3"/>
    <w:rsid w:val="00C631F7"/>
    <w:rsid w:val="00C634A4"/>
    <w:rsid w:val="00C636AA"/>
    <w:rsid w:val="00C64B91"/>
    <w:rsid w:val="00C655AB"/>
    <w:rsid w:val="00C66C89"/>
    <w:rsid w:val="00C673AB"/>
    <w:rsid w:val="00C6752C"/>
    <w:rsid w:val="00C6759C"/>
    <w:rsid w:val="00C67769"/>
    <w:rsid w:val="00C678D4"/>
    <w:rsid w:val="00C67BB1"/>
    <w:rsid w:val="00C702CD"/>
    <w:rsid w:val="00C714E1"/>
    <w:rsid w:val="00C717BD"/>
    <w:rsid w:val="00C71F19"/>
    <w:rsid w:val="00C73020"/>
    <w:rsid w:val="00C7578D"/>
    <w:rsid w:val="00C761F8"/>
    <w:rsid w:val="00C764B2"/>
    <w:rsid w:val="00C77C16"/>
    <w:rsid w:val="00C80237"/>
    <w:rsid w:val="00C8175F"/>
    <w:rsid w:val="00C817DF"/>
    <w:rsid w:val="00C819E1"/>
    <w:rsid w:val="00C81C35"/>
    <w:rsid w:val="00C8269A"/>
    <w:rsid w:val="00C83077"/>
    <w:rsid w:val="00C8315E"/>
    <w:rsid w:val="00C8363E"/>
    <w:rsid w:val="00C83A97"/>
    <w:rsid w:val="00C83ADA"/>
    <w:rsid w:val="00C8455C"/>
    <w:rsid w:val="00C84DC2"/>
    <w:rsid w:val="00C862DB"/>
    <w:rsid w:val="00C865CE"/>
    <w:rsid w:val="00C86CEA"/>
    <w:rsid w:val="00C902AB"/>
    <w:rsid w:val="00C9095C"/>
    <w:rsid w:val="00C912BE"/>
    <w:rsid w:val="00C91A18"/>
    <w:rsid w:val="00C91D66"/>
    <w:rsid w:val="00C92BEA"/>
    <w:rsid w:val="00C931EB"/>
    <w:rsid w:val="00C933C8"/>
    <w:rsid w:val="00C954AC"/>
    <w:rsid w:val="00C97A72"/>
    <w:rsid w:val="00CA054F"/>
    <w:rsid w:val="00CA08CA"/>
    <w:rsid w:val="00CA1472"/>
    <w:rsid w:val="00CA1606"/>
    <w:rsid w:val="00CA161B"/>
    <w:rsid w:val="00CA1628"/>
    <w:rsid w:val="00CA263E"/>
    <w:rsid w:val="00CA2663"/>
    <w:rsid w:val="00CA270D"/>
    <w:rsid w:val="00CA2C25"/>
    <w:rsid w:val="00CA34D7"/>
    <w:rsid w:val="00CA3AC0"/>
    <w:rsid w:val="00CA42F1"/>
    <w:rsid w:val="00CA4AD9"/>
    <w:rsid w:val="00CA504C"/>
    <w:rsid w:val="00CA642B"/>
    <w:rsid w:val="00CA7A9F"/>
    <w:rsid w:val="00CA7B6F"/>
    <w:rsid w:val="00CA7F3D"/>
    <w:rsid w:val="00CB02E0"/>
    <w:rsid w:val="00CB0941"/>
    <w:rsid w:val="00CB0AB7"/>
    <w:rsid w:val="00CB12D1"/>
    <w:rsid w:val="00CB187D"/>
    <w:rsid w:val="00CB19B3"/>
    <w:rsid w:val="00CB1E26"/>
    <w:rsid w:val="00CB2011"/>
    <w:rsid w:val="00CB27EE"/>
    <w:rsid w:val="00CB2F7C"/>
    <w:rsid w:val="00CB40C9"/>
    <w:rsid w:val="00CB468C"/>
    <w:rsid w:val="00CB592C"/>
    <w:rsid w:val="00CB5B7A"/>
    <w:rsid w:val="00CB643D"/>
    <w:rsid w:val="00CB64C6"/>
    <w:rsid w:val="00CB7563"/>
    <w:rsid w:val="00CC12DA"/>
    <w:rsid w:val="00CC1B91"/>
    <w:rsid w:val="00CC1C79"/>
    <w:rsid w:val="00CC2BF3"/>
    <w:rsid w:val="00CC30F0"/>
    <w:rsid w:val="00CC32F3"/>
    <w:rsid w:val="00CC3429"/>
    <w:rsid w:val="00CC5B0E"/>
    <w:rsid w:val="00CC6600"/>
    <w:rsid w:val="00CC7788"/>
    <w:rsid w:val="00CD00BA"/>
    <w:rsid w:val="00CD1784"/>
    <w:rsid w:val="00CD1AAF"/>
    <w:rsid w:val="00CD20E7"/>
    <w:rsid w:val="00CD3D63"/>
    <w:rsid w:val="00CD5BA6"/>
    <w:rsid w:val="00CD6333"/>
    <w:rsid w:val="00CD67A5"/>
    <w:rsid w:val="00CD7571"/>
    <w:rsid w:val="00CE0456"/>
    <w:rsid w:val="00CE054C"/>
    <w:rsid w:val="00CE0A9C"/>
    <w:rsid w:val="00CE0FC3"/>
    <w:rsid w:val="00CE13F7"/>
    <w:rsid w:val="00CE24F8"/>
    <w:rsid w:val="00CE2D53"/>
    <w:rsid w:val="00CE410B"/>
    <w:rsid w:val="00CE468C"/>
    <w:rsid w:val="00CE46B4"/>
    <w:rsid w:val="00CE48CE"/>
    <w:rsid w:val="00CE4A14"/>
    <w:rsid w:val="00CE52D0"/>
    <w:rsid w:val="00CE7DDC"/>
    <w:rsid w:val="00CF11A2"/>
    <w:rsid w:val="00CF13F0"/>
    <w:rsid w:val="00CF153E"/>
    <w:rsid w:val="00CF177F"/>
    <w:rsid w:val="00CF250F"/>
    <w:rsid w:val="00CF4188"/>
    <w:rsid w:val="00CF4AF2"/>
    <w:rsid w:val="00CF4C19"/>
    <w:rsid w:val="00CF6D08"/>
    <w:rsid w:val="00CF7028"/>
    <w:rsid w:val="00CF7394"/>
    <w:rsid w:val="00CF7F97"/>
    <w:rsid w:val="00D017CF"/>
    <w:rsid w:val="00D01C86"/>
    <w:rsid w:val="00D02530"/>
    <w:rsid w:val="00D0284E"/>
    <w:rsid w:val="00D02CC6"/>
    <w:rsid w:val="00D0303B"/>
    <w:rsid w:val="00D0316B"/>
    <w:rsid w:val="00D03252"/>
    <w:rsid w:val="00D033BC"/>
    <w:rsid w:val="00D035AD"/>
    <w:rsid w:val="00D04382"/>
    <w:rsid w:val="00D059C8"/>
    <w:rsid w:val="00D05ED7"/>
    <w:rsid w:val="00D0768C"/>
    <w:rsid w:val="00D07AA4"/>
    <w:rsid w:val="00D105CA"/>
    <w:rsid w:val="00D106BA"/>
    <w:rsid w:val="00D10D67"/>
    <w:rsid w:val="00D11627"/>
    <w:rsid w:val="00D116BA"/>
    <w:rsid w:val="00D119FB"/>
    <w:rsid w:val="00D11C95"/>
    <w:rsid w:val="00D1246D"/>
    <w:rsid w:val="00D1298A"/>
    <w:rsid w:val="00D12D82"/>
    <w:rsid w:val="00D12FC1"/>
    <w:rsid w:val="00D132F2"/>
    <w:rsid w:val="00D16A30"/>
    <w:rsid w:val="00D1728B"/>
    <w:rsid w:val="00D20532"/>
    <w:rsid w:val="00D20568"/>
    <w:rsid w:val="00D21649"/>
    <w:rsid w:val="00D21ECB"/>
    <w:rsid w:val="00D229A8"/>
    <w:rsid w:val="00D230FD"/>
    <w:rsid w:val="00D23541"/>
    <w:rsid w:val="00D2369D"/>
    <w:rsid w:val="00D23888"/>
    <w:rsid w:val="00D23DEF"/>
    <w:rsid w:val="00D241F5"/>
    <w:rsid w:val="00D24BFA"/>
    <w:rsid w:val="00D24D30"/>
    <w:rsid w:val="00D2585B"/>
    <w:rsid w:val="00D25A5D"/>
    <w:rsid w:val="00D271E6"/>
    <w:rsid w:val="00D2732B"/>
    <w:rsid w:val="00D273EC"/>
    <w:rsid w:val="00D30156"/>
    <w:rsid w:val="00D32269"/>
    <w:rsid w:val="00D32B9C"/>
    <w:rsid w:val="00D338E6"/>
    <w:rsid w:val="00D33A3A"/>
    <w:rsid w:val="00D34E2A"/>
    <w:rsid w:val="00D3516E"/>
    <w:rsid w:val="00D35333"/>
    <w:rsid w:val="00D35430"/>
    <w:rsid w:val="00D35CDF"/>
    <w:rsid w:val="00D3684B"/>
    <w:rsid w:val="00D37168"/>
    <w:rsid w:val="00D37928"/>
    <w:rsid w:val="00D4017C"/>
    <w:rsid w:val="00D41B94"/>
    <w:rsid w:val="00D42B38"/>
    <w:rsid w:val="00D439D9"/>
    <w:rsid w:val="00D44AF7"/>
    <w:rsid w:val="00D44EB1"/>
    <w:rsid w:val="00D454DD"/>
    <w:rsid w:val="00D45E0F"/>
    <w:rsid w:val="00D46277"/>
    <w:rsid w:val="00D463E0"/>
    <w:rsid w:val="00D46533"/>
    <w:rsid w:val="00D4720C"/>
    <w:rsid w:val="00D50008"/>
    <w:rsid w:val="00D50662"/>
    <w:rsid w:val="00D50FC9"/>
    <w:rsid w:val="00D511D3"/>
    <w:rsid w:val="00D530BA"/>
    <w:rsid w:val="00D537EC"/>
    <w:rsid w:val="00D53A65"/>
    <w:rsid w:val="00D547D3"/>
    <w:rsid w:val="00D54A97"/>
    <w:rsid w:val="00D55576"/>
    <w:rsid w:val="00D56470"/>
    <w:rsid w:val="00D56728"/>
    <w:rsid w:val="00D56BCC"/>
    <w:rsid w:val="00D57255"/>
    <w:rsid w:val="00D57397"/>
    <w:rsid w:val="00D57789"/>
    <w:rsid w:val="00D577CB"/>
    <w:rsid w:val="00D616A3"/>
    <w:rsid w:val="00D61973"/>
    <w:rsid w:val="00D61E1B"/>
    <w:rsid w:val="00D627A8"/>
    <w:rsid w:val="00D637B4"/>
    <w:rsid w:val="00D63E16"/>
    <w:rsid w:val="00D64CBF"/>
    <w:rsid w:val="00D64D6E"/>
    <w:rsid w:val="00D6540B"/>
    <w:rsid w:val="00D6681B"/>
    <w:rsid w:val="00D669C0"/>
    <w:rsid w:val="00D673A4"/>
    <w:rsid w:val="00D7005F"/>
    <w:rsid w:val="00D70F4A"/>
    <w:rsid w:val="00D71E12"/>
    <w:rsid w:val="00D72A91"/>
    <w:rsid w:val="00D72F8E"/>
    <w:rsid w:val="00D739F7"/>
    <w:rsid w:val="00D73A6C"/>
    <w:rsid w:val="00D74598"/>
    <w:rsid w:val="00D7460E"/>
    <w:rsid w:val="00D74DFB"/>
    <w:rsid w:val="00D74EDB"/>
    <w:rsid w:val="00D75093"/>
    <w:rsid w:val="00D76C8D"/>
    <w:rsid w:val="00D76D56"/>
    <w:rsid w:val="00D801E7"/>
    <w:rsid w:val="00D802DF"/>
    <w:rsid w:val="00D8032D"/>
    <w:rsid w:val="00D81314"/>
    <w:rsid w:val="00D81D1A"/>
    <w:rsid w:val="00D821E2"/>
    <w:rsid w:val="00D82317"/>
    <w:rsid w:val="00D82520"/>
    <w:rsid w:val="00D82D5C"/>
    <w:rsid w:val="00D834F9"/>
    <w:rsid w:val="00D83ACB"/>
    <w:rsid w:val="00D83DCB"/>
    <w:rsid w:val="00D83F43"/>
    <w:rsid w:val="00D84371"/>
    <w:rsid w:val="00D84768"/>
    <w:rsid w:val="00D84A00"/>
    <w:rsid w:val="00D84DBD"/>
    <w:rsid w:val="00D84E24"/>
    <w:rsid w:val="00D8678F"/>
    <w:rsid w:val="00D86B58"/>
    <w:rsid w:val="00D86BBA"/>
    <w:rsid w:val="00D87092"/>
    <w:rsid w:val="00D91878"/>
    <w:rsid w:val="00D923F9"/>
    <w:rsid w:val="00D927B8"/>
    <w:rsid w:val="00D931A7"/>
    <w:rsid w:val="00D933BC"/>
    <w:rsid w:val="00D93762"/>
    <w:rsid w:val="00D93E71"/>
    <w:rsid w:val="00D94269"/>
    <w:rsid w:val="00D94CB3"/>
    <w:rsid w:val="00D95F6A"/>
    <w:rsid w:val="00D962CF"/>
    <w:rsid w:val="00D96A86"/>
    <w:rsid w:val="00DA0DD0"/>
    <w:rsid w:val="00DA0F9A"/>
    <w:rsid w:val="00DA299E"/>
    <w:rsid w:val="00DA3991"/>
    <w:rsid w:val="00DA5310"/>
    <w:rsid w:val="00DA55AF"/>
    <w:rsid w:val="00DA5C1A"/>
    <w:rsid w:val="00DA60DF"/>
    <w:rsid w:val="00DA7F89"/>
    <w:rsid w:val="00DB007A"/>
    <w:rsid w:val="00DB080C"/>
    <w:rsid w:val="00DB10A5"/>
    <w:rsid w:val="00DB3046"/>
    <w:rsid w:val="00DB30B6"/>
    <w:rsid w:val="00DB3405"/>
    <w:rsid w:val="00DB3901"/>
    <w:rsid w:val="00DB3BC5"/>
    <w:rsid w:val="00DB3EF2"/>
    <w:rsid w:val="00DB461E"/>
    <w:rsid w:val="00DB7060"/>
    <w:rsid w:val="00DB76C4"/>
    <w:rsid w:val="00DB7F7B"/>
    <w:rsid w:val="00DC11D4"/>
    <w:rsid w:val="00DC1927"/>
    <w:rsid w:val="00DC1D67"/>
    <w:rsid w:val="00DC24D2"/>
    <w:rsid w:val="00DC24F2"/>
    <w:rsid w:val="00DC2F43"/>
    <w:rsid w:val="00DC4241"/>
    <w:rsid w:val="00DC46B3"/>
    <w:rsid w:val="00DC47C0"/>
    <w:rsid w:val="00DC4950"/>
    <w:rsid w:val="00DC525B"/>
    <w:rsid w:val="00DC56C2"/>
    <w:rsid w:val="00DC5953"/>
    <w:rsid w:val="00DC5C14"/>
    <w:rsid w:val="00DC63C1"/>
    <w:rsid w:val="00DC653D"/>
    <w:rsid w:val="00DD0B80"/>
    <w:rsid w:val="00DD12A9"/>
    <w:rsid w:val="00DD3430"/>
    <w:rsid w:val="00DD3851"/>
    <w:rsid w:val="00DD3D3C"/>
    <w:rsid w:val="00DD3F10"/>
    <w:rsid w:val="00DD4B6C"/>
    <w:rsid w:val="00DD50C0"/>
    <w:rsid w:val="00DD5251"/>
    <w:rsid w:val="00DD5439"/>
    <w:rsid w:val="00DD59E9"/>
    <w:rsid w:val="00DD708A"/>
    <w:rsid w:val="00DD7178"/>
    <w:rsid w:val="00DD769B"/>
    <w:rsid w:val="00DE0B89"/>
    <w:rsid w:val="00DE0E3A"/>
    <w:rsid w:val="00DE102A"/>
    <w:rsid w:val="00DE26C4"/>
    <w:rsid w:val="00DE26FF"/>
    <w:rsid w:val="00DE2AD1"/>
    <w:rsid w:val="00DE30F4"/>
    <w:rsid w:val="00DE3C40"/>
    <w:rsid w:val="00DE4064"/>
    <w:rsid w:val="00DE4B0E"/>
    <w:rsid w:val="00DE55CC"/>
    <w:rsid w:val="00DE5C81"/>
    <w:rsid w:val="00DE79BB"/>
    <w:rsid w:val="00DE7B47"/>
    <w:rsid w:val="00DF1320"/>
    <w:rsid w:val="00DF1607"/>
    <w:rsid w:val="00DF17E3"/>
    <w:rsid w:val="00DF1EA7"/>
    <w:rsid w:val="00DF2356"/>
    <w:rsid w:val="00DF29C6"/>
    <w:rsid w:val="00DF3870"/>
    <w:rsid w:val="00DF431C"/>
    <w:rsid w:val="00DF4628"/>
    <w:rsid w:val="00DF5126"/>
    <w:rsid w:val="00DF539A"/>
    <w:rsid w:val="00DF5F64"/>
    <w:rsid w:val="00DF6050"/>
    <w:rsid w:val="00DF6AAB"/>
    <w:rsid w:val="00DF7424"/>
    <w:rsid w:val="00DF74D8"/>
    <w:rsid w:val="00DF7671"/>
    <w:rsid w:val="00E00B1E"/>
    <w:rsid w:val="00E01699"/>
    <w:rsid w:val="00E01CD6"/>
    <w:rsid w:val="00E01E56"/>
    <w:rsid w:val="00E0234F"/>
    <w:rsid w:val="00E037EF"/>
    <w:rsid w:val="00E03981"/>
    <w:rsid w:val="00E04AF6"/>
    <w:rsid w:val="00E04D7E"/>
    <w:rsid w:val="00E059C8"/>
    <w:rsid w:val="00E064AE"/>
    <w:rsid w:val="00E06787"/>
    <w:rsid w:val="00E07049"/>
    <w:rsid w:val="00E07BDA"/>
    <w:rsid w:val="00E07D28"/>
    <w:rsid w:val="00E101AF"/>
    <w:rsid w:val="00E105AC"/>
    <w:rsid w:val="00E11386"/>
    <w:rsid w:val="00E113CB"/>
    <w:rsid w:val="00E118AA"/>
    <w:rsid w:val="00E11A1F"/>
    <w:rsid w:val="00E129EF"/>
    <w:rsid w:val="00E1323D"/>
    <w:rsid w:val="00E134EA"/>
    <w:rsid w:val="00E16359"/>
    <w:rsid w:val="00E17C22"/>
    <w:rsid w:val="00E20612"/>
    <w:rsid w:val="00E20634"/>
    <w:rsid w:val="00E206CE"/>
    <w:rsid w:val="00E214D0"/>
    <w:rsid w:val="00E219B3"/>
    <w:rsid w:val="00E21E46"/>
    <w:rsid w:val="00E2234F"/>
    <w:rsid w:val="00E22491"/>
    <w:rsid w:val="00E22910"/>
    <w:rsid w:val="00E22C61"/>
    <w:rsid w:val="00E25030"/>
    <w:rsid w:val="00E25F1F"/>
    <w:rsid w:val="00E260E5"/>
    <w:rsid w:val="00E27B1C"/>
    <w:rsid w:val="00E30726"/>
    <w:rsid w:val="00E318E5"/>
    <w:rsid w:val="00E31C95"/>
    <w:rsid w:val="00E322D5"/>
    <w:rsid w:val="00E326B9"/>
    <w:rsid w:val="00E32BC6"/>
    <w:rsid w:val="00E32FCF"/>
    <w:rsid w:val="00E331D3"/>
    <w:rsid w:val="00E337E1"/>
    <w:rsid w:val="00E34464"/>
    <w:rsid w:val="00E34D0A"/>
    <w:rsid w:val="00E34D4A"/>
    <w:rsid w:val="00E352E0"/>
    <w:rsid w:val="00E35328"/>
    <w:rsid w:val="00E353D5"/>
    <w:rsid w:val="00E355BB"/>
    <w:rsid w:val="00E36E61"/>
    <w:rsid w:val="00E36FF7"/>
    <w:rsid w:val="00E37235"/>
    <w:rsid w:val="00E37269"/>
    <w:rsid w:val="00E37FAB"/>
    <w:rsid w:val="00E41710"/>
    <w:rsid w:val="00E426BD"/>
    <w:rsid w:val="00E429FF"/>
    <w:rsid w:val="00E4339E"/>
    <w:rsid w:val="00E44517"/>
    <w:rsid w:val="00E44F41"/>
    <w:rsid w:val="00E44FF7"/>
    <w:rsid w:val="00E45BB8"/>
    <w:rsid w:val="00E462D4"/>
    <w:rsid w:val="00E46862"/>
    <w:rsid w:val="00E47E28"/>
    <w:rsid w:val="00E5015D"/>
    <w:rsid w:val="00E51CBA"/>
    <w:rsid w:val="00E51F86"/>
    <w:rsid w:val="00E52155"/>
    <w:rsid w:val="00E53904"/>
    <w:rsid w:val="00E5420C"/>
    <w:rsid w:val="00E545FF"/>
    <w:rsid w:val="00E54CD1"/>
    <w:rsid w:val="00E555C4"/>
    <w:rsid w:val="00E5578D"/>
    <w:rsid w:val="00E56193"/>
    <w:rsid w:val="00E56485"/>
    <w:rsid w:val="00E57202"/>
    <w:rsid w:val="00E60914"/>
    <w:rsid w:val="00E61539"/>
    <w:rsid w:val="00E6203B"/>
    <w:rsid w:val="00E621B7"/>
    <w:rsid w:val="00E62505"/>
    <w:rsid w:val="00E62B66"/>
    <w:rsid w:val="00E642B7"/>
    <w:rsid w:val="00E64D9E"/>
    <w:rsid w:val="00E64DBC"/>
    <w:rsid w:val="00E65378"/>
    <w:rsid w:val="00E65439"/>
    <w:rsid w:val="00E65814"/>
    <w:rsid w:val="00E65F96"/>
    <w:rsid w:val="00E6626F"/>
    <w:rsid w:val="00E66736"/>
    <w:rsid w:val="00E668AD"/>
    <w:rsid w:val="00E66F97"/>
    <w:rsid w:val="00E673AE"/>
    <w:rsid w:val="00E70EC5"/>
    <w:rsid w:val="00E70F3A"/>
    <w:rsid w:val="00E71ABE"/>
    <w:rsid w:val="00E72EEB"/>
    <w:rsid w:val="00E744CE"/>
    <w:rsid w:val="00E75057"/>
    <w:rsid w:val="00E758E5"/>
    <w:rsid w:val="00E75938"/>
    <w:rsid w:val="00E75CB1"/>
    <w:rsid w:val="00E77457"/>
    <w:rsid w:val="00E77CA7"/>
    <w:rsid w:val="00E809A4"/>
    <w:rsid w:val="00E811F8"/>
    <w:rsid w:val="00E81980"/>
    <w:rsid w:val="00E82AA0"/>
    <w:rsid w:val="00E83039"/>
    <w:rsid w:val="00E83591"/>
    <w:rsid w:val="00E839CC"/>
    <w:rsid w:val="00E83BB0"/>
    <w:rsid w:val="00E83C58"/>
    <w:rsid w:val="00E8498B"/>
    <w:rsid w:val="00E84E2D"/>
    <w:rsid w:val="00E854CF"/>
    <w:rsid w:val="00E85659"/>
    <w:rsid w:val="00E85768"/>
    <w:rsid w:val="00E8584B"/>
    <w:rsid w:val="00E86397"/>
    <w:rsid w:val="00E87823"/>
    <w:rsid w:val="00E87914"/>
    <w:rsid w:val="00E903D4"/>
    <w:rsid w:val="00E9111A"/>
    <w:rsid w:val="00E915A7"/>
    <w:rsid w:val="00E92CE1"/>
    <w:rsid w:val="00E92DC7"/>
    <w:rsid w:val="00E937A2"/>
    <w:rsid w:val="00E93A69"/>
    <w:rsid w:val="00E945B9"/>
    <w:rsid w:val="00E94C5E"/>
    <w:rsid w:val="00E94E22"/>
    <w:rsid w:val="00E95A46"/>
    <w:rsid w:val="00E95D1C"/>
    <w:rsid w:val="00E95F2D"/>
    <w:rsid w:val="00E961AE"/>
    <w:rsid w:val="00E961F0"/>
    <w:rsid w:val="00E96CAC"/>
    <w:rsid w:val="00E97087"/>
    <w:rsid w:val="00EA0324"/>
    <w:rsid w:val="00EA05E5"/>
    <w:rsid w:val="00EA0C08"/>
    <w:rsid w:val="00EA183A"/>
    <w:rsid w:val="00EA1981"/>
    <w:rsid w:val="00EA1FEE"/>
    <w:rsid w:val="00EA22F7"/>
    <w:rsid w:val="00EA2BB0"/>
    <w:rsid w:val="00EA2CCD"/>
    <w:rsid w:val="00EA3458"/>
    <w:rsid w:val="00EA39EA"/>
    <w:rsid w:val="00EA3D4F"/>
    <w:rsid w:val="00EA41BC"/>
    <w:rsid w:val="00EA434D"/>
    <w:rsid w:val="00EA49B2"/>
    <w:rsid w:val="00EA526A"/>
    <w:rsid w:val="00EA564E"/>
    <w:rsid w:val="00EA5F10"/>
    <w:rsid w:val="00EA5F51"/>
    <w:rsid w:val="00EA640F"/>
    <w:rsid w:val="00EA6A1F"/>
    <w:rsid w:val="00EA6A32"/>
    <w:rsid w:val="00EA6F68"/>
    <w:rsid w:val="00EA7E48"/>
    <w:rsid w:val="00EB026B"/>
    <w:rsid w:val="00EB09EE"/>
    <w:rsid w:val="00EB13FE"/>
    <w:rsid w:val="00EB21BE"/>
    <w:rsid w:val="00EB21E0"/>
    <w:rsid w:val="00EB25CD"/>
    <w:rsid w:val="00EB2667"/>
    <w:rsid w:val="00EB283A"/>
    <w:rsid w:val="00EB2B83"/>
    <w:rsid w:val="00EB3FE9"/>
    <w:rsid w:val="00EB4422"/>
    <w:rsid w:val="00EB4996"/>
    <w:rsid w:val="00EB5095"/>
    <w:rsid w:val="00EB5FDA"/>
    <w:rsid w:val="00EB6194"/>
    <w:rsid w:val="00EB6D9B"/>
    <w:rsid w:val="00EB7597"/>
    <w:rsid w:val="00EB7B97"/>
    <w:rsid w:val="00EB7DDF"/>
    <w:rsid w:val="00EC05BB"/>
    <w:rsid w:val="00EC08B3"/>
    <w:rsid w:val="00EC0A68"/>
    <w:rsid w:val="00EC12F2"/>
    <w:rsid w:val="00EC12F3"/>
    <w:rsid w:val="00EC2147"/>
    <w:rsid w:val="00EC2275"/>
    <w:rsid w:val="00EC22A5"/>
    <w:rsid w:val="00EC2986"/>
    <w:rsid w:val="00EC2A95"/>
    <w:rsid w:val="00EC4023"/>
    <w:rsid w:val="00EC4242"/>
    <w:rsid w:val="00EC6C50"/>
    <w:rsid w:val="00EC6DCD"/>
    <w:rsid w:val="00EC77BC"/>
    <w:rsid w:val="00ED0A7E"/>
    <w:rsid w:val="00ED17E7"/>
    <w:rsid w:val="00ED1D97"/>
    <w:rsid w:val="00ED20D7"/>
    <w:rsid w:val="00ED2421"/>
    <w:rsid w:val="00ED56AE"/>
    <w:rsid w:val="00ED5955"/>
    <w:rsid w:val="00ED72F9"/>
    <w:rsid w:val="00ED7437"/>
    <w:rsid w:val="00ED7681"/>
    <w:rsid w:val="00ED76A2"/>
    <w:rsid w:val="00EE042D"/>
    <w:rsid w:val="00EE04EE"/>
    <w:rsid w:val="00EE06E1"/>
    <w:rsid w:val="00EE14A3"/>
    <w:rsid w:val="00EE1A54"/>
    <w:rsid w:val="00EE2E7F"/>
    <w:rsid w:val="00EE3C02"/>
    <w:rsid w:val="00EE49F3"/>
    <w:rsid w:val="00EE60B4"/>
    <w:rsid w:val="00EE642A"/>
    <w:rsid w:val="00EE6467"/>
    <w:rsid w:val="00EE69BE"/>
    <w:rsid w:val="00EE69F8"/>
    <w:rsid w:val="00EE751C"/>
    <w:rsid w:val="00EF0165"/>
    <w:rsid w:val="00EF03C5"/>
    <w:rsid w:val="00EF112E"/>
    <w:rsid w:val="00EF2084"/>
    <w:rsid w:val="00EF2B11"/>
    <w:rsid w:val="00EF2B9C"/>
    <w:rsid w:val="00EF3830"/>
    <w:rsid w:val="00EF581A"/>
    <w:rsid w:val="00EF6B66"/>
    <w:rsid w:val="00EF6DA9"/>
    <w:rsid w:val="00EF6E77"/>
    <w:rsid w:val="00EF7332"/>
    <w:rsid w:val="00EF7649"/>
    <w:rsid w:val="00F00321"/>
    <w:rsid w:val="00F0070A"/>
    <w:rsid w:val="00F00CB3"/>
    <w:rsid w:val="00F00D5A"/>
    <w:rsid w:val="00F01783"/>
    <w:rsid w:val="00F02E34"/>
    <w:rsid w:val="00F031F8"/>
    <w:rsid w:val="00F03879"/>
    <w:rsid w:val="00F03E10"/>
    <w:rsid w:val="00F0456A"/>
    <w:rsid w:val="00F0475C"/>
    <w:rsid w:val="00F04859"/>
    <w:rsid w:val="00F05C7A"/>
    <w:rsid w:val="00F06DD8"/>
    <w:rsid w:val="00F06E2F"/>
    <w:rsid w:val="00F078EB"/>
    <w:rsid w:val="00F1006C"/>
    <w:rsid w:val="00F12B3F"/>
    <w:rsid w:val="00F13190"/>
    <w:rsid w:val="00F14661"/>
    <w:rsid w:val="00F14C14"/>
    <w:rsid w:val="00F15625"/>
    <w:rsid w:val="00F16708"/>
    <w:rsid w:val="00F16C8F"/>
    <w:rsid w:val="00F172A9"/>
    <w:rsid w:val="00F17A47"/>
    <w:rsid w:val="00F17F5B"/>
    <w:rsid w:val="00F20508"/>
    <w:rsid w:val="00F20B5F"/>
    <w:rsid w:val="00F20FC7"/>
    <w:rsid w:val="00F23C70"/>
    <w:rsid w:val="00F23D51"/>
    <w:rsid w:val="00F23E5D"/>
    <w:rsid w:val="00F24078"/>
    <w:rsid w:val="00F248BD"/>
    <w:rsid w:val="00F258BC"/>
    <w:rsid w:val="00F26635"/>
    <w:rsid w:val="00F26C35"/>
    <w:rsid w:val="00F26FD9"/>
    <w:rsid w:val="00F27238"/>
    <w:rsid w:val="00F27628"/>
    <w:rsid w:val="00F2774D"/>
    <w:rsid w:val="00F31FA3"/>
    <w:rsid w:val="00F320C2"/>
    <w:rsid w:val="00F3394F"/>
    <w:rsid w:val="00F33E7D"/>
    <w:rsid w:val="00F34253"/>
    <w:rsid w:val="00F34739"/>
    <w:rsid w:val="00F34B40"/>
    <w:rsid w:val="00F35110"/>
    <w:rsid w:val="00F359C3"/>
    <w:rsid w:val="00F36B11"/>
    <w:rsid w:val="00F376FD"/>
    <w:rsid w:val="00F37722"/>
    <w:rsid w:val="00F408B0"/>
    <w:rsid w:val="00F408BF"/>
    <w:rsid w:val="00F41E6E"/>
    <w:rsid w:val="00F41EC1"/>
    <w:rsid w:val="00F41F18"/>
    <w:rsid w:val="00F41FAE"/>
    <w:rsid w:val="00F42EEF"/>
    <w:rsid w:val="00F43049"/>
    <w:rsid w:val="00F4325E"/>
    <w:rsid w:val="00F45D90"/>
    <w:rsid w:val="00F47A01"/>
    <w:rsid w:val="00F50308"/>
    <w:rsid w:val="00F50983"/>
    <w:rsid w:val="00F5137A"/>
    <w:rsid w:val="00F5239B"/>
    <w:rsid w:val="00F5250A"/>
    <w:rsid w:val="00F5291B"/>
    <w:rsid w:val="00F53629"/>
    <w:rsid w:val="00F5417A"/>
    <w:rsid w:val="00F5489E"/>
    <w:rsid w:val="00F553C3"/>
    <w:rsid w:val="00F56E9F"/>
    <w:rsid w:val="00F5727C"/>
    <w:rsid w:val="00F575FB"/>
    <w:rsid w:val="00F57A22"/>
    <w:rsid w:val="00F57BAF"/>
    <w:rsid w:val="00F605C3"/>
    <w:rsid w:val="00F60CEA"/>
    <w:rsid w:val="00F61C67"/>
    <w:rsid w:val="00F61D1E"/>
    <w:rsid w:val="00F630A6"/>
    <w:rsid w:val="00F63852"/>
    <w:rsid w:val="00F63A38"/>
    <w:rsid w:val="00F6445C"/>
    <w:rsid w:val="00F64542"/>
    <w:rsid w:val="00F64905"/>
    <w:rsid w:val="00F649DB"/>
    <w:rsid w:val="00F64DA6"/>
    <w:rsid w:val="00F65321"/>
    <w:rsid w:val="00F65643"/>
    <w:rsid w:val="00F65AC3"/>
    <w:rsid w:val="00F6647D"/>
    <w:rsid w:val="00F666C5"/>
    <w:rsid w:val="00F66B65"/>
    <w:rsid w:val="00F6701A"/>
    <w:rsid w:val="00F67255"/>
    <w:rsid w:val="00F67A38"/>
    <w:rsid w:val="00F67F3B"/>
    <w:rsid w:val="00F70ABE"/>
    <w:rsid w:val="00F7104D"/>
    <w:rsid w:val="00F72127"/>
    <w:rsid w:val="00F7226A"/>
    <w:rsid w:val="00F728E6"/>
    <w:rsid w:val="00F73289"/>
    <w:rsid w:val="00F73DDD"/>
    <w:rsid w:val="00F748D4"/>
    <w:rsid w:val="00F76306"/>
    <w:rsid w:val="00F7670C"/>
    <w:rsid w:val="00F77A3D"/>
    <w:rsid w:val="00F80068"/>
    <w:rsid w:val="00F81A69"/>
    <w:rsid w:val="00F81F32"/>
    <w:rsid w:val="00F81F5C"/>
    <w:rsid w:val="00F820C3"/>
    <w:rsid w:val="00F8223B"/>
    <w:rsid w:val="00F83943"/>
    <w:rsid w:val="00F83DB3"/>
    <w:rsid w:val="00F83FF6"/>
    <w:rsid w:val="00F84B4A"/>
    <w:rsid w:val="00F84DED"/>
    <w:rsid w:val="00F85877"/>
    <w:rsid w:val="00F85C21"/>
    <w:rsid w:val="00F87366"/>
    <w:rsid w:val="00F877C8"/>
    <w:rsid w:val="00F91E8F"/>
    <w:rsid w:val="00F9215E"/>
    <w:rsid w:val="00F92982"/>
    <w:rsid w:val="00F933BD"/>
    <w:rsid w:val="00F94DE8"/>
    <w:rsid w:val="00F94F6C"/>
    <w:rsid w:val="00F956AC"/>
    <w:rsid w:val="00F96DAA"/>
    <w:rsid w:val="00F96F96"/>
    <w:rsid w:val="00F970EE"/>
    <w:rsid w:val="00F972BF"/>
    <w:rsid w:val="00F9730C"/>
    <w:rsid w:val="00F97891"/>
    <w:rsid w:val="00FA1133"/>
    <w:rsid w:val="00FA159A"/>
    <w:rsid w:val="00FA2004"/>
    <w:rsid w:val="00FA24E7"/>
    <w:rsid w:val="00FA2AF9"/>
    <w:rsid w:val="00FA2C0F"/>
    <w:rsid w:val="00FA30C7"/>
    <w:rsid w:val="00FA345F"/>
    <w:rsid w:val="00FA37F8"/>
    <w:rsid w:val="00FA50C7"/>
    <w:rsid w:val="00FA53D2"/>
    <w:rsid w:val="00FA5A33"/>
    <w:rsid w:val="00FA5DF5"/>
    <w:rsid w:val="00FA6528"/>
    <w:rsid w:val="00FA685E"/>
    <w:rsid w:val="00FA6DC4"/>
    <w:rsid w:val="00FA6FC4"/>
    <w:rsid w:val="00FA78C8"/>
    <w:rsid w:val="00FB0C08"/>
    <w:rsid w:val="00FB1019"/>
    <w:rsid w:val="00FB28D2"/>
    <w:rsid w:val="00FB2957"/>
    <w:rsid w:val="00FB3C8B"/>
    <w:rsid w:val="00FB4768"/>
    <w:rsid w:val="00FB50C6"/>
    <w:rsid w:val="00FB5B33"/>
    <w:rsid w:val="00FB62D5"/>
    <w:rsid w:val="00FB6EB8"/>
    <w:rsid w:val="00FB73EC"/>
    <w:rsid w:val="00FC10B7"/>
    <w:rsid w:val="00FC162B"/>
    <w:rsid w:val="00FC1D65"/>
    <w:rsid w:val="00FC291D"/>
    <w:rsid w:val="00FC3708"/>
    <w:rsid w:val="00FC5425"/>
    <w:rsid w:val="00FC5D61"/>
    <w:rsid w:val="00FC5EF2"/>
    <w:rsid w:val="00FC6D01"/>
    <w:rsid w:val="00FD0A01"/>
    <w:rsid w:val="00FD0E0A"/>
    <w:rsid w:val="00FD1E59"/>
    <w:rsid w:val="00FD2559"/>
    <w:rsid w:val="00FD3396"/>
    <w:rsid w:val="00FD34D8"/>
    <w:rsid w:val="00FD4119"/>
    <w:rsid w:val="00FD41B1"/>
    <w:rsid w:val="00FD41FA"/>
    <w:rsid w:val="00FD45BB"/>
    <w:rsid w:val="00FD4CF3"/>
    <w:rsid w:val="00FD5821"/>
    <w:rsid w:val="00FD5DB7"/>
    <w:rsid w:val="00FD5E12"/>
    <w:rsid w:val="00FD5F93"/>
    <w:rsid w:val="00FD667D"/>
    <w:rsid w:val="00FD762B"/>
    <w:rsid w:val="00FE0228"/>
    <w:rsid w:val="00FE090E"/>
    <w:rsid w:val="00FE0D72"/>
    <w:rsid w:val="00FE24DE"/>
    <w:rsid w:val="00FE26FB"/>
    <w:rsid w:val="00FE3433"/>
    <w:rsid w:val="00FE34E7"/>
    <w:rsid w:val="00FE38DD"/>
    <w:rsid w:val="00FE406B"/>
    <w:rsid w:val="00FE681F"/>
    <w:rsid w:val="00FE7967"/>
    <w:rsid w:val="00FF0211"/>
    <w:rsid w:val="00FF095F"/>
    <w:rsid w:val="00FF0F5D"/>
    <w:rsid w:val="00FF109D"/>
    <w:rsid w:val="00FF1581"/>
    <w:rsid w:val="00FF21DE"/>
    <w:rsid w:val="00FF22EE"/>
    <w:rsid w:val="00FF3ACB"/>
    <w:rsid w:val="00FF3B19"/>
    <w:rsid w:val="00FF43E8"/>
    <w:rsid w:val="00FF48C1"/>
    <w:rsid w:val="00FF6408"/>
    <w:rsid w:val="00FF7F0A"/>
    <w:rsid w:val="011814EC"/>
    <w:rsid w:val="02DE61C0"/>
    <w:rsid w:val="03771583"/>
    <w:rsid w:val="039441EA"/>
    <w:rsid w:val="03AD365D"/>
    <w:rsid w:val="03C2FB5E"/>
    <w:rsid w:val="053F49B8"/>
    <w:rsid w:val="054CA25E"/>
    <w:rsid w:val="091AB2DD"/>
    <w:rsid w:val="0955BD9C"/>
    <w:rsid w:val="09F6A673"/>
    <w:rsid w:val="0A95EA70"/>
    <w:rsid w:val="0B49B77F"/>
    <w:rsid w:val="0C3EB8C4"/>
    <w:rsid w:val="0D3936BF"/>
    <w:rsid w:val="0DD543C3"/>
    <w:rsid w:val="1061AEE5"/>
    <w:rsid w:val="11B48151"/>
    <w:rsid w:val="12633D37"/>
    <w:rsid w:val="13239D53"/>
    <w:rsid w:val="13295587"/>
    <w:rsid w:val="14A2F674"/>
    <w:rsid w:val="14AD808D"/>
    <w:rsid w:val="14B10C29"/>
    <w:rsid w:val="14F1831E"/>
    <w:rsid w:val="150758E5"/>
    <w:rsid w:val="151D5599"/>
    <w:rsid w:val="15E54C11"/>
    <w:rsid w:val="1610C33C"/>
    <w:rsid w:val="16BB910C"/>
    <w:rsid w:val="17B64121"/>
    <w:rsid w:val="194A910F"/>
    <w:rsid w:val="1AB8EF2F"/>
    <w:rsid w:val="1EB0D639"/>
    <w:rsid w:val="21C528DB"/>
    <w:rsid w:val="21F5BB6D"/>
    <w:rsid w:val="22348C13"/>
    <w:rsid w:val="223F5A27"/>
    <w:rsid w:val="23A498E5"/>
    <w:rsid w:val="24B221FE"/>
    <w:rsid w:val="25002D04"/>
    <w:rsid w:val="254F2652"/>
    <w:rsid w:val="2619CADF"/>
    <w:rsid w:val="26280402"/>
    <w:rsid w:val="27432583"/>
    <w:rsid w:val="27BD9CB8"/>
    <w:rsid w:val="28302D25"/>
    <w:rsid w:val="28AF2876"/>
    <w:rsid w:val="28DC1A62"/>
    <w:rsid w:val="292376AF"/>
    <w:rsid w:val="2A843C50"/>
    <w:rsid w:val="2AC0B3C5"/>
    <w:rsid w:val="2ADC4D38"/>
    <w:rsid w:val="2D8EBDBA"/>
    <w:rsid w:val="2D9CE8DD"/>
    <w:rsid w:val="2E4162A4"/>
    <w:rsid w:val="2FB73793"/>
    <w:rsid w:val="2FD69AD3"/>
    <w:rsid w:val="3068A95E"/>
    <w:rsid w:val="312C8184"/>
    <w:rsid w:val="32C9E64C"/>
    <w:rsid w:val="33BEFAFC"/>
    <w:rsid w:val="344FC0B2"/>
    <w:rsid w:val="34C8B497"/>
    <w:rsid w:val="351370BA"/>
    <w:rsid w:val="357AA4F5"/>
    <w:rsid w:val="36D6935C"/>
    <w:rsid w:val="36F67F67"/>
    <w:rsid w:val="3865AEF0"/>
    <w:rsid w:val="392EF467"/>
    <w:rsid w:val="3C337BDE"/>
    <w:rsid w:val="3C635957"/>
    <w:rsid w:val="3D31146F"/>
    <w:rsid w:val="3D60FE6D"/>
    <w:rsid w:val="3E433A7A"/>
    <w:rsid w:val="403A322F"/>
    <w:rsid w:val="409314B8"/>
    <w:rsid w:val="412F438F"/>
    <w:rsid w:val="41AA417B"/>
    <w:rsid w:val="429E0618"/>
    <w:rsid w:val="42A533DC"/>
    <w:rsid w:val="42E02F9E"/>
    <w:rsid w:val="43B0591D"/>
    <w:rsid w:val="44C8C7B7"/>
    <w:rsid w:val="45DA8BFD"/>
    <w:rsid w:val="45F2AD90"/>
    <w:rsid w:val="460172AC"/>
    <w:rsid w:val="4A6448D5"/>
    <w:rsid w:val="4AC41945"/>
    <w:rsid w:val="4AE1E20C"/>
    <w:rsid w:val="4F276891"/>
    <w:rsid w:val="503C3E37"/>
    <w:rsid w:val="5298EE2E"/>
    <w:rsid w:val="537071CC"/>
    <w:rsid w:val="5371FC6E"/>
    <w:rsid w:val="53C2D6B5"/>
    <w:rsid w:val="549862B7"/>
    <w:rsid w:val="54D9C9F1"/>
    <w:rsid w:val="54EB6F41"/>
    <w:rsid w:val="56928318"/>
    <w:rsid w:val="56D1581C"/>
    <w:rsid w:val="576316F8"/>
    <w:rsid w:val="583F2A8B"/>
    <w:rsid w:val="588664D5"/>
    <w:rsid w:val="588E796E"/>
    <w:rsid w:val="5A145F48"/>
    <w:rsid w:val="5A9963BB"/>
    <w:rsid w:val="5B23BB80"/>
    <w:rsid w:val="5BF4714D"/>
    <w:rsid w:val="5C3F7CBC"/>
    <w:rsid w:val="5F7CCDE9"/>
    <w:rsid w:val="603DA094"/>
    <w:rsid w:val="61F3F581"/>
    <w:rsid w:val="626B744A"/>
    <w:rsid w:val="62B7AAC7"/>
    <w:rsid w:val="6496FEBF"/>
    <w:rsid w:val="649817AD"/>
    <w:rsid w:val="64B07AC6"/>
    <w:rsid w:val="64C51CFE"/>
    <w:rsid w:val="6508C666"/>
    <w:rsid w:val="67D58D48"/>
    <w:rsid w:val="69774AB3"/>
    <w:rsid w:val="6A36F552"/>
    <w:rsid w:val="6A53D8D9"/>
    <w:rsid w:val="6ACE984E"/>
    <w:rsid w:val="6B11BE35"/>
    <w:rsid w:val="6C003751"/>
    <w:rsid w:val="6F0EDF26"/>
    <w:rsid w:val="6F7877A0"/>
    <w:rsid w:val="7028E8C5"/>
    <w:rsid w:val="715F1FF8"/>
    <w:rsid w:val="7253F47F"/>
    <w:rsid w:val="729758EF"/>
    <w:rsid w:val="73473F3B"/>
    <w:rsid w:val="73B99985"/>
    <w:rsid w:val="747A0466"/>
    <w:rsid w:val="74803B14"/>
    <w:rsid w:val="7491E305"/>
    <w:rsid w:val="754E3BFB"/>
    <w:rsid w:val="7682C6D2"/>
    <w:rsid w:val="77C0177C"/>
    <w:rsid w:val="7826F510"/>
    <w:rsid w:val="7829F71C"/>
    <w:rsid w:val="7939F11F"/>
    <w:rsid w:val="79482B75"/>
    <w:rsid w:val="794B2D18"/>
    <w:rsid w:val="7976C4D2"/>
    <w:rsid w:val="7AB9E6B1"/>
    <w:rsid w:val="7C35283F"/>
    <w:rsid w:val="7CBBDD15"/>
    <w:rsid w:val="7CEB7D0F"/>
    <w:rsid w:val="7DFE61D8"/>
    <w:rsid w:val="7ED408CB"/>
    <w:rsid w:val="7EDF46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54BDA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77726F"/>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4198B"/>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77726F"/>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rsid w:val="00E54CD1"/>
    <w:pPr>
      <w:spacing w:before="0" w:after="360"/>
    </w:pPr>
    <w:rPr>
      <w:color w:val="293868"/>
    </w:rPr>
  </w:style>
  <w:style w:type="paragraph" w:styleId="TOC2">
    <w:name w:val="toc 2"/>
    <w:basedOn w:val="Normal"/>
    <w:next w:val="Normal"/>
    <w:autoRedefine/>
    <w:uiPriority w:val="39"/>
    <w:unhideWhenUsed/>
    <w:rsid w:val="00275F09"/>
    <w:pPr>
      <w:tabs>
        <w:tab w:val="left" w:pos="880"/>
        <w:tab w:val="right" w:pos="9016"/>
      </w:tabs>
      <w:ind w:left="397"/>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BB7FC7"/>
    <w:pPr>
      <w:ind w:left="720"/>
      <w:contextualSpacing/>
    </w:pPr>
  </w:style>
  <w:style w:type="paragraph" w:styleId="Caption">
    <w:name w:val="caption"/>
    <w:basedOn w:val="Normal"/>
    <w:next w:val="Normal"/>
    <w:uiPriority w:val="35"/>
    <w:semiHidden/>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4198B"/>
    <w:rPr>
      <w:rFonts w:ascii="Arial" w:eastAsiaTheme="majorEastAsia" w:hAnsi="Arial" w:cstheme="majorBidi"/>
      <w:b/>
      <w:sz w:val="24"/>
      <w:szCs w:val="24"/>
    </w:rPr>
  </w:style>
  <w:style w:type="paragraph" w:styleId="Quote">
    <w:name w:val="Quote"/>
    <w:basedOn w:val="Normal"/>
    <w:next w:val="Normal"/>
    <w:link w:val="QuoteChar"/>
    <w:uiPriority w:val="29"/>
    <w:semiHidden/>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64198B"/>
    <w:rPr>
      <w:rFonts w:ascii="Arial" w:hAnsi="Arial"/>
      <w:iCs/>
      <w:color w:val="595959" w:themeColor="text1" w:themeTint="A6"/>
    </w:rPr>
  </w:style>
  <w:style w:type="paragraph" w:styleId="TOC3">
    <w:name w:val="toc 3"/>
    <w:basedOn w:val="Normal"/>
    <w:next w:val="Normal"/>
    <w:autoRedefine/>
    <w:uiPriority w:val="39"/>
    <w:semiHidden/>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64198B"/>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8B"/>
    <w:rPr>
      <w:rFonts w:ascii="Segoe UI" w:hAnsi="Segoe UI" w:cs="Segoe UI"/>
      <w:sz w:val="18"/>
      <w:szCs w:val="18"/>
    </w:rPr>
  </w:style>
  <w:style w:type="character" w:styleId="CommentReference">
    <w:name w:val="annotation reference"/>
    <w:basedOn w:val="DefaultParagraphFont"/>
    <w:uiPriority w:val="99"/>
    <w:semiHidden/>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77726F"/>
    <w:rPr>
      <w:rFonts w:ascii="Arial" w:hAnsi="Arial"/>
      <w:sz w:val="20"/>
      <w:szCs w:val="20"/>
    </w:rPr>
  </w:style>
  <w:style w:type="paragraph" w:styleId="CommentSubject">
    <w:name w:val="annotation subject"/>
    <w:basedOn w:val="CommentText"/>
    <w:next w:val="CommentText"/>
    <w:link w:val="CommentSubjectChar"/>
    <w:uiPriority w:val="99"/>
    <w:semiHidden/>
    <w:rsid w:val="00C61DB7"/>
    <w:rPr>
      <w:b/>
      <w:bCs/>
    </w:rPr>
  </w:style>
  <w:style w:type="character" w:customStyle="1" w:styleId="CommentSubjectChar">
    <w:name w:val="Comment Subject Char"/>
    <w:basedOn w:val="CommentTextChar"/>
    <w:link w:val="CommentSubject"/>
    <w:uiPriority w:val="99"/>
    <w:semiHidden/>
    <w:rsid w:val="0064198B"/>
    <w:rPr>
      <w:rFonts w:ascii="Arial" w:hAnsi="Arial"/>
      <w:b/>
      <w:bCs/>
      <w:sz w:val="20"/>
      <w:szCs w:val="20"/>
    </w:rPr>
  </w:style>
  <w:style w:type="character" w:customStyle="1" w:styleId="Heading5Char">
    <w:name w:val="Heading 5 Char"/>
    <w:basedOn w:val="DefaultParagraphFont"/>
    <w:link w:val="Heading5"/>
    <w:uiPriority w:val="9"/>
    <w:semiHidden/>
    <w:rsid w:val="0064198B"/>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198B"/>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198B"/>
    <w:rPr>
      <w:rFonts w:ascii="Arial" w:hAnsi="Arial"/>
    </w:rPr>
  </w:style>
  <w:style w:type="paragraph" w:styleId="Footer">
    <w:name w:val="footer"/>
    <w:basedOn w:val="Normal"/>
    <w:link w:val="FooterChar"/>
    <w:uiPriority w:val="99"/>
    <w:semiHidden/>
    <w:rsid w:val="0017350C"/>
    <w:pPr>
      <w:tabs>
        <w:tab w:val="right" w:pos="9026"/>
      </w:tabs>
      <w:spacing w:after="0" w:line="240" w:lineRule="auto"/>
    </w:pPr>
    <w:rPr>
      <w:sz w:val="20"/>
      <w:szCs w:val="20"/>
    </w:rPr>
  </w:style>
  <w:style w:type="character" w:customStyle="1" w:styleId="FooterChar">
    <w:name w:val="Footer Char"/>
    <w:basedOn w:val="DefaultParagraphFont"/>
    <w:link w:val="Footer"/>
    <w:uiPriority w:val="99"/>
    <w:semiHidden/>
    <w:rsid w:val="00407A57"/>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275F09"/>
    <w:pPr>
      <w:tabs>
        <w:tab w:val="right" w:pos="9015"/>
      </w:tabs>
      <w:spacing w:before="120"/>
    </w:pPr>
    <w:rPr>
      <w:noProof/>
    </w:r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rsid w:val="007E0634"/>
    <w:pPr>
      <w:widowControl w:val="0"/>
    </w:pPr>
    <w:rPr>
      <w:rFonts w:eastAsia="Arial" w:cs="Arial"/>
    </w:rPr>
  </w:style>
  <w:style w:type="character" w:customStyle="1" w:styleId="BodyTextChar">
    <w:name w:val="Body Text Char"/>
    <w:basedOn w:val="DefaultParagraphFont"/>
    <w:link w:val="BodyText"/>
    <w:uiPriority w:val="1"/>
    <w:semiHidden/>
    <w:rsid w:val="00407A57"/>
    <w:rPr>
      <w:rFonts w:ascii="Arial" w:eastAsia="Arial" w:hAnsi="Arial" w:cs="Arial"/>
    </w:rPr>
  </w:style>
  <w:style w:type="paragraph" w:customStyle="1" w:styleId="Figuretableheading">
    <w:name w:val="Figure table heading"/>
    <w:basedOn w:val="Normal"/>
    <w:link w:val="FiguretableheadingChar"/>
    <w:semiHidden/>
    <w:qFormat/>
    <w:rsid w:val="006A473A"/>
    <w:rPr>
      <w:rFonts w:cs="Arial"/>
      <w:b/>
    </w:rPr>
  </w:style>
  <w:style w:type="character" w:customStyle="1" w:styleId="FiguretableheadingChar">
    <w:name w:val="Figure table heading Char"/>
    <w:basedOn w:val="DefaultParagraphFont"/>
    <w:link w:val="Figuretableheading"/>
    <w:semiHidden/>
    <w:rsid w:val="00821491"/>
    <w:rPr>
      <w:rFonts w:ascii="Arial" w:hAnsi="Arial" w:cs="Arial"/>
      <w:b/>
    </w:rPr>
  </w:style>
  <w:style w:type="paragraph" w:customStyle="1" w:styleId="Bullets">
    <w:name w:val="Bullets"/>
    <w:basedOn w:val="ListBullet"/>
    <w:link w:val="BulletsChar"/>
    <w:semiHidden/>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64198B"/>
    <w:rPr>
      <w:rFonts w:ascii="Arial" w:hAnsi="Arial"/>
    </w:rPr>
  </w:style>
  <w:style w:type="character" w:customStyle="1" w:styleId="BulletsChar">
    <w:name w:val="Bullets Char"/>
    <w:basedOn w:val="ListBulletChar"/>
    <w:link w:val="Bullets"/>
    <w:semiHidden/>
    <w:rsid w:val="0064198B"/>
    <w:rPr>
      <w:rFonts w:ascii="Arial" w:hAnsi="Arial" w:cs="Arial"/>
    </w:rPr>
  </w:style>
  <w:style w:type="paragraph" w:customStyle="1" w:styleId="Heading1HQSC">
    <w:name w:val="Heading 1 HQSC"/>
    <w:basedOn w:val="Heading1"/>
    <w:next w:val="BodytextHQSC"/>
    <w:qFormat/>
    <w:rsid w:val="003E3D39"/>
    <w:pPr>
      <w:spacing w:before="0"/>
    </w:pPr>
    <w:rPr>
      <w:rFonts w:cs="Arial"/>
      <w:color w:val="293868"/>
    </w:rPr>
  </w:style>
  <w:style w:type="paragraph" w:customStyle="1" w:styleId="BodytextHQSC">
    <w:name w:val="Body text HQSC"/>
    <w:basedOn w:val="Normal"/>
    <w:qFormat/>
    <w:rsid w:val="005C5699"/>
    <w:pPr>
      <w:spacing w:before="120" w:line="300" w:lineRule="atLeast"/>
    </w:pPr>
    <w:rPr>
      <w:rFonts w:cs="Arial"/>
    </w:rPr>
  </w:style>
  <w:style w:type="paragraph" w:customStyle="1" w:styleId="BulletsHQSC">
    <w:name w:val="Bullets HQSC"/>
    <w:basedOn w:val="Bullet"/>
    <w:qFormat/>
    <w:rsid w:val="00882706"/>
    <w:pPr>
      <w:tabs>
        <w:tab w:val="left" w:pos="397"/>
      </w:tabs>
    </w:pPr>
    <w:rPr>
      <w:rFonts w:ascii="Arial" w:hAnsi="Arial" w:cs="Arial"/>
    </w:rPr>
  </w:style>
  <w:style w:type="paragraph" w:customStyle="1" w:styleId="IndentedquoteHQSC">
    <w:name w:val="Indented quote HQSC"/>
    <w:basedOn w:val="Quote"/>
    <w:semiHidden/>
    <w:qFormat/>
    <w:rsid w:val="009B60E1"/>
    <w:rPr>
      <w:rFonts w:cs="Arial"/>
      <w:color w:val="auto"/>
    </w:rPr>
  </w:style>
  <w:style w:type="paragraph" w:customStyle="1" w:styleId="SourceHQSC">
    <w:name w:val="Source HQSC"/>
    <w:basedOn w:val="NormalIndent"/>
    <w:qFormat/>
    <w:rsid w:val="00792E41"/>
    <w:rPr>
      <w:rFonts w:cs="Arial"/>
    </w:rPr>
  </w:style>
  <w:style w:type="paragraph" w:customStyle="1" w:styleId="Heading2HQSC">
    <w:name w:val="Heading 2 HQSC"/>
    <w:basedOn w:val="Heading2"/>
    <w:next w:val="BodytextHQSC"/>
    <w:qFormat/>
    <w:rsid w:val="00280BED"/>
    <w:pPr>
      <w:keepLines w:val="0"/>
      <w:spacing w:after="0"/>
    </w:pPr>
    <w:rPr>
      <w:rFonts w:cs="Arial"/>
      <w:i w:val="0"/>
      <w:color w:val="293868"/>
    </w:rPr>
  </w:style>
  <w:style w:type="paragraph" w:customStyle="1" w:styleId="Heading3HQSC">
    <w:name w:val="Heading 3 HQSC"/>
    <w:basedOn w:val="Heading3"/>
    <w:next w:val="BodytextHQSC"/>
    <w:qFormat/>
    <w:rsid w:val="00ED7437"/>
    <w:pPr>
      <w:spacing w:after="0"/>
    </w:pPr>
    <w:rPr>
      <w:rFonts w:cs="Arial"/>
    </w:rPr>
  </w:style>
  <w:style w:type="paragraph" w:customStyle="1" w:styleId="FigurecaptionHQSC">
    <w:name w:val="Figure caption HQSC"/>
    <w:basedOn w:val="Figuretableheading"/>
    <w:next w:val="BodytextHQSC"/>
    <w:qFormat/>
    <w:rsid w:val="001B599E"/>
    <w:pPr>
      <w:keepNext/>
      <w:spacing w:before="120" w:line="300" w:lineRule="atLeast"/>
    </w:pPr>
  </w:style>
  <w:style w:type="paragraph" w:customStyle="1" w:styleId="TablecolumnheadingHQSC">
    <w:name w:val="Table column heading HQSC"/>
    <w:basedOn w:val="Normal"/>
    <w:qFormat/>
    <w:rsid w:val="00E54CD1"/>
    <w:pPr>
      <w:spacing w:before="60" w:after="60" w:line="240" w:lineRule="auto"/>
    </w:pPr>
    <w:rPr>
      <w:rFonts w:cs="Arial"/>
      <w:b/>
    </w:rPr>
  </w:style>
  <w:style w:type="paragraph" w:customStyle="1" w:styleId="TabletextHQSC">
    <w:name w:val="Table text HQSC"/>
    <w:basedOn w:val="Normal"/>
    <w:qFormat/>
    <w:rsid w:val="00E54CD1"/>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customStyle="1" w:styleId="CovertitleHQSC">
    <w:name w:val="Cover title HQSC"/>
    <w:basedOn w:val="Normal"/>
    <w:link w:val="CovertitleHQSCChar"/>
    <w:uiPriority w:val="99"/>
    <w:semiHidden/>
    <w:qFormat/>
    <w:rsid w:val="00E01E56"/>
    <w:pPr>
      <w:ind w:right="1796"/>
    </w:pPr>
    <w:rPr>
      <w:rFonts w:cs="Arial"/>
      <w:b/>
      <w:color w:val="FFFFFF" w:themeColor="background1"/>
      <w:sz w:val="44"/>
      <w:szCs w:val="44"/>
    </w:rPr>
  </w:style>
  <w:style w:type="character" w:customStyle="1" w:styleId="CovertitleHQSCChar">
    <w:name w:val="Cover title HQSC Char"/>
    <w:basedOn w:val="DefaultParagraphFont"/>
    <w:link w:val="CovertitleHQSC"/>
    <w:uiPriority w:val="99"/>
    <w:semiHidden/>
    <w:rsid w:val="00821491"/>
    <w:rPr>
      <w:rFonts w:ascii="Arial" w:hAnsi="Arial" w:cs="Arial"/>
      <w:b/>
      <w:color w:val="FFFFFF" w:themeColor="background1"/>
      <w:sz w:val="44"/>
      <w:szCs w:val="44"/>
    </w:rPr>
  </w:style>
  <w:style w:type="paragraph" w:customStyle="1" w:styleId="coverdateHQSC">
    <w:name w:val="cover date HQSC"/>
    <w:basedOn w:val="Normal"/>
    <w:link w:val="coverdateHQSCChar"/>
    <w:uiPriority w:val="99"/>
    <w:semiHidden/>
    <w:qFormat/>
    <w:rsid w:val="00E01E56"/>
    <w:rPr>
      <w:rFonts w:cs="Arial"/>
      <w:bCs/>
      <w:color w:val="FFFFFF" w:themeColor="background1"/>
      <w:sz w:val="28"/>
      <w:szCs w:val="28"/>
    </w:rPr>
  </w:style>
  <w:style w:type="character" w:customStyle="1" w:styleId="coverdateHQSCChar">
    <w:name w:val="cover date HQSC Char"/>
    <w:basedOn w:val="DefaultParagraphFont"/>
    <w:link w:val="coverdateHQSC"/>
    <w:uiPriority w:val="99"/>
    <w:semiHidden/>
    <w:rsid w:val="00821491"/>
    <w:rPr>
      <w:rFonts w:ascii="Arial" w:hAnsi="Arial" w:cs="Arial"/>
      <w:bCs/>
      <w:color w:val="FFFFFF" w:themeColor="background1"/>
      <w:sz w:val="28"/>
      <w:szCs w:val="28"/>
    </w:rPr>
  </w:style>
  <w:style w:type="paragraph" w:styleId="NoSpacing">
    <w:name w:val="No Spacing"/>
    <w:uiPriority w:val="1"/>
    <w:semiHidden/>
    <w:rsid w:val="00BA4CAD"/>
    <w:pPr>
      <w:spacing w:after="0" w:line="240" w:lineRule="auto"/>
    </w:pPr>
    <w:rPr>
      <w:rFonts w:ascii="Arial" w:hAnsi="Arial"/>
    </w:rPr>
  </w:style>
  <w:style w:type="numbering" w:customStyle="1" w:styleId="Style1">
    <w:name w:val="Style1"/>
    <w:uiPriority w:val="99"/>
    <w:rsid w:val="00245B70"/>
    <w:pPr>
      <w:numPr>
        <w:numId w:val="20"/>
      </w:numPr>
    </w:pPr>
  </w:style>
  <w:style w:type="paragraph" w:customStyle="1" w:styleId="Bullet">
    <w:name w:val="Bullet"/>
    <w:basedOn w:val="Normal"/>
    <w:link w:val="BulletChar"/>
    <w:semiHidden/>
    <w:qFormat/>
    <w:rsid w:val="002078C0"/>
    <w:pPr>
      <w:numPr>
        <w:numId w:val="21"/>
      </w:numPr>
      <w:spacing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semiHidden/>
    <w:locked/>
    <w:rsid w:val="00882706"/>
    <w:rPr>
      <w:rFonts w:ascii="Calibri" w:eastAsia="Times New Roman" w:hAnsi="Calibri" w:cs="Times New Roman"/>
      <w:szCs w:val="20"/>
      <w:lang w:eastAsia="en-NZ"/>
    </w:rPr>
  </w:style>
  <w:style w:type="paragraph" w:customStyle="1" w:styleId="Sub-bulletHQSC">
    <w:name w:val="Sub-bullet HQSC"/>
    <w:basedOn w:val="Normal"/>
    <w:qFormat/>
    <w:rsid w:val="00D931A7"/>
    <w:pPr>
      <w:numPr>
        <w:numId w:val="22"/>
      </w:numPr>
      <w:tabs>
        <w:tab w:val="left" w:pos="794"/>
      </w:tabs>
      <w:spacing w:line="280" w:lineRule="atLeast"/>
    </w:pPr>
    <w:rPr>
      <w:rFonts w:eastAsiaTheme="minorEastAsia"/>
      <w:lang w:eastAsia="en-NZ"/>
    </w:rPr>
  </w:style>
  <w:style w:type="character" w:styleId="FootnoteReference">
    <w:name w:val="footnote reference"/>
    <w:uiPriority w:val="99"/>
    <w:semiHidden/>
    <w:rsid w:val="008D4ACA"/>
    <w:rPr>
      <w:rFonts w:ascii="Arial" w:hAnsi="Arial"/>
      <w:color w:val="auto"/>
      <w:sz w:val="22"/>
      <w:vertAlign w:val="superscript"/>
    </w:rPr>
  </w:style>
  <w:style w:type="paragraph" w:styleId="FootnoteText">
    <w:name w:val="footnote text"/>
    <w:basedOn w:val="Normal"/>
    <w:link w:val="FootnoteTextChar"/>
    <w:uiPriority w:val="99"/>
    <w:rsid w:val="008D4ACA"/>
    <w:pPr>
      <w:spacing w:after="60" w:line="240" w:lineRule="atLeast"/>
      <w:ind w:left="284" w:hanging="284"/>
    </w:pPr>
    <w:rPr>
      <w:rFonts w:eastAsiaTheme="minorEastAsia"/>
      <w:sz w:val="19"/>
      <w:lang w:eastAsia="en-NZ"/>
    </w:rPr>
  </w:style>
  <w:style w:type="character" w:customStyle="1" w:styleId="FootnoteTextChar">
    <w:name w:val="Footnote Text Char"/>
    <w:basedOn w:val="DefaultParagraphFont"/>
    <w:link w:val="FootnoteText"/>
    <w:uiPriority w:val="99"/>
    <w:rsid w:val="008D4ACA"/>
    <w:rPr>
      <w:rFonts w:ascii="Arial" w:eastAsiaTheme="minorEastAsia" w:hAnsi="Arial"/>
      <w:sz w:val="19"/>
      <w:lang w:eastAsia="en-NZ"/>
    </w:rPr>
  </w:style>
  <w:style w:type="paragraph" w:customStyle="1" w:styleId="TablecaptionHQSC">
    <w:name w:val="Table caption HQSC"/>
    <w:basedOn w:val="FigurecaptionHQSC"/>
    <w:qFormat/>
    <w:rsid w:val="001B599E"/>
  </w:style>
  <w:style w:type="paragraph" w:customStyle="1" w:styleId="HQSChead1">
    <w:name w:val="HQSC head 1"/>
    <w:basedOn w:val="Heading1"/>
    <w:semiHidden/>
    <w:qFormat/>
    <w:rsid w:val="00B24C0E"/>
    <w:rPr>
      <w:rFonts w:cs="Arial"/>
      <w:color w:val="2C2568"/>
    </w:rPr>
  </w:style>
  <w:style w:type="paragraph" w:customStyle="1" w:styleId="HQSChead2">
    <w:name w:val="HQSC head 2"/>
    <w:basedOn w:val="Heading2"/>
    <w:semiHidden/>
    <w:qFormat/>
    <w:rsid w:val="00B54FC8"/>
    <w:rPr>
      <w:rFonts w:cs="Arial"/>
      <w:i w:val="0"/>
      <w:color w:val="2C2568"/>
    </w:rPr>
  </w:style>
  <w:style w:type="paragraph" w:customStyle="1" w:styleId="HQSChead3">
    <w:name w:val="HQSC head 3"/>
    <w:basedOn w:val="Heading3"/>
    <w:semiHidden/>
    <w:qFormat/>
    <w:rsid w:val="00B54FC8"/>
    <w:rPr>
      <w:rFonts w:cs="Arial"/>
    </w:rPr>
  </w:style>
  <w:style w:type="paragraph" w:customStyle="1" w:styleId="HQSCbodytext">
    <w:name w:val="HQSC body text"/>
    <w:basedOn w:val="Normal"/>
    <w:semiHidden/>
    <w:qFormat/>
    <w:rsid w:val="0039297D"/>
    <w:rPr>
      <w:rFonts w:cs="Arial"/>
    </w:rPr>
  </w:style>
  <w:style w:type="paragraph" w:customStyle="1" w:styleId="HQSCtablefigurecaption">
    <w:name w:val="HQSC table/figure caption"/>
    <w:basedOn w:val="Figuretableheading"/>
    <w:qFormat/>
    <w:rsid w:val="0064560A"/>
  </w:style>
  <w:style w:type="paragraph" w:styleId="TableofFigures">
    <w:name w:val="table of figures"/>
    <w:basedOn w:val="Normal"/>
    <w:next w:val="Normal"/>
    <w:uiPriority w:val="99"/>
    <w:rsid w:val="0077726F"/>
    <w:pPr>
      <w:spacing w:after="80" w:line="280" w:lineRule="atLeast"/>
      <w:ind w:right="567"/>
    </w:pPr>
  </w:style>
  <w:style w:type="character" w:styleId="FollowedHyperlink">
    <w:name w:val="FollowedHyperlink"/>
    <w:basedOn w:val="DefaultParagraphFont"/>
    <w:uiPriority w:val="99"/>
    <w:semiHidden/>
    <w:unhideWhenUsed/>
    <w:rsid w:val="00A763BD"/>
    <w:rPr>
      <w:color w:val="2C2568" w:themeColor="followedHyperlink"/>
      <w:u w:val="single"/>
    </w:rPr>
  </w:style>
  <w:style w:type="character" w:styleId="Mention">
    <w:name w:val="Mention"/>
    <w:basedOn w:val="DefaultParagraphFont"/>
    <w:uiPriority w:val="99"/>
    <w:semiHidden/>
    <w:rsid w:val="00B234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ports.hqsc.govt.nz/AdverseEventsQuarterly/"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s://creativecommons.org/licenses/by-nc-sa/4.0" TargetMode="External"/><Relationship Id="rId17" Type="http://schemas.openxmlformats.org/officeDocument/2006/relationships/hyperlink" Target="https://reports.hqsc.govt.nz/AdverseEventsQuarterly/"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ps.who.int/iris/handle/10665/70882"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qsc.govt.nz"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hqsc.govt.nz"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t.n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sv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hqsc.govt.nz/our-work/improved-service-delivery/safe-surgery-nz/projects/surgical-teamwork-and-communication/interventions/surgical-safety-checklist/" TargetMode="External"/><Relationship Id="rId2" Type="http://schemas.openxmlformats.org/officeDocument/2006/relationships/hyperlink" Target="https://www.hqsc.govt.nz/our-data/quality-and-safety-markers/" TargetMode="External"/><Relationship Id="rId1" Type="http://schemas.openxmlformats.org/officeDocument/2006/relationships/hyperlink" Target="https://www.legislation.govt.nz/bill/government/2021/85/en/latest/" TargetMode="Externa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8362</Words>
  <Characters>47666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2026-07-02T23:42:00Z</dcterms:created>
  <dcterms:modified xsi:type="dcterms:W3CDTF">2026-07-02T23:42:00Z</dcterms:modified>
</cp:coreProperties>
</file>