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6D5C9" w14:textId="23A74F6F" w:rsidR="0042415A" w:rsidRPr="009A64AF" w:rsidRDefault="00274080" w:rsidP="009A64AF">
      <w:pPr>
        <w:pStyle w:val="Body"/>
        <w:spacing w:after="120" w:line="240" w:lineRule="auto"/>
        <w:ind w:hanging="567"/>
        <w:rPr>
          <w:rFonts w:ascii="Arial" w:hAnsi="Arial" w:cs="Arial"/>
          <w:b/>
          <w:bCs/>
          <w:sz w:val="28"/>
          <w:szCs w:val="28"/>
          <w:lang w:val="en-NZ"/>
        </w:rPr>
      </w:pPr>
      <w:r w:rsidRPr="009A64AF">
        <w:rPr>
          <w:rFonts w:ascii="Arial" w:hAnsi="Arial" w:cs="Arial"/>
          <w:b/>
          <w:bCs/>
          <w:sz w:val="28"/>
          <w:szCs w:val="28"/>
          <w:lang w:val="en-NZ"/>
        </w:rPr>
        <w:t xml:space="preserve">Overview of </w:t>
      </w:r>
      <w:r w:rsidR="000A6F65" w:rsidRPr="009A64AF">
        <w:rPr>
          <w:rFonts w:ascii="Arial" w:hAnsi="Arial" w:cs="Arial"/>
          <w:b/>
          <w:bCs/>
          <w:sz w:val="28"/>
          <w:szCs w:val="28"/>
          <w:lang w:val="en-NZ"/>
        </w:rPr>
        <w:t>mental health and addiction adverse event review methods, types and approaches</w:t>
      </w:r>
    </w:p>
    <w:p w14:paraId="6CFBFCE4" w14:textId="461B5B62" w:rsidR="000C243F" w:rsidRPr="009A64AF" w:rsidRDefault="00B76CFA" w:rsidP="006F6821">
      <w:pPr>
        <w:pStyle w:val="PlainText"/>
        <w:spacing w:after="120"/>
        <w:ind w:left="-567" w:right="-641"/>
        <w:rPr>
          <w:rFonts w:ascii="Arial" w:hAnsi="Arial" w:cs="Arial"/>
        </w:rPr>
      </w:pPr>
      <w:r w:rsidRPr="009A64AF">
        <w:rPr>
          <w:rFonts w:ascii="Arial" w:hAnsi="Arial" w:cs="Arial"/>
        </w:rPr>
        <w:t xml:space="preserve">The following </w:t>
      </w:r>
      <w:r w:rsidR="00C81B81" w:rsidRPr="009A64AF">
        <w:rPr>
          <w:rFonts w:ascii="Arial" w:hAnsi="Arial" w:cs="Arial"/>
        </w:rPr>
        <w:t>overview aims</w:t>
      </w:r>
      <w:r w:rsidRPr="009A64AF">
        <w:rPr>
          <w:rFonts w:ascii="Arial" w:hAnsi="Arial" w:cs="Arial"/>
        </w:rPr>
        <w:t xml:space="preserve"> to help clinicians better understand the various</w:t>
      </w:r>
      <w:r w:rsidR="003735AD" w:rsidRPr="009A64AF">
        <w:rPr>
          <w:rFonts w:ascii="Arial" w:hAnsi="Arial" w:cs="Arial"/>
        </w:rPr>
        <w:t xml:space="preserve"> adverse event review</w:t>
      </w:r>
      <w:r w:rsidR="0057175C" w:rsidRPr="009A64AF">
        <w:rPr>
          <w:rFonts w:ascii="Arial" w:hAnsi="Arial" w:cs="Arial"/>
        </w:rPr>
        <w:t xml:space="preserve"> method</w:t>
      </w:r>
      <w:r w:rsidR="00664F0E" w:rsidRPr="009A64AF">
        <w:rPr>
          <w:rFonts w:ascii="Arial" w:hAnsi="Arial" w:cs="Arial"/>
        </w:rPr>
        <w:t>ologies</w:t>
      </w:r>
      <w:r w:rsidR="00F935DB" w:rsidRPr="009A64AF">
        <w:rPr>
          <w:rFonts w:ascii="Arial" w:hAnsi="Arial" w:cs="Arial"/>
        </w:rPr>
        <w:t xml:space="preserve"> available</w:t>
      </w:r>
      <w:r w:rsidRPr="009A64AF">
        <w:rPr>
          <w:rFonts w:ascii="Arial" w:hAnsi="Arial" w:cs="Arial"/>
        </w:rPr>
        <w:t>.</w:t>
      </w:r>
      <w:r w:rsidR="00F74E12" w:rsidRPr="009A64AF">
        <w:rPr>
          <w:rFonts w:ascii="Arial" w:hAnsi="Arial" w:cs="Arial"/>
        </w:rPr>
        <w:t xml:space="preserve"> This is not an exhaustive </w:t>
      </w:r>
      <w:proofErr w:type="gramStart"/>
      <w:r w:rsidR="00F74E12" w:rsidRPr="009A64AF">
        <w:rPr>
          <w:rFonts w:ascii="Arial" w:hAnsi="Arial" w:cs="Arial"/>
        </w:rPr>
        <w:t>list</w:t>
      </w:r>
      <w:proofErr w:type="gramEnd"/>
      <w:r w:rsidR="00F74E12" w:rsidRPr="009A64AF">
        <w:rPr>
          <w:rFonts w:ascii="Arial" w:hAnsi="Arial" w:cs="Arial"/>
        </w:rPr>
        <w:t xml:space="preserve"> and other methodologies may exist.</w:t>
      </w:r>
      <w:r w:rsidR="00827029" w:rsidRPr="009A64AF">
        <w:rPr>
          <w:rFonts w:ascii="Arial" w:hAnsi="Arial" w:cs="Arial"/>
        </w:rPr>
        <w:t xml:space="preserve">  </w:t>
      </w:r>
    </w:p>
    <w:p w14:paraId="051C96BE" w14:textId="5498AE2B" w:rsidR="00827029" w:rsidRPr="009A64AF" w:rsidRDefault="003775D7" w:rsidP="006F6821">
      <w:pPr>
        <w:pStyle w:val="PlainText"/>
        <w:spacing w:after="120"/>
        <w:ind w:left="-567" w:right="-641"/>
        <w:rPr>
          <w:rFonts w:ascii="Arial" w:hAnsi="Arial" w:cs="Arial"/>
          <w:szCs w:val="22"/>
        </w:rPr>
      </w:pPr>
      <w:r w:rsidRPr="009A64AF">
        <w:rPr>
          <w:rFonts w:ascii="Arial" w:hAnsi="Arial" w:cs="Arial"/>
        </w:rPr>
        <w:t xml:space="preserve">The </w:t>
      </w:r>
      <w:r w:rsidR="0011099A" w:rsidRPr="009A64AF">
        <w:rPr>
          <w:rFonts w:ascii="Arial" w:hAnsi="Arial" w:cs="Arial"/>
        </w:rPr>
        <w:t>L</w:t>
      </w:r>
      <w:r w:rsidRPr="009A64AF">
        <w:rPr>
          <w:rFonts w:ascii="Arial" w:hAnsi="Arial" w:cs="Arial"/>
        </w:rPr>
        <w:t xml:space="preserve">earning </w:t>
      </w:r>
      <w:r w:rsidR="0011099A" w:rsidRPr="009A64AF">
        <w:rPr>
          <w:rFonts w:ascii="Arial" w:hAnsi="Arial" w:cs="Arial"/>
        </w:rPr>
        <w:t>R</w:t>
      </w:r>
      <w:r w:rsidRPr="009A64AF">
        <w:rPr>
          <w:rFonts w:ascii="Arial" w:hAnsi="Arial" w:cs="Arial"/>
        </w:rPr>
        <w:t xml:space="preserve">eview </w:t>
      </w:r>
      <w:r w:rsidR="000F3AE9" w:rsidRPr="000F3AE9">
        <w:rPr>
          <w:rFonts w:ascii="Arial" w:hAnsi="Arial" w:cs="Arial"/>
          <w:lang w:val="en-US"/>
        </w:rPr>
        <w:t>methodology is the method promoted by Te Tāhū Hauora as it better reflects the complexity of health care and reduces hindsight bias</w:t>
      </w:r>
      <w:r w:rsidR="000F3AE9">
        <w:rPr>
          <w:rFonts w:ascii="Arial" w:hAnsi="Arial" w:cs="Arial"/>
          <w:lang w:val="en-US"/>
        </w:rPr>
        <w:t>.</w:t>
      </w:r>
      <w:r w:rsidR="000F3AE9" w:rsidRPr="000F3AE9">
        <w:rPr>
          <w:rFonts w:ascii="Arial" w:hAnsi="Arial" w:cs="Arial"/>
          <w:lang w:val="en-US"/>
        </w:rPr>
        <w:t xml:space="preserve"> </w:t>
      </w:r>
      <w:r w:rsidRPr="009A64AF">
        <w:rPr>
          <w:rFonts w:ascii="Arial" w:hAnsi="Arial" w:cs="Arial"/>
          <w:szCs w:val="22"/>
        </w:rPr>
        <w:t xml:space="preserve">The other methods are included as part of a toolkit </w:t>
      </w:r>
      <w:r w:rsidR="00934CE7" w:rsidRPr="009A64AF">
        <w:rPr>
          <w:rFonts w:ascii="Arial" w:hAnsi="Arial" w:cs="Arial"/>
          <w:szCs w:val="22"/>
        </w:rPr>
        <w:t xml:space="preserve">that </w:t>
      </w:r>
      <w:r w:rsidR="00F20850" w:rsidRPr="009A64AF">
        <w:rPr>
          <w:rFonts w:ascii="Arial" w:hAnsi="Arial" w:cs="Arial"/>
          <w:szCs w:val="22"/>
        </w:rPr>
        <w:t xml:space="preserve">users </w:t>
      </w:r>
      <w:r w:rsidRPr="009A64AF">
        <w:rPr>
          <w:rFonts w:ascii="Arial" w:hAnsi="Arial" w:cs="Arial"/>
          <w:szCs w:val="22"/>
        </w:rPr>
        <w:t>may choose to explore further as resource allows.</w:t>
      </w:r>
      <w:r w:rsidR="00F935DB" w:rsidRPr="009A64AF">
        <w:rPr>
          <w:rFonts w:ascii="Arial" w:hAnsi="Arial" w:cs="Arial"/>
          <w:szCs w:val="22"/>
        </w:rPr>
        <w:t xml:space="preserve"> </w:t>
      </w:r>
    </w:p>
    <w:p w14:paraId="12646EC4" w14:textId="7CC9B40E" w:rsidR="00B76CFA" w:rsidRPr="0049566C" w:rsidRDefault="000F3AE9" w:rsidP="0049566C">
      <w:pPr>
        <w:pStyle w:val="PlainText"/>
        <w:spacing w:after="120"/>
        <w:ind w:left="-567" w:right="-641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hyperlink r:id="rId12" w:history="1">
        <w:r w:rsidRPr="00374CDF">
          <w:rPr>
            <w:rStyle w:val="Hyperlink"/>
            <w:rFonts w:ascii="Arial" w:hAnsi="Arial" w:cs="Arial"/>
          </w:rPr>
          <w:t>Healing, learning and improving from harm: National adverse events policy 2023</w:t>
        </w:r>
        <w:r w:rsidR="0049566C" w:rsidRPr="00374CDF">
          <w:rPr>
            <w:rStyle w:val="Hyperlink"/>
            <w:rFonts w:ascii="Arial" w:hAnsi="Arial" w:cs="Arial"/>
          </w:rPr>
          <w:t xml:space="preserve"> </w:t>
        </w:r>
        <w:r w:rsidRPr="00374CDF">
          <w:rPr>
            <w:rStyle w:val="Hyperlink"/>
            <w:rFonts w:ascii="Arial" w:hAnsi="Arial" w:cs="Arial"/>
            <w:lang w:val="mi-NZ"/>
          </w:rPr>
          <w:t>Te whakaora, te ako me te whakapai ake i te kino: Te kaupapa here ā-motu mō ngā mahi tūkino</w:t>
        </w:r>
        <w:r w:rsidRPr="00374CDF">
          <w:rPr>
            <w:rStyle w:val="Hyperlink"/>
            <w:rFonts w:ascii="Arial" w:hAnsi="Arial" w:cs="Arial"/>
          </w:rPr>
          <w:t xml:space="preserve"> 2023</w:t>
        </w:r>
      </w:hyperlink>
      <w:r w:rsidR="00D65B86" w:rsidRPr="009A64AF">
        <w:rPr>
          <w:rFonts w:ascii="Arial" w:hAnsi="Arial" w:cs="Arial"/>
        </w:rPr>
        <w:t xml:space="preserve"> </w:t>
      </w:r>
      <w:r w:rsidR="00B76CFA" w:rsidRPr="009A64AF">
        <w:rPr>
          <w:rFonts w:ascii="Arial" w:hAnsi="Arial" w:cs="Arial"/>
        </w:rPr>
        <w:t xml:space="preserve">states that the review should </w:t>
      </w:r>
      <w:r w:rsidR="00C95D88">
        <w:rPr>
          <w:rFonts w:ascii="Arial" w:hAnsi="Arial" w:cs="Arial"/>
        </w:rPr>
        <w:t>reflect the eight policy principles</w:t>
      </w:r>
      <w:r w:rsidR="0049566C">
        <w:rPr>
          <w:rFonts w:ascii="Arial" w:hAnsi="Arial" w:cs="Arial"/>
        </w:rPr>
        <w:t>.</w:t>
      </w:r>
      <w:r w:rsidR="00827029" w:rsidRPr="009A64AF">
        <w:rPr>
          <w:rFonts w:ascii="Arial" w:hAnsi="Arial" w:cs="Arial"/>
        </w:rPr>
        <w:t xml:space="preserve"> </w:t>
      </w:r>
      <w:r w:rsidR="0049566C">
        <w:rPr>
          <w:rFonts w:ascii="Arial" w:hAnsi="Arial" w:cs="Arial"/>
        </w:rPr>
        <w:t>I</w:t>
      </w:r>
      <w:r w:rsidR="00375161" w:rsidRPr="009A64AF">
        <w:rPr>
          <w:rFonts w:ascii="Arial" w:hAnsi="Arial" w:cs="Arial"/>
        </w:rPr>
        <w:t>t is highly recommended that services consider how they bring an impartial lens to any review methodology</w:t>
      </w:r>
      <w:r w:rsidR="00014FD2" w:rsidRPr="009A64AF">
        <w:rPr>
          <w:rFonts w:ascii="Arial" w:hAnsi="Arial" w:cs="Arial"/>
        </w:rPr>
        <w:t xml:space="preserve"> used</w:t>
      </w:r>
      <w:r w:rsidR="00375161" w:rsidRPr="009A64AF">
        <w:rPr>
          <w:rFonts w:ascii="Arial" w:hAnsi="Arial" w:cs="Arial"/>
        </w:rPr>
        <w:t xml:space="preserve">, as well as </w:t>
      </w:r>
      <w:r w:rsidR="00C95D88">
        <w:rPr>
          <w:rFonts w:ascii="Arial" w:hAnsi="Arial" w:cs="Arial"/>
        </w:rPr>
        <w:t>listening</w:t>
      </w:r>
      <w:r w:rsidR="00BD5ACB">
        <w:rPr>
          <w:rFonts w:ascii="Arial" w:hAnsi="Arial" w:cs="Arial"/>
        </w:rPr>
        <w:t xml:space="preserve"> to</w:t>
      </w:r>
      <w:r w:rsidR="00C95D88">
        <w:rPr>
          <w:rFonts w:ascii="Arial" w:hAnsi="Arial" w:cs="Arial"/>
        </w:rPr>
        <w:t xml:space="preserve"> and endeavouring to meet</w:t>
      </w:r>
      <w:r w:rsidR="00375161" w:rsidRPr="009A64AF">
        <w:rPr>
          <w:rFonts w:ascii="Arial" w:hAnsi="Arial" w:cs="Arial"/>
        </w:rPr>
        <w:t xml:space="preserve"> the needs and expectations of consumer</w:t>
      </w:r>
      <w:r w:rsidR="00D31BAF" w:rsidRPr="009A64AF">
        <w:rPr>
          <w:rFonts w:ascii="Arial" w:hAnsi="Arial" w:cs="Arial"/>
        </w:rPr>
        <w:t>s</w:t>
      </w:r>
      <w:r w:rsidR="00C95D88">
        <w:rPr>
          <w:rFonts w:ascii="Arial" w:hAnsi="Arial" w:cs="Arial"/>
        </w:rPr>
        <w:t>,</w:t>
      </w:r>
      <w:r w:rsidR="0049566C">
        <w:rPr>
          <w:rFonts w:ascii="Arial" w:hAnsi="Arial" w:cs="Arial"/>
        </w:rPr>
        <w:t xml:space="preserve"> </w:t>
      </w:r>
      <w:r w:rsidR="00375161" w:rsidRPr="009A64AF">
        <w:rPr>
          <w:rFonts w:ascii="Arial" w:hAnsi="Arial" w:cs="Arial"/>
        </w:rPr>
        <w:t>whānau</w:t>
      </w:r>
      <w:r w:rsidR="00C95D88">
        <w:rPr>
          <w:rFonts w:ascii="Arial" w:hAnsi="Arial" w:cs="Arial"/>
        </w:rPr>
        <w:t xml:space="preserve"> and health workers involved. </w:t>
      </w:r>
    </w:p>
    <w:tbl>
      <w:tblPr>
        <w:tblW w:w="1531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2679"/>
        <w:gridCol w:w="2679"/>
        <w:gridCol w:w="2679"/>
        <w:gridCol w:w="2766"/>
        <w:gridCol w:w="2556"/>
      </w:tblGrid>
      <w:tr w:rsidR="00C96039" w:rsidRPr="009A64AF" w14:paraId="4BFBE600" w14:textId="77777777" w:rsidTr="00947B7E">
        <w:trPr>
          <w:trHeight w:val="486"/>
          <w:tblHeader/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A1A83" w14:textId="46D8701F" w:rsidR="00C96039" w:rsidRPr="009A64AF" w:rsidRDefault="00274080" w:rsidP="00B76CFA">
            <w:pPr>
              <w:pStyle w:val="Body"/>
              <w:spacing w:after="0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b/>
                <w:bCs/>
                <w:lang w:val="en-NZ"/>
              </w:rPr>
              <w:t>Review method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7EE1A" w14:textId="77777777" w:rsidR="00C96039" w:rsidRPr="009A64AF" w:rsidRDefault="00274080" w:rsidP="00B76CFA">
            <w:pPr>
              <w:pStyle w:val="Body"/>
              <w:spacing w:after="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b/>
                <w:bCs/>
                <w:lang w:val="en-NZ"/>
              </w:rPr>
              <w:t>Description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64579" w14:textId="77777777" w:rsidR="00C96039" w:rsidRPr="009A64AF" w:rsidRDefault="00274080" w:rsidP="00B76CFA">
            <w:pPr>
              <w:pStyle w:val="Body"/>
              <w:spacing w:after="0" w:line="240" w:lineRule="auto"/>
              <w:jc w:val="both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b/>
                <w:bCs/>
                <w:lang w:val="en-NZ"/>
              </w:rPr>
              <w:t>When to use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3E743" w14:textId="77777777" w:rsidR="00C96039" w:rsidRPr="009A64AF" w:rsidRDefault="00274080" w:rsidP="00B76CFA">
            <w:pPr>
              <w:pStyle w:val="Body"/>
              <w:spacing w:after="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b/>
                <w:bCs/>
                <w:lang w:val="en-NZ"/>
              </w:rPr>
              <w:t>Strengths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BA092" w14:textId="77777777" w:rsidR="00C96039" w:rsidRPr="009A64AF" w:rsidRDefault="00274080" w:rsidP="00B76CFA">
            <w:pPr>
              <w:pStyle w:val="Body"/>
              <w:spacing w:after="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b/>
                <w:bCs/>
                <w:lang w:val="en-NZ"/>
              </w:rPr>
              <w:t>Weaknesses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BF9D3" w14:textId="4BD08ED2" w:rsidR="00C96039" w:rsidRPr="009A64AF" w:rsidRDefault="00274080" w:rsidP="00B76CFA">
            <w:pPr>
              <w:pStyle w:val="Body"/>
              <w:spacing w:after="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b/>
                <w:bCs/>
                <w:lang w:val="en-NZ"/>
              </w:rPr>
              <w:t>Training</w:t>
            </w:r>
            <w:r w:rsidR="007967A7" w:rsidRPr="009A64AF">
              <w:rPr>
                <w:rFonts w:ascii="Arial" w:hAnsi="Arial" w:cs="Arial"/>
                <w:b/>
                <w:bCs/>
                <w:lang w:val="en-NZ"/>
              </w:rPr>
              <w:t xml:space="preserve"> and </w:t>
            </w:r>
            <w:r w:rsidRPr="009A64AF">
              <w:rPr>
                <w:rFonts w:ascii="Arial" w:hAnsi="Arial" w:cs="Arial"/>
                <w:b/>
                <w:bCs/>
                <w:lang w:val="en-NZ"/>
              </w:rPr>
              <w:t>resources available</w:t>
            </w:r>
          </w:p>
        </w:tc>
      </w:tr>
      <w:tr w:rsidR="00B2125E" w:rsidRPr="009A64AF" w14:paraId="137FAF6C" w14:textId="77777777" w:rsidTr="00C6288F">
        <w:trPr>
          <w:trHeight w:val="520"/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EF3C9" w14:textId="3503C5EB" w:rsidR="00B2125E" w:rsidRPr="009A64AF" w:rsidRDefault="00B2125E" w:rsidP="00C702EC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 xml:space="preserve">Learning </w:t>
            </w:r>
            <w:r w:rsidR="003D63BE" w:rsidRPr="009A64AF">
              <w:rPr>
                <w:rFonts w:ascii="Arial" w:hAnsi="Arial" w:cs="Arial"/>
                <w:lang w:val="en-NZ"/>
              </w:rPr>
              <w:t>R</w:t>
            </w:r>
            <w:r w:rsidRPr="009A64AF">
              <w:rPr>
                <w:rFonts w:ascii="Arial" w:hAnsi="Arial" w:cs="Arial"/>
                <w:lang w:val="en-NZ"/>
              </w:rPr>
              <w:t>eview</w:t>
            </w:r>
            <w:r w:rsidRPr="009A64AF">
              <w:rPr>
                <w:rStyle w:val="FootnoteReference"/>
                <w:rFonts w:ascii="Arial" w:hAnsi="Arial" w:cs="Arial"/>
                <w:lang w:val="en-NZ"/>
              </w:rPr>
              <w:footnoteReference w:id="2"/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B6733" w14:textId="77777777" w:rsidR="00B2125E" w:rsidRPr="009A64AF" w:rsidRDefault="00B2125E" w:rsidP="00C6288F">
            <w:pPr>
              <w:pStyle w:val="Body"/>
              <w:spacing w:after="12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Designed for complex systems, particularly those involving people.</w:t>
            </w:r>
          </w:p>
          <w:p w14:paraId="06D2C8B4" w14:textId="5713C8E1" w:rsidR="00B2125E" w:rsidRPr="009A64AF" w:rsidRDefault="00B2125E" w:rsidP="00C6288F">
            <w:pPr>
              <w:pStyle w:val="Body"/>
              <w:spacing w:after="12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A social sense</w:t>
            </w:r>
            <w:r w:rsidR="0066263B" w:rsidRPr="009A64AF">
              <w:rPr>
                <w:rFonts w:ascii="Arial" w:hAnsi="Arial" w:cs="Arial"/>
                <w:lang w:val="en-NZ"/>
              </w:rPr>
              <w:t>-</w:t>
            </w:r>
            <w:r w:rsidRPr="009A64AF">
              <w:rPr>
                <w:rFonts w:ascii="Arial" w:hAnsi="Arial" w:cs="Arial"/>
                <w:lang w:val="en-NZ"/>
              </w:rPr>
              <w:t>making activity that reviews an accident, incident or even normal work for clues as to where staff contribute to the safety of operations or where the system inhibits this capacity.</w:t>
            </w:r>
          </w:p>
          <w:p w14:paraId="0AEDD55A" w14:textId="2D0E3396" w:rsidR="00B2125E" w:rsidRPr="009A64AF" w:rsidRDefault="00B2125E" w:rsidP="00C62A18">
            <w:pPr>
              <w:pStyle w:val="Body"/>
              <w:spacing w:after="12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Designed to facilitate the understanding of the factors and conditions that influence human actions and decisions by encouraging individual and group sense</w:t>
            </w:r>
            <w:r w:rsidR="00615E30" w:rsidRPr="009A64AF">
              <w:rPr>
                <w:rFonts w:ascii="Arial" w:hAnsi="Arial" w:cs="Arial"/>
                <w:lang w:val="en-NZ"/>
              </w:rPr>
              <w:t>-</w:t>
            </w:r>
            <w:r w:rsidRPr="009A64AF">
              <w:rPr>
                <w:rFonts w:ascii="Arial" w:hAnsi="Arial" w:cs="Arial"/>
                <w:lang w:val="en-NZ"/>
              </w:rPr>
              <w:t>making at all levels of an organisation.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EA207" w14:textId="76F889DF" w:rsidR="00B2125E" w:rsidRPr="009A64AF" w:rsidRDefault="00B2125E" w:rsidP="00CF0F30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 xml:space="preserve">Designed to be used with complex </w:t>
            </w:r>
            <w:r w:rsidR="00C95D88">
              <w:rPr>
                <w:rFonts w:ascii="Arial" w:hAnsi="Arial" w:cs="Arial"/>
                <w:lang w:val="en-NZ"/>
              </w:rPr>
              <w:t xml:space="preserve">sociotechnical </w:t>
            </w:r>
            <w:r w:rsidRPr="009A64AF">
              <w:rPr>
                <w:rFonts w:ascii="Arial" w:hAnsi="Arial" w:cs="Arial"/>
                <w:lang w:val="en-NZ"/>
              </w:rPr>
              <w:t>systems.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095F1" w14:textId="417DD19D" w:rsidR="00C95D88" w:rsidRDefault="00C95D88" w:rsidP="00C6288F">
            <w:pPr>
              <w:pStyle w:val="Body"/>
              <w:spacing w:after="120" w:line="240" w:lineRule="auto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Elevates the voices of consumer, whānau and health workers.</w:t>
            </w:r>
          </w:p>
          <w:p w14:paraId="6F3AD98E" w14:textId="77777777" w:rsidR="00B2125E" w:rsidRPr="009A64AF" w:rsidRDefault="00B2125E" w:rsidP="00C6288F">
            <w:pPr>
              <w:pStyle w:val="Body"/>
              <w:spacing w:after="12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Seeks to understand what led people to do what they did at the time.</w:t>
            </w:r>
          </w:p>
          <w:p w14:paraId="3FB915D2" w14:textId="131A5C60" w:rsidR="00B2125E" w:rsidRPr="009A64AF" w:rsidRDefault="00B2125E" w:rsidP="00C6288F">
            <w:pPr>
              <w:pStyle w:val="Body"/>
              <w:spacing w:after="12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Avoids use of ‘why’ question</w:t>
            </w:r>
            <w:r w:rsidR="00615E30" w:rsidRPr="009A64AF">
              <w:rPr>
                <w:rFonts w:ascii="Arial" w:hAnsi="Arial" w:cs="Arial"/>
                <w:lang w:val="en-NZ"/>
              </w:rPr>
              <w:t>s</w:t>
            </w:r>
            <w:r w:rsidRPr="009A64AF">
              <w:rPr>
                <w:rFonts w:ascii="Arial" w:hAnsi="Arial" w:cs="Arial"/>
                <w:lang w:val="en-NZ"/>
              </w:rPr>
              <w:t>.</w:t>
            </w:r>
          </w:p>
          <w:p w14:paraId="3A86EF3C" w14:textId="77777777" w:rsidR="00B2125E" w:rsidRPr="009A64AF" w:rsidRDefault="00B2125E" w:rsidP="00C6288F">
            <w:pPr>
              <w:pStyle w:val="Body"/>
              <w:spacing w:after="12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Reduces hindsight bias.</w:t>
            </w:r>
          </w:p>
          <w:p w14:paraId="65949162" w14:textId="4F95BC7E" w:rsidR="00B2125E" w:rsidRPr="009A64AF" w:rsidRDefault="00B2125E" w:rsidP="00C6288F">
            <w:pPr>
              <w:pStyle w:val="Body"/>
              <w:spacing w:after="12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Compares work as done with work as imagined.</w:t>
            </w:r>
          </w:p>
          <w:p w14:paraId="7CCC6D6E" w14:textId="77777777" w:rsidR="00B2125E" w:rsidRPr="009A64AF" w:rsidRDefault="00B2125E" w:rsidP="00C6288F">
            <w:pPr>
              <w:pStyle w:val="Body"/>
              <w:spacing w:after="12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Uses those doing the work as experts in how to do the work.</w:t>
            </w:r>
          </w:p>
          <w:p w14:paraId="0F9A4C79" w14:textId="6E0B057D" w:rsidR="00C911CE" w:rsidRPr="009A64AF" w:rsidRDefault="00C911CE" w:rsidP="00C6288F">
            <w:pPr>
              <w:spacing w:after="120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sz w:val="22"/>
                <w:szCs w:val="22"/>
                <w:lang w:val="en-NZ" w:eastAsia="en-NZ"/>
              </w:rPr>
              <w:t>Informed by human factors and resilience engineering.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478B4" w14:textId="736E2481" w:rsidR="00B2125E" w:rsidRPr="009A64AF" w:rsidRDefault="00B2125E" w:rsidP="00CF0F30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 xml:space="preserve">Use of focus groups may be </w:t>
            </w:r>
            <w:r w:rsidR="00C911CE" w:rsidRPr="009A64AF">
              <w:rPr>
                <w:rFonts w:ascii="Arial" w:hAnsi="Arial" w:cs="Arial"/>
                <w:lang w:val="en-NZ"/>
              </w:rPr>
              <w:t>time intensive</w:t>
            </w:r>
            <w:r w:rsidRPr="009A64AF">
              <w:rPr>
                <w:rFonts w:ascii="Arial" w:hAnsi="Arial" w:cs="Arial"/>
                <w:lang w:val="en-NZ"/>
              </w:rPr>
              <w:t>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75473" w14:textId="3EC57261" w:rsidR="00001D23" w:rsidRPr="0049566C" w:rsidRDefault="00C95D88" w:rsidP="00CF0F30">
            <w:pPr>
              <w:spacing w:after="180"/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noProof/>
              </w:rPr>
              <w:drawing>
                <wp:inline distT="0" distB="0" distL="0" distR="0" wp14:anchorId="2DE3758B" wp14:editId="17025358">
                  <wp:extent cx="1521460" cy="1275715"/>
                  <wp:effectExtent l="0" t="0" r="0" b="635"/>
                  <wp:docPr id="379974408" name="Picture 1" descr="QR code in blue on wh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9974408" name="Picture 1" descr="QR code in blue on wh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460" cy="127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 The QR code provides a link to all resources including Learning from Harm workshops and e-learning for learning review, co-design and Human Factors</w:t>
            </w:r>
          </w:p>
        </w:tc>
      </w:tr>
    </w:tbl>
    <w:p w14:paraId="14C6B189" w14:textId="02CA90BD" w:rsidR="004D2852" w:rsidRPr="009A64AF" w:rsidRDefault="004D2852" w:rsidP="00C73E4A">
      <w:pPr>
        <w:rPr>
          <w:rFonts w:ascii="Arial" w:hAnsi="Arial" w:cs="Arial"/>
          <w:lang w:val="en-NZ"/>
        </w:rPr>
      </w:pPr>
    </w:p>
    <w:tbl>
      <w:tblPr>
        <w:tblW w:w="154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2679"/>
        <w:gridCol w:w="2679"/>
        <w:gridCol w:w="2679"/>
        <w:gridCol w:w="2680"/>
        <w:gridCol w:w="2642"/>
      </w:tblGrid>
      <w:tr w:rsidR="004D2852" w:rsidRPr="009A64AF" w14:paraId="3B3A4CD5" w14:textId="77777777" w:rsidTr="007223FD">
        <w:trPr>
          <w:trHeight w:val="486"/>
          <w:tblHeader/>
          <w:jc w:val="center"/>
        </w:trPr>
        <w:tc>
          <w:tcPr>
            <w:tcW w:w="20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EF96B" w14:textId="1A5788FE" w:rsidR="004D2852" w:rsidRPr="009A64AF" w:rsidRDefault="00C45A22" w:rsidP="00E24BE0">
            <w:pPr>
              <w:pStyle w:val="Body"/>
              <w:spacing w:after="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b/>
                <w:bCs/>
                <w:lang w:val="en-NZ"/>
              </w:rPr>
              <w:t>Review method</w:t>
            </w:r>
          </w:p>
        </w:tc>
        <w:tc>
          <w:tcPr>
            <w:tcW w:w="26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36D11" w14:textId="77777777" w:rsidR="004D2852" w:rsidRPr="009A64AF" w:rsidRDefault="004D2852" w:rsidP="00E24BE0">
            <w:pPr>
              <w:pStyle w:val="Body"/>
              <w:spacing w:after="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b/>
                <w:bCs/>
                <w:lang w:val="en-NZ"/>
              </w:rPr>
              <w:t>Description</w:t>
            </w:r>
          </w:p>
        </w:tc>
        <w:tc>
          <w:tcPr>
            <w:tcW w:w="26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BEDEF" w14:textId="77777777" w:rsidR="004D2852" w:rsidRPr="009A64AF" w:rsidRDefault="004D2852" w:rsidP="00E24BE0">
            <w:pPr>
              <w:pStyle w:val="Body"/>
              <w:spacing w:after="0" w:line="240" w:lineRule="auto"/>
              <w:jc w:val="both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b/>
                <w:bCs/>
                <w:lang w:val="en-NZ"/>
              </w:rPr>
              <w:t>When to use</w:t>
            </w:r>
          </w:p>
        </w:tc>
        <w:tc>
          <w:tcPr>
            <w:tcW w:w="26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3AB9D" w14:textId="77777777" w:rsidR="004D2852" w:rsidRPr="009A64AF" w:rsidRDefault="004D2852" w:rsidP="00E24BE0">
            <w:pPr>
              <w:pStyle w:val="Body"/>
              <w:spacing w:after="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b/>
                <w:bCs/>
                <w:lang w:val="en-NZ"/>
              </w:rPr>
              <w:t>Strengths</w:t>
            </w:r>
          </w:p>
        </w:tc>
        <w:tc>
          <w:tcPr>
            <w:tcW w:w="26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B6BF1" w14:textId="77777777" w:rsidR="004D2852" w:rsidRPr="009A64AF" w:rsidRDefault="004D2852" w:rsidP="00E24BE0">
            <w:pPr>
              <w:pStyle w:val="Body"/>
              <w:spacing w:after="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b/>
                <w:bCs/>
                <w:lang w:val="en-NZ"/>
              </w:rPr>
              <w:t>Weaknesses</w:t>
            </w:r>
          </w:p>
        </w:tc>
        <w:tc>
          <w:tcPr>
            <w:tcW w:w="26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8E872" w14:textId="77777777" w:rsidR="004D2852" w:rsidRPr="009A64AF" w:rsidRDefault="004D2852" w:rsidP="00E24BE0">
            <w:pPr>
              <w:pStyle w:val="Body"/>
              <w:spacing w:after="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b/>
                <w:bCs/>
                <w:lang w:val="en-NZ"/>
              </w:rPr>
              <w:t>Training and resources available</w:t>
            </w:r>
          </w:p>
        </w:tc>
      </w:tr>
      <w:tr w:rsidR="00C96039" w:rsidRPr="009A64AF" w14:paraId="73CE307A" w14:textId="77777777" w:rsidTr="007223FD">
        <w:trPr>
          <w:trHeight w:val="6151"/>
          <w:jc w:val="center"/>
        </w:trPr>
        <w:tc>
          <w:tcPr>
            <w:tcW w:w="20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35961" w14:textId="06BA828D" w:rsidR="00C96039" w:rsidRPr="009A64AF" w:rsidRDefault="00274080" w:rsidP="00B818F2">
            <w:pPr>
              <w:pStyle w:val="Body"/>
              <w:spacing w:after="6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London Protocol</w:t>
            </w:r>
            <w:r w:rsidR="007132A9" w:rsidRPr="009A64AF">
              <w:rPr>
                <w:rStyle w:val="FootnoteReference"/>
                <w:rFonts w:ascii="Arial" w:hAnsi="Arial" w:cs="Arial"/>
                <w:lang w:val="en-NZ"/>
              </w:rPr>
              <w:footnoteReference w:id="3"/>
            </w:r>
          </w:p>
        </w:tc>
        <w:tc>
          <w:tcPr>
            <w:tcW w:w="26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8ADBE" w14:textId="1A429E04" w:rsidR="00C96039" w:rsidRPr="009A64AF" w:rsidRDefault="00274080" w:rsidP="00180074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A method that provides a comprehensive and thoughtful/reflective</w:t>
            </w:r>
            <w:r w:rsidR="00C73E4A" w:rsidRPr="009A64AF">
              <w:rPr>
                <w:rFonts w:ascii="Arial" w:hAnsi="Arial" w:cs="Arial"/>
                <w:lang w:val="en-NZ"/>
              </w:rPr>
              <w:t xml:space="preserve"> systems</w:t>
            </w:r>
            <w:r w:rsidRPr="009A64AF">
              <w:rPr>
                <w:rFonts w:ascii="Arial" w:hAnsi="Arial" w:cs="Arial"/>
                <w:lang w:val="en-NZ"/>
              </w:rPr>
              <w:t xml:space="preserve"> analysis of clinical incidents seeking areas for care improvement.</w:t>
            </w:r>
          </w:p>
          <w:p w14:paraId="00ADFACA" w14:textId="5B484B45" w:rsidR="00C96039" w:rsidRPr="009A64AF" w:rsidRDefault="00274080" w:rsidP="00180074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Uses the incident to reflect on what it reveals about the gaps and inadequacies in the health</w:t>
            </w:r>
            <w:r w:rsidR="00881E2A">
              <w:rPr>
                <w:rFonts w:ascii="Arial" w:hAnsi="Arial" w:cs="Arial"/>
                <w:lang w:val="en-NZ"/>
              </w:rPr>
              <w:t xml:space="preserve"> </w:t>
            </w:r>
            <w:r w:rsidRPr="009A64AF">
              <w:rPr>
                <w:rFonts w:ascii="Arial" w:hAnsi="Arial" w:cs="Arial"/>
                <w:lang w:val="en-NZ"/>
              </w:rPr>
              <w:t>care system.</w:t>
            </w:r>
          </w:p>
          <w:p w14:paraId="2D7AC3AB" w14:textId="6A3C037A" w:rsidR="00A24873" w:rsidRPr="009A64AF" w:rsidRDefault="009951ED" w:rsidP="00180074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Most used</w:t>
            </w:r>
            <w:r w:rsidR="00A24873" w:rsidRPr="009A64AF">
              <w:rPr>
                <w:rFonts w:ascii="Arial" w:hAnsi="Arial" w:cs="Arial"/>
                <w:lang w:val="en-NZ"/>
              </w:rPr>
              <w:t xml:space="preserve"> and understood method in </w:t>
            </w:r>
            <w:r w:rsidR="00B5222E" w:rsidRPr="009A64AF">
              <w:rPr>
                <w:rFonts w:ascii="Arial" w:hAnsi="Arial" w:cs="Arial"/>
                <w:lang w:val="en-NZ"/>
              </w:rPr>
              <w:t>mental health and addiction (</w:t>
            </w:r>
            <w:r w:rsidR="00A24873" w:rsidRPr="009A64AF">
              <w:rPr>
                <w:rFonts w:ascii="Arial" w:hAnsi="Arial" w:cs="Arial"/>
                <w:lang w:val="en-NZ"/>
              </w:rPr>
              <w:t>MHA</w:t>
            </w:r>
            <w:r w:rsidR="00B5222E" w:rsidRPr="009A64AF">
              <w:rPr>
                <w:rFonts w:ascii="Arial" w:hAnsi="Arial" w:cs="Arial"/>
                <w:lang w:val="en-NZ"/>
              </w:rPr>
              <w:t>)</w:t>
            </w:r>
            <w:r w:rsidR="00A24873" w:rsidRPr="009A64AF">
              <w:rPr>
                <w:rFonts w:ascii="Arial" w:hAnsi="Arial" w:cs="Arial"/>
                <w:lang w:val="en-NZ"/>
              </w:rPr>
              <w:t xml:space="preserve"> services in N</w:t>
            </w:r>
            <w:r w:rsidR="00E64B38" w:rsidRPr="009A64AF">
              <w:rPr>
                <w:rFonts w:ascii="Arial" w:hAnsi="Arial" w:cs="Arial"/>
                <w:lang w:val="en-NZ"/>
              </w:rPr>
              <w:t>ew Zealand</w:t>
            </w:r>
            <w:r w:rsidR="00A24873" w:rsidRPr="009A64AF">
              <w:rPr>
                <w:rFonts w:ascii="Arial" w:hAnsi="Arial" w:cs="Arial"/>
                <w:lang w:val="en-NZ"/>
              </w:rPr>
              <w:t>.</w:t>
            </w:r>
          </w:p>
        </w:tc>
        <w:tc>
          <w:tcPr>
            <w:tcW w:w="26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13802" w14:textId="7736DC55" w:rsidR="00C96039" w:rsidRPr="009A64AF" w:rsidRDefault="00274080" w:rsidP="00180074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 xml:space="preserve">Multifactorial </w:t>
            </w:r>
            <w:r w:rsidR="00F935DB" w:rsidRPr="009A64AF">
              <w:rPr>
                <w:rFonts w:ascii="Arial" w:hAnsi="Arial" w:cs="Arial"/>
                <w:lang w:val="en-NZ"/>
              </w:rPr>
              <w:t xml:space="preserve">complicated </w:t>
            </w:r>
            <w:r w:rsidRPr="009A64AF">
              <w:rPr>
                <w:rFonts w:ascii="Arial" w:hAnsi="Arial" w:cs="Arial"/>
                <w:lang w:val="en-NZ"/>
              </w:rPr>
              <w:t>issues.</w:t>
            </w:r>
          </w:p>
          <w:p w14:paraId="7EBE959A" w14:textId="41F0A535" w:rsidR="00C96039" w:rsidRPr="009A64AF" w:rsidRDefault="00274080" w:rsidP="00180074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Multiple system cross</w:t>
            </w:r>
            <w:r w:rsidR="00437EA7" w:rsidRPr="009A64AF">
              <w:rPr>
                <w:rFonts w:ascii="Arial" w:hAnsi="Arial" w:cs="Arial"/>
                <w:lang w:val="en-NZ"/>
              </w:rPr>
              <w:t>-</w:t>
            </w:r>
            <w:r w:rsidRPr="009A64AF">
              <w:rPr>
                <w:rFonts w:ascii="Arial" w:hAnsi="Arial" w:cs="Arial"/>
                <w:lang w:val="en-NZ"/>
              </w:rPr>
              <w:t>sector involvement.</w:t>
            </w:r>
          </w:p>
          <w:p w14:paraId="707E3A9D" w14:textId="77777777" w:rsidR="00C96039" w:rsidRPr="009A64AF" w:rsidRDefault="00C96039" w:rsidP="00180074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</w:p>
        </w:tc>
        <w:tc>
          <w:tcPr>
            <w:tcW w:w="26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B9B09" w14:textId="7F7C7D8A" w:rsidR="00C96039" w:rsidRPr="009A64AF" w:rsidRDefault="00274080" w:rsidP="00180074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Review method is designed for use in health</w:t>
            </w:r>
            <w:r w:rsidR="00881E2A">
              <w:rPr>
                <w:rFonts w:ascii="Arial" w:hAnsi="Arial" w:cs="Arial"/>
                <w:lang w:val="en-NZ"/>
              </w:rPr>
              <w:t xml:space="preserve"> </w:t>
            </w:r>
            <w:r w:rsidRPr="009A64AF">
              <w:rPr>
                <w:rFonts w:ascii="Arial" w:hAnsi="Arial" w:cs="Arial"/>
                <w:lang w:val="en-NZ"/>
              </w:rPr>
              <w:t>care.</w:t>
            </w:r>
          </w:p>
          <w:p w14:paraId="2D9787CE" w14:textId="77777777" w:rsidR="00C96039" w:rsidRPr="009A64AF" w:rsidRDefault="00274080" w:rsidP="00180074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Can be scaled up or down depending on the size of the event in question.</w:t>
            </w:r>
          </w:p>
          <w:p w14:paraId="2941B404" w14:textId="77777777" w:rsidR="00C96039" w:rsidRPr="009A64AF" w:rsidRDefault="00274080" w:rsidP="00180074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System focused.</w:t>
            </w:r>
          </w:p>
          <w:p w14:paraId="58A3D08C" w14:textId="27A55865" w:rsidR="00C96039" w:rsidRPr="009A64AF" w:rsidRDefault="00D246CD" w:rsidP="00180074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C</w:t>
            </w:r>
            <w:r w:rsidR="00274080" w:rsidRPr="009A64AF">
              <w:rPr>
                <w:rFonts w:ascii="Arial" w:hAnsi="Arial" w:cs="Arial"/>
                <w:lang w:val="en-NZ"/>
              </w:rPr>
              <w:t xml:space="preserve">an </w:t>
            </w:r>
            <w:r w:rsidR="007422E9" w:rsidRPr="009A64AF">
              <w:rPr>
                <w:rFonts w:ascii="Arial" w:hAnsi="Arial" w:cs="Arial"/>
                <w:lang w:val="en-NZ"/>
              </w:rPr>
              <w:t>provide independence if</w:t>
            </w:r>
            <w:r w:rsidR="00274080" w:rsidRPr="009A64AF">
              <w:rPr>
                <w:rFonts w:ascii="Arial" w:hAnsi="Arial" w:cs="Arial"/>
                <w:lang w:val="en-NZ"/>
              </w:rPr>
              <w:t xml:space="preserve"> </w:t>
            </w:r>
            <w:r w:rsidR="00B143A7" w:rsidRPr="009A64AF">
              <w:rPr>
                <w:rFonts w:ascii="Arial" w:hAnsi="Arial" w:cs="Arial"/>
                <w:lang w:val="en-NZ"/>
              </w:rPr>
              <w:t xml:space="preserve">the </w:t>
            </w:r>
            <w:r w:rsidR="00274080" w:rsidRPr="009A64AF">
              <w:rPr>
                <w:rFonts w:ascii="Arial" w:hAnsi="Arial" w:cs="Arial"/>
                <w:lang w:val="en-NZ"/>
              </w:rPr>
              <w:t xml:space="preserve">review team includes </w:t>
            </w:r>
            <w:r w:rsidR="00B143A7" w:rsidRPr="009A64AF">
              <w:rPr>
                <w:rFonts w:ascii="Arial" w:hAnsi="Arial" w:cs="Arial"/>
                <w:lang w:val="en-NZ"/>
              </w:rPr>
              <w:t xml:space="preserve">a </w:t>
            </w:r>
            <w:r w:rsidR="00274080" w:rsidRPr="009A64AF">
              <w:rPr>
                <w:rFonts w:ascii="Arial" w:hAnsi="Arial" w:cs="Arial"/>
                <w:lang w:val="en-NZ"/>
              </w:rPr>
              <w:t xml:space="preserve">facilitator and some members from another part of the service. </w:t>
            </w:r>
          </w:p>
        </w:tc>
        <w:tc>
          <w:tcPr>
            <w:tcW w:w="26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4758F" w14:textId="394DFA22" w:rsidR="00C96039" w:rsidRPr="009A64AF" w:rsidRDefault="00274080" w:rsidP="00180074">
            <w:pPr>
              <w:pStyle w:val="Body"/>
              <w:spacing w:after="180" w:line="240" w:lineRule="auto"/>
              <w:rPr>
                <w:rFonts w:ascii="Arial" w:hAnsi="Arial" w:cs="Arial"/>
                <w:color w:val="auto"/>
                <w:lang w:val="en-NZ"/>
              </w:rPr>
            </w:pPr>
            <w:r w:rsidRPr="009A64AF">
              <w:rPr>
                <w:rFonts w:ascii="Arial" w:hAnsi="Arial" w:cs="Arial"/>
                <w:color w:val="auto"/>
                <w:lang w:val="en-NZ"/>
              </w:rPr>
              <w:t>Contributory factors have been adapted for health</w:t>
            </w:r>
            <w:r w:rsidR="00881E2A">
              <w:rPr>
                <w:rFonts w:ascii="Arial" w:hAnsi="Arial" w:cs="Arial"/>
                <w:color w:val="auto"/>
                <w:lang w:val="en-NZ"/>
              </w:rPr>
              <w:t xml:space="preserve"> </w:t>
            </w:r>
            <w:r w:rsidRPr="009A64AF">
              <w:rPr>
                <w:rFonts w:ascii="Arial" w:hAnsi="Arial" w:cs="Arial"/>
                <w:color w:val="auto"/>
                <w:lang w:val="en-NZ"/>
              </w:rPr>
              <w:t>care from other industries rather than created for health</w:t>
            </w:r>
            <w:r w:rsidR="00881E2A">
              <w:rPr>
                <w:rFonts w:ascii="Arial" w:hAnsi="Arial" w:cs="Arial"/>
                <w:color w:val="auto"/>
                <w:lang w:val="en-NZ"/>
              </w:rPr>
              <w:t xml:space="preserve"> </w:t>
            </w:r>
            <w:r w:rsidRPr="009A64AF">
              <w:rPr>
                <w:rFonts w:ascii="Arial" w:hAnsi="Arial" w:cs="Arial"/>
                <w:color w:val="auto"/>
                <w:lang w:val="en-NZ"/>
              </w:rPr>
              <w:t>care.</w:t>
            </w:r>
          </w:p>
          <w:p w14:paraId="379EBB9A" w14:textId="1448E1F6" w:rsidR="00C96039" w:rsidRPr="009A64AF" w:rsidRDefault="00274080" w:rsidP="00180074">
            <w:pPr>
              <w:pStyle w:val="Body"/>
              <w:spacing w:after="180" w:line="240" w:lineRule="auto"/>
              <w:rPr>
                <w:rFonts w:ascii="Arial" w:hAnsi="Arial" w:cs="Arial"/>
                <w:color w:val="auto"/>
                <w:lang w:val="en-NZ"/>
              </w:rPr>
            </w:pPr>
            <w:r w:rsidRPr="009A64AF">
              <w:rPr>
                <w:rFonts w:ascii="Arial" w:hAnsi="Arial" w:cs="Arial"/>
                <w:color w:val="auto"/>
                <w:lang w:val="en-NZ"/>
              </w:rPr>
              <w:t>Difficult to write truly systems-based recommendations without whole</w:t>
            </w:r>
            <w:r w:rsidR="00221176" w:rsidRPr="009A64AF">
              <w:rPr>
                <w:rFonts w:ascii="Arial" w:hAnsi="Arial" w:cs="Arial"/>
                <w:color w:val="auto"/>
                <w:lang w:val="en-NZ"/>
              </w:rPr>
              <w:t>-</w:t>
            </w:r>
            <w:r w:rsidRPr="009A64AF">
              <w:rPr>
                <w:rFonts w:ascii="Arial" w:hAnsi="Arial" w:cs="Arial"/>
                <w:color w:val="auto"/>
                <w:lang w:val="en-NZ"/>
              </w:rPr>
              <w:t>of</w:t>
            </w:r>
            <w:r w:rsidR="00221176" w:rsidRPr="009A64AF">
              <w:rPr>
                <w:rFonts w:ascii="Arial" w:hAnsi="Arial" w:cs="Arial"/>
                <w:color w:val="auto"/>
                <w:lang w:val="en-NZ"/>
              </w:rPr>
              <w:t>-</w:t>
            </w:r>
            <w:r w:rsidRPr="009A64AF">
              <w:rPr>
                <w:rFonts w:ascii="Arial" w:hAnsi="Arial" w:cs="Arial"/>
                <w:color w:val="auto"/>
                <w:lang w:val="en-NZ"/>
              </w:rPr>
              <w:t>sector input.</w:t>
            </w:r>
          </w:p>
          <w:p w14:paraId="79115266" w14:textId="77777777" w:rsidR="00C96039" w:rsidRPr="009A64AF" w:rsidRDefault="00274080" w:rsidP="00180074">
            <w:pPr>
              <w:pStyle w:val="Body"/>
              <w:spacing w:after="180" w:line="240" w:lineRule="auto"/>
              <w:rPr>
                <w:rFonts w:ascii="Arial" w:hAnsi="Arial" w:cs="Arial"/>
                <w:color w:val="auto"/>
                <w:lang w:val="en-NZ"/>
              </w:rPr>
            </w:pPr>
            <w:r w:rsidRPr="009A64AF">
              <w:rPr>
                <w:rFonts w:ascii="Arial" w:hAnsi="Arial" w:cs="Arial"/>
                <w:color w:val="auto"/>
                <w:lang w:val="en-NZ"/>
              </w:rPr>
              <w:t>Can be hindsight biased.</w:t>
            </w:r>
          </w:p>
          <w:p w14:paraId="573B49A2" w14:textId="77777777" w:rsidR="00180074" w:rsidRPr="009A64AF" w:rsidRDefault="00C34B7E" w:rsidP="00180074">
            <w:pPr>
              <w:spacing w:after="180"/>
              <w:rPr>
                <w:rFonts w:ascii="Arial" w:hAnsi="Arial" w:cs="Arial"/>
                <w:sz w:val="22"/>
                <w:szCs w:val="22"/>
                <w:lang w:val="en-NZ" w:eastAsia="en-NZ"/>
              </w:rPr>
            </w:pPr>
            <w:r w:rsidRPr="009A64AF">
              <w:rPr>
                <w:rFonts w:ascii="Arial" w:hAnsi="Arial" w:cs="Arial"/>
                <w:sz w:val="22"/>
                <w:szCs w:val="22"/>
                <w:lang w:val="en-NZ" w:eastAsia="en-NZ"/>
              </w:rPr>
              <w:t>F</w:t>
            </w:r>
            <w:r w:rsidR="00F02963" w:rsidRPr="009A64AF">
              <w:rPr>
                <w:rFonts w:ascii="Arial" w:hAnsi="Arial" w:cs="Arial"/>
                <w:sz w:val="22"/>
                <w:szCs w:val="22"/>
                <w:lang w:val="en-NZ" w:eastAsia="en-NZ"/>
              </w:rPr>
              <w:t>ocuses on the actions of the people involved rather than the way the system performed</w:t>
            </w:r>
            <w:r w:rsidR="00180074" w:rsidRPr="009A64AF">
              <w:rPr>
                <w:rFonts w:ascii="Arial" w:hAnsi="Arial" w:cs="Arial"/>
                <w:sz w:val="22"/>
                <w:szCs w:val="22"/>
                <w:lang w:val="en-NZ" w:eastAsia="en-NZ"/>
              </w:rPr>
              <w:t>.</w:t>
            </w:r>
          </w:p>
          <w:p w14:paraId="729ABE9B" w14:textId="03A2CE6A" w:rsidR="00F02963" w:rsidRPr="009A64AF" w:rsidRDefault="00F02963" w:rsidP="00180074">
            <w:pPr>
              <w:spacing w:after="180"/>
              <w:rPr>
                <w:rFonts w:ascii="Arial" w:hAnsi="Arial" w:cs="Arial"/>
                <w:sz w:val="22"/>
                <w:szCs w:val="22"/>
                <w:lang w:val="en-NZ" w:eastAsia="en-NZ"/>
              </w:rPr>
            </w:pPr>
            <w:r w:rsidRPr="009A64AF">
              <w:rPr>
                <w:rFonts w:ascii="Arial" w:hAnsi="Arial" w:cs="Arial"/>
                <w:sz w:val="22"/>
                <w:szCs w:val="22"/>
                <w:lang w:val="en-NZ" w:eastAsia="en-NZ"/>
              </w:rPr>
              <w:t>Uses those involved in the incident to identify what went wrong and possible improvements.</w:t>
            </w:r>
            <w:r w:rsidR="000D366C" w:rsidRPr="009A64AF">
              <w:rPr>
                <w:rFonts w:ascii="Arial" w:hAnsi="Arial" w:cs="Arial"/>
                <w:sz w:val="22"/>
                <w:szCs w:val="22"/>
                <w:lang w:val="en-NZ" w:eastAsia="en-NZ"/>
              </w:rPr>
              <w:t xml:space="preserve"> </w:t>
            </w:r>
            <w:r w:rsidRPr="009A64AF">
              <w:rPr>
                <w:rFonts w:ascii="Arial" w:hAnsi="Arial" w:cs="Arial"/>
                <w:sz w:val="22"/>
                <w:szCs w:val="22"/>
                <w:lang w:val="en-NZ" w:eastAsia="en-NZ"/>
              </w:rPr>
              <w:t>Reliving the event may be traumatic for those involved in it.</w:t>
            </w:r>
          </w:p>
          <w:p w14:paraId="358F4023" w14:textId="0E9E5908" w:rsidR="00F02963" w:rsidRPr="009A64AF" w:rsidRDefault="00F02963" w:rsidP="00180074">
            <w:pPr>
              <w:spacing w:after="180"/>
              <w:rPr>
                <w:rFonts w:ascii="Arial" w:hAnsi="Arial" w:cs="Arial"/>
                <w:sz w:val="22"/>
                <w:szCs w:val="22"/>
                <w:lang w:val="en-NZ" w:eastAsia="en-NZ"/>
              </w:rPr>
            </w:pPr>
            <w:r w:rsidRPr="009A64AF">
              <w:rPr>
                <w:rFonts w:ascii="Arial" w:hAnsi="Arial" w:cs="Arial"/>
                <w:sz w:val="22"/>
                <w:szCs w:val="22"/>
                <w:lang w:val="en-NZ" w:eastAsia="en-NZ"/>
              </w:rPr>
              <w:t xml:space="preserve">Implies a linear progression of adverse events. </w:t>
            </w:r>
          </w:p>
          <w:p w14:paraId="5F8FD5D0" w14:textId="1619DC73" w:rsidR="00F02963" w:rsidRPr="009A64AF" w:rsidRDefault="00A74645" w:rsidP="00A74645">
            <w:pPr>
              <w:spacing w:after="180"/>
              <w:rPr>
                <w:rFonts w:ascii="Arial" w:hAnsi="Arial" w:cs="Arial"/>
                <w:sz w:val="22"/>
                <w:szCs w:val="22"/>
                <w:lang w:val="en-NZ" w:eastAsia="en-NZ"/>
              </w:rPr>
            </w:pPr>
            <w:r w:rsidRPr="009A64AF">
              <w:rPr>
                <w:rFonts w:ascii="Arial" w:hAnsi="Arial" w:cs="Arial"/>
                <w:sz w:val="22"/>
                <w:szCs w:val="22"/>
                <w:lang w:val="en-NZ"/>
              </w:rPr>
              <w:t>Focus is on the review team as the experts rather than those doing the work.</w:t>
            </w:r>
          </w:p>
        </w:tc>
        <w:tc>
          <w:tcPr>
            <w:tcW w:w="26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A88B8" w14:textId="748ADE74" w:rsidR="00455A86" w:rsidRPr="009A64AF" w:rsidRDefault="00AE3F18" w:rsidP="00180074">
            <w:pPr>
              <w:spacing w:after="180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9A64AF">
              <w:rPr>
                <w:rFonts w:ascii="Arial" w:hAnsi="Arial" w:cs="Arial"/>
                <w:sz w:val="22"/>
                <w:szCs w:val="22"/>
                <w:lang w:val="en-NZ"/>
              </w:rPr>
              <w:t>T</w:t>
            </w:r>
            <w:r w:rsidR="00455A86" w:rsidRPr="009A64AF">
              <w:rPr>
                <w:rFonts w:ascii="Arial" w:hAnsi="Arial" w:cs="Arial"/>
                <w:sz w:val="22"/>
                <w:szCs w:val="22"/>
                <w:lang w:val="en-NZ"/>
              </w:rPr>
              <w:t>raining</w:t>
            </w:r>
            <w:r w:rsidR="001D62CA" w:rsidRPr="009A64AF">
              <w:rPr>
                <w:rFonts w:ascii="Arial" w:hAnsi="Arial" w:cs="Arial"/>
                <w:sz w:val="22"/>
                <w:szCs w:val="22"/>
                <w:lang w:val="en-NZ"/>
              </w:rPr>
              <w:t xml:space="preserve"> </w:t>
            </w:r>
            <w:r w:rsidRPr="009A64AF">
              <w:rPr>
                <w:rFonts w:ascii="Arial" w:hAnsi="Arial" w:cs="Arial"/>
                <w:sz w:val="22"/>
                <w:szCs w:val="22"/>
                <w:lang w:val="en-NZ"/>
              </w:rPr>
              <w:t xml:space="preserve">currently </w:t>
            </w:r>
            <w:r w:rsidR="001D62CA" w:rsidRPr="009A64AF">
              <w:rPr>
                <w:rFonts w:ascii="Arial" w:hAnsi="Arial" w:cs="Arial"/>
                <w:sz w:val="22"/>
                <w:szCs w:val="22"/>
                <w:lang w:val="en-NZ"/>
              </w:rPr>
              <w:t xml:space="preserve">not </w:t>
            </w:r>
            <w:r w:rsidR="00455A86" w:rsidRPr="009A64AF">
              <w:rPr>
                <w:rFonts w:ascii="Arial" w:hAnsi="Arial" w:cs="Arial"/>
                <w:sz w:val="22"/>
                <w:szCs w:val="22"/>
                <w:lang w:val="en-NZ"/>
              </w:rPr>
              <w:t xml:space="preserve">available to everyone in </w:t>
            </w:r>
            <w:r w:rsidR="00C61185" w:rsidRPr="009A64AF">
              <w:rPr>
                <w:rFonts w:ascii="Arial" w:hAnsi="Arial" w:cs="Arial"/>
                <w:sz w:val="22"/>
                <w:szCs w:val="22"/>
                <w:lang w:val="en-NZ"/>
              </w:rPr>
              <w:t>New Zealand</w:t>
            </w:r>
            <w:r w:rsidR="00455A86" w:rsidRPr="009A64AF">
              <w:rPr>
                <w:rFonts w:ascii="Arial" w:hAnsi="Arial" w:cs="Arial"/>
                <w:sz w:val="22"/>
                <w:szCs w:val="22"/>
                <w:lang w:val="en-NZ"/>
              </w:rPr>
              <w:t>.</w:t>
            </w:r>
          </w:p>
          <w:p w14:paraId="4B6B70AB" w14:textId="774CA23F" w:rsidR="00CF5EA5" w:rsidRPr="009A64AF" w:rsidRDefault="00D103DF" w:rsidP="00C62A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9A64AF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en-NZ"/>
              </w:rPr>
              <w:t>.</w:t>
            </w:r>
          </w:p>
        </w:tc>
      </w:tr>
    </w:tbl>
    <w:p w14:paraId="1165CC52" w14:textId="2953D9E7" w:rsidR="008045C6" w:rsidRPr="009A64AF" w:rsidRDefault="008045C6">
      <w:pPr>
        <w:rPr>
          <w:rFonts w:ascii="Arial" w:hAnsi="Arial" w:cs="Arial"/>
          <w:lang w:val="en-NZ"/>
        </w:rPr>
      </w:pPr>
    </w:p>
    <w:p w14:paraId="10DB3C0D" w14:textId="77777777" w:rsidR="00470A63" w:rsidRPr="009A64AF" w:rsidRDefault="00470A63">
      <w:pPr>
        <w:rPr>
          <w:rFonts w:ascii="Arial" w:hAnsi="Arial" w:cs="Arial"/>
          <w:lang w:val="en-NZ"/>
        </w:rPr>
      </w:pPr>
    </w:p>
    <w:tbl>
      <w:tblPr>
        <w:tblW w:w="154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2679"/>
        <w:gridCol w:w="2679"/>
        <w:gridCol w:w="2679"/>
        <w:gridCol w:w="2680"/>
        <w:gridCol w:w="2642"/>
      </w:tblGrid>
      <w:tr w:rsidR="00721A5A" w:rsidRPr="009A64AF" w14:paraId="332AA355" w14:textId="77777777" w:rsidTr="007223FD">
        <w:trPr>
          <w:trHeight w:val="486"/>
          <w:tblHeader/>
          <w:jc w:val="center"/>
        </w:trPr>
        <w:tc>
          <w:tcPr>
            <w:tcW w:w="20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EF72C" w14:textId="4BF8F30F" w:rsidR="008045C6" w:rsidRPr="009A64AF" w:rsidRDefault="008045C6" w:rsidP="00C702EC">
            <w:pPr>
              <w:pStyle w:val="Body"/>
              <w:spacing w:after="0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b/>
                <w:bCs/>
                <w:lang w:val="en-NZ"/>
              </w:rPr>
              <w:t>Review metho</w:t>
            </w:r>
            <w:r w:rsidR="00C45A22" w:rsidRPr="009A64AF">
              <w:rPr>
                <w:rFonts w:ascii="Arial" w:hAnsi="Arial" w:cs="Arial"/>
                <w:b/>
                <w:bCs/>
                <w:lang w:val="en-NZ"/>
              </w:rPr>
              <w:t>d</w:t>
            </w:r>
          </w:p>
        </w:tc>
        <w:tc>
          <w:tcPr>
            <w:tcW w:w="26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D4A6B" w14:textId="77777777" w:rsidR="008045C6" w:rsidRPr="009A64AF" w:rsidRDefault="008045C6" w:rsidP="00C702EC">
            <w:pPr>
              <w:pStyle w:val="Body"/>
              <w:spacing w:after="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b/>
                <w:bCs/>
                <w:lang w:val="en-NZ"/>
              </w:rPr>
              <w:t>Description</w:t>
            </w:r>
          </w:p>
        </w:tc>
        <w:tc>
          <w:tcPr>
            <w:tcW w:w="26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CD965" w14:textId="77777777" w:rsidR="008045C6" w:rsidRPr="009A64AF" w:rsidRDefault="008045C6" w:rsidP="00C702EC">
            <w:pPr>
              <w:pStyle w:val="Body"/>
              <w:spacing w:after="0" w:line="240" w:lineRule="auto"/>
              <w:jc w:val="both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b/>
                <w:bCs/>
                <w:lang w:val="en-NZ"/>
              </w:rPr>
              <w:t>When to use</w:t>
            </w:r>
          </w:p>
        </w:tc>
        <w:tc>
          <w:tcPr>
            <w:tcW w:w="26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CA82B" w14:textId="77777777" w:rsidR="008045C6" w:rsidRPr="009A64AF" w:rsidRDefault="008045C6" w:rsidP="00C702EC">
            <w:pPr>
              <w:pStyle w:val="Body"/>
              <w:spacing w:after="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b/>
                <w:bCs/>
                <w:lang w:val="en-NZ"/>
              </w:rPr>
              <w:t>Strengths</w:t>
            </w:r>
          </w:p>
        </w:tc>
        <w:tc>
          <w:tcPr>
            <w:tcW w:w="26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C6778" w14:textId="77777777" w:rsidR="008045C6" w:rsidRPr="009A64AF" w:rsidRDefault="008045C6" w:rsidP="00C702EC">
            <w:pPr>
              <w:pStyle w:val="Body"/>
              <w:spacing w:after="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b/>
                <w:bCs/>
                <w:lang w:val="en-NZ"/>
              </w:rPr>
              <w:t>Weaknesses</w:t>
            </w:r>
          </w:p>
        </w:tc>
        <w:tc>
          <w:tcPr>
            <w:tcW w:w="26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A2502" w14:textId="77777777" w:rsidR="008045C6" w:rsidRPr="009A64AF" w:rsidRDefault="008045C6" w:rsidP="00C702EC">
            <w:pPr>
              <w:pStyle w:val="Body"/>
              <w:spacing w:after="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b/>
                <w:bCs/>
                <w:lang w:val="en-NZ"/>
              </w:rPr>
              <w:t>Training and resources available</w:t>
            </w:r>
          </w:p>
        </w:tc>
      </w:tr>
      <w:tr w:rsidR="00C441DF" w:rsidRPr="009A64AF" w14:paraId="5646B08E" w14:textId="77777777" w:rsidTr="007223FD">
        <w:trPr>
          <w:trHeight w:val="4167"/>
          <w:jc w:val="center"/>
        </w:trPr>
        <w:tc>
          <w:tcPr>
            <w:tcW w:w="20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2248A" w14:textId="4C4DA82E" w:rsidR="00C441DF" w:rsidRPr="009A64AF" w:rsidRDefault="00F27FCE" w:rsidP="00B30027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C</w:t>
            </w:r>
            <w:r w:rsidR="003E4932">
              <w:rPr>
                <w:rFonts w:ascii="Arial" w:hAnsi="Arial" w:cs="Arial"/>
                <w:lang w:val="en-NZ"/>
              </w:rPr>
              <w:t>anadian</w:t>
            </w:r>
            <w:r w:rsidR="00C441DF" w:rsidRPr="009A64AF">
              <w:rPr>
                <w:rFonts w:ascii="Arial" w:hAnsi="Arial" w:cs="Arial"/>
                <w:lang w:val="en-NZ"/>
              </w:rPr>
              <w:t xml:space="preserve"> incident analysis tool</w:t>
            </w:r>
            <w:r w:rsidR="00C441DF" w:rsidRPr="009A64AF">
              <w:rPr>
                <w:rStyle w:val="FootnoteReference"/>
                <w:rFonts w:ascii="Arial" w:hAnsi="Arial" w:cs="Arial"/>
                <w:lang w:val="en-NZ"/>
              </w:rPr>
              <w:footnoteReference w:id="4"/>
            </w:r>
          </w:p>
        </w:tc>
        <w:tc>
          <w:tcPr>
            <w:tcW w:w="26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0795B" w14:textId="77777777" w:rsidR="00C441DF" w:rsidRPr="009A64AF" w:rsidRDefault="00C441DF" w:rsidP="00B30027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Involves a conscious and deliberate decision to focus primarily on four aspects: the agreed upon facts, key contributing factors and findings, actions for improvement (if any), and evaluation.</w:t>
            </w:r>
          </w:p>
          <w:p w14:paraId="6C7C6CE0" w14:textId="7F81B008" w:rsidR="00C441DF" w:rsidRPr="009A64AF" w:rsidRDefault="00C441DF" w:rsidP="00B30027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 xml:space="preserve">An analysis by a person(s) with knowledge of the incident analysis process, human </w:t>
            </w:r>
            <w:proofErr w:type="gramStart"/>
            <w:r w:rsidRPr="009A64AF">
              <w:rPr>
                <w:rFonts w:ascii="Arial" w:hAnsi="Arial" w:cs="Arial"/>
                <w:lang w:val="en-NZ"/>
              </w:rPr>
              <w:t>factors</w:t>
            </w:r>
            <w:proofErr w:type="gramEnd"/>
            <w:r w:rsidRPr="009A64AF">
              <w:rPr>
                <w:rFonts w:ascii="Arial" w:hAnsi="Arial" w:cs="Arial"/>
                <w:lang w:val="en-NZ"/>
              </w:rPr>
              <w:t xml:space="preserve"> and effective solutions development in health</w:t>
            </w:r>
            <w:r w:rsidR="00881E2A">
              <w:rPr>
                <w:rFonts w:ascii="Arial" w:hAnsi="Arial" w:cs="Arial"/>
                <w:lang w:val="en-NZ"/>
              </w:rPr>
              <w:t xml:space="preserve"> </w:t>
            </w:r>
            <w:r w:rsidRPr="009A64AF">
              <w:rPr>
                <w:rFonts w:ascii="Arial" w:hAnsi="Arial" w:cs="Arial"/>
                <w:lang w:val="en-NZ"/>
              </w:rPr>
              <w:t xml:space="preserve">care, with input gathered from </w:t>
            </w:r>
            <w:r w:rsidR="00F42A1B" w:rsidRPr="009A64AF">
              <w:rPr>
                <w:rFonts w:ascii="Arial" w:hAnsi="Arial" w:cs="Arial"/>
                <w:lang w:val="en-NZ"/>
              </w:rPr>
              <w:t>consumers</w:t>
            </w:r>
            <w:r w:rsidRPr="009A64AF">
              <w:rPr>
                <w:rFonts w:ascii="Arial" w:hAnsi="Arial" w:cs="Arial"/>
                <w:lang w:val="en-NZ"/>
              </w:rPr>
              <w:t xml:space="preserve">, </w:t>
            </w:r>
            <w:r w:rsidR="00F42A1B" w:rsidRPr="009A64AF">
              <w:rPr>
                <w:rFonts w:ascii="Arial" w:hAnsi="Arial" w:cs="Arial"/>
                <w:lang w:val="en-NZ"/>
              </w:rPr>
              <w:t>whānau</w:t>
            </w:r>
            <w:r w:rsidRPr="009A64AF">
              <w:rPr>
                <w:rFonts w:ascii="Arial" w:hAnsi="Arial" w:cs="Arial"/>
                <w:lang w:val="en-NZ"/>
              </w:rPr>
              <w:t>, staff and physicians local to the event as well as organi</w:t>
            </w:r>
            <w:r w:rsidR="00F42A1B" w:rsidRPr="009A64AF">
              <w:rPr>
                <w:rFonts w:ascii="Arial" w:hAnsi="Arial" w:cs="Arial"/>
                <w:lang w:val="en-NZ"/>
              </w:rPr>
              <w:t>s</w:t>
            </w:r>
            <w:r w:rsidRPr="009A64AF">
              <w:rPr>
                <w:rFonts w:ascii="Arial" w:hAnsi="Arial" w:cs="Arial"/>
                <w:lang w:val="en-NZ"/>
              </w:rPr>
              <w:t>ational or external experts.</w:t>
            </w:r>
          </w:p>
        </w:tc>
        <w:tc>
          <w:tcPr>
            <w:tcW w:w="26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9BEE3" w14:textId="777C7DE0" w:rsidR="00C441DF" w:rsidRPr="009A64AF" w:rsidRDefault="00C441DF" w:rsidP="00B30027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 xml:space="preserve">Incidents that resulted in no or low harm to the </w:t>
            </w:r>
            <w:r w:rsidR="00F42A1B" w:rsidRPr="009A64AF">
              <w:rPr>
                <w:rFonts w:ascii="Arial" w:hAnsi="Arial" w:cs="Arial"/>
                <w:lang w:val="en-NZ"/>
              </w:rPr>
              <w:t>consumer</w:t>
            </w:r>
            <w:r w:rsidRPr="009A64AF">
              <w:rPr>
                <w:rFonts w:ascii="Arial" w:hAnsi="Arial" w:cs="Arial"/>
                <w:lang w:val="en-NZ"/>
              </w:rPr>
              <w:t>.</w:t>
            </w:r>
          </w:p>
          <w:p w14:paraId="7FCD11DB" w14:textId="7DF5E033" w:rsidR="00C441DF" w:rsidRPr="009A64AF" w:rsidRDefault="00C441DF" w:rsidP="00B30027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Incidents primarily limited to one work area, division or department.</w:t>
            </w:r>
          </w:p>
          <w:p w14:paraId="79330773" w14:textId="77777777" w:rsidR="00C441DF" w:rsidRPr="009A64AF" w:rsidRDefault="00C441DF" w:rsidP="00B30027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New incidents for which a comprehensive analysis was recently completed.</w:t>
            </w:r>
          </w:p>
          <w:p w14:paraId="35B1C196" w14:textId="77777777" w:rsidR="00C441DF" w:rsidRPr="009A64AF" w:rsidRDefault="00C441DF" w:rsidP="00B30027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Initial review to determine whether a comprehensive incident analysis is appropriate.</w:t>
            </w:r>
          </w:p>
        </w:tc>
        <w:tc>
          <w:tcPr>
            <w:tcW w:w="26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C663D" w14:textId="25156C67" w:rsidR="00C441DF" w:rsidRPr="009A64AF" w:rsidRDefault="00C441DF" w:rsidP="00B30027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Less resource intensive than other methods</w:t>
            </w:r>
            <w:r w:rsidR="00DE59FE" w:rsidRPr="009A64AF">
              <w:rPr>
                <w:rFonts w:ascii="Arial" w:hAnsi="Arial" w:cs="Arial"/>
                <w:lang w:val="en-NZ"/>
              </w:rPr>
              <w:t>.</w:t>
            </w:r>
          </w:p>
          <w:p w14:paraId="16CB2EB2" w14:textId="77777777" w:rsidR="00C441DF" w:rsidRPr="009A64AF" w:rsidRDefault="00C441DF" w:rsidP="00B30027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Uses a systems approach and considers human factors.</w:t>
            </w:r>
          </w:p>
        </w:tc>
        <w:tc>
          <w:tcPr>
            <w:tcW w:w="26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B11F3" w14:textId="0FBB16C9" w:rsidR="00C441DF" w:rsidRPr="009A64AF" w:rsidRDefault="00C441DF" w:rsidP="00B30027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Generally facilitated by one person</w:t>
            </w:r>
            <w:r w:rsidR="00F42A1B" w:rsidRPr="009A64AF">
              <w:rPr>
                <w:rFonts w:ascii="Arial" w:hAnsi="Arial" w:cs="Arial"/>
                <w:lang w:val="en-NZ"/>
              </w:rPr>
              <w:t>,</w:t>
            </w:r>
            <w:r w:rsidRPr="009A64AF">
              <w:rPr>
                <w:rFonts w:ascii="Arial" w:hAnsi="Arial" w:cs="Arial"/>
                <w:lang w:val="en-NZ"/>
              </w:rPr>
              <w:t xml:space="preserve"> which may result in an overly narrow focus.</w:t>
            </w:r>
          </w:p>
          <w:p w14:paraId="6869A2FE" w14:textId="77777777" w:rsidR="00C441DF" w:rsidRPr="009A64AF" w:rsidRDefault="00C441DF" w:rsidP="00B30027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Abbreviated scope may not capture all causal factors.</w:t>
            </w:r>
          </w:p>
          <w:p w14:paraId="087C3BFF" w14:textId="79E955E6" w:rsidR="00F02963" w:rsidRPr="009A64AF" w:rsidRDefault="00F02963" w:rsidP="00B30027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Focus is on the review team as the experts rather than those doing the work.</w:t>
            </w:r>
          </w:p>
        </w:tc>
        <w:tc>
          <w:tcPr>
            <w:tcW w:w="26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65944" w14:textId="5CA6FF09" w:rsidR="00C441DF" w:rsidRPr="009A64AF" w:rsidRDefault="00C441DF" w:rsidP="00B30027">
            <w:pPr>
              <w:spacing w:after="180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9A64AF">
              <w:rPr>
                <w:rFonts w:ascii="Arial" w:hAnsi="Arial" w:cs="Arial"/>
                <w:sz w:val="22"/>
                <w:szCs w:val="22"/>
                <w:lang w:val="en-NZ"/>
              </w:rPr>
              <w:t xml:space="preserve">No training </w:t>
            </w:r>
            <w:r w:rsidR="001C072A" w:rsidRPr="009A64AF">
              <w:rPr>
                <w:rFonts w:ascii="Arial" w:hAnsi="Arial" w:cs="Arial"/>
                <w:sz w:val="22"/>
                <w:szCs w:val="22"/>
                <w:lang w:val="en-NZ"/>
              </w:rPr>
              <w:t xml:space="preserve">currently </w:t>
            </w:r>
            <w:r w:rsidRPr="009A64AF">
              <w:rPr>
                <w:rFonts w:ascii="Arial" w:hAnsi="Arial" w:cs="Arial"/>
                <w:sz w:val="22"/>
                <w:szCs w:val="22"/>
                <w:lang w:val="en-NZ"/>
              </w:rPr>
              <w:t>available for this in New Zealand.</w:t>
            </w:r>
          </w:p>
          <w:p w14:paraId="3A5AC16D" w14:textId="77777777" w:rsidR="00C441DF" w:rsidRPr="009A64AF" w:rsidRDefault="00C441DF" w:rsidP="00B30027">
            <w:pPr>
              <w:spacing w:after="180"/>
              <w:rPr>
                <w:rFonts w:ascii="Arial" w:hAnsi="Arial" w:cs="Arial"/>
                <w:sz w:val="22"/>
                <w:szCs w:val="22"/>
                <w:lang w:val="en-NZ"/>
              </w:rPr>
            </w:pPr>
          </w:p>
          <w:p w14:paraId="46BB41A6" w14:textId="77777777" w:rsidR="00C441DF" w:rsidRPr="009A64AF" w:rsidRDefault="00C441DF" w:rsidP="00B30027">
            <w:pPr>
              <w:spacing w:after="180"/>
              <w:rPr>
                <w:rFonts w:ascii="Arial" w:hAnsi="Arial" w:cs="Arial"/>
                <w:sz w:val="22"/>
                <w:szCs w:val="22"/>
                <w:lang w:val="en-NZ"/>
              </w:rPr>
            </w:pPr>
          </w:p>
          <w:p w14:paraId="18D248FC" w14:textId="77777777" w:rsidR="00C441DF" w:rsidRPr="009A64AF" w:rsidRDefault="00C441DF" w:rsidP="00B30027">
            <w:pPr>
              <w:spacing w:after="180"/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</w:tbl>
    <w:p w14:paraId="3CE7ED9F" w14:textId="7143887D" w:rsidR="00320309" w:rsidRPr="009A64AF" w:rsidRDefault="00320309">
      <w:pPr>
        <w:rPr>
          <w:rFonts w:ascii="Arial" w:hAnsi="Arial" w:cs="Arial"/>
          <w:lang w:val="en-NZ"/>
        </w:rPr>
      </w:pPr>
    </w:p>
    <w:p w14:paraId="46D829C2" w14:textId="6DC6C52D" w:rsidR="00320309" w:rsidRPr="009A64AF" w:rsidRDefault="00320309">
      <w:pPr>
        <w:rPr>
          <w:rFonts w:ascii="Arial" w:hAnsi="Arial" w:cs="Arial"/>
          <w:lang w:val="en-NZ"/>
        </w:rPr>
      </w:pPr>
    </w:p>
    <w:p w14:paraId="7D87370C" w14:textId="4757B02F" w:rsidR="00320309" w:rsidRPr="009A64AF" w:rsidRDefault="00320309">
      <w:pPr>
        <w:rPr>
          <w:rFonts w:ascii="Arial" w:hAnsi="Arial" w:cs="Arial"/>
          <w:lang w:val="en-NZ"/>
        </w:rPr>
      </w:pPr>
    </w:p>
    <w:p w14:paraId="0A0ED96A" w14:textId="76B75EEB" w:rsidR="00320309" w:rsidRPr="009A64AF" w:rsidRDefault="00320309">
      <w:pPr>
        <w:rPr>
          <w:rFonts w:ascii="Arial" w:hAnsi="Arial" w:cs="Arial"/>
          <w:lang w:val="en-NZ"/>
        </w:rPr>
      </w:pPr>
    </w:p>
    <w:p w14:paraId="73C14C0A" w14:textId="598F0069" w:rsidR="00320309" w:rsidRPr="009A64AF" w:rsidRDefault="00320309">
      <w:pPr>
        <w:rPr>
          <w:rFonts w:ascii="Arial" w:hAnsi="Arial" w:cs="Arial"/>
          <w:lang w:val="en-NZ"/>
        </w:rPr>
      </w:pPr>
    </w:p>
    <w:p w14:paraId="5E0FA1D2" w14:textId="18BFE1CA" w:rsidR="00320309" w:rsidRPr="009A64AF" w:rsidRDefault="00320309">
      <w:pPr>
        <w:rPr>
          <w:rFonts w:ascii="Arial" w:hAnsi="Arial" w:cs="Arial"/>
          <w:lang w:val="en-NZ"/>
        </w:rPr>
      </w:pPr>
    </w:p>
    <w:p w14:paraId="1445B676" w14:textId="5175898F" w:rsidR="00320309" w:rsidRPr="009A64AF" w:rsidRDefault="00320309">
      <w:pPr>
        <w:rPr>
          <w:rFonts w:ascii="Arial" w:hAnsi="Arial" w:cs="Arial"/>
          <w:lang w:val="en-NZ"/>
        </w:rPr>
      </w:pPr>
    </w:p>
    <w:p w14:paraId="252B11BC" w14:textId="00542A86" w:rsidR="00320309" w:rsidRPr="009A64AF" w:rsidRDefault="00320309">
      <w:pPr>
        <w:rPr>
          <w:rFonts w:ascii="Arial" w:hAnsi="Arial" w:cs="Arial"/>
          <w:lang w:val="en-NZ"/>
        </w:rPr>
      </w:pPr>
    </w:p>
    <w:p w14:paraId="37F00643" w14:textId="0E2CF8EF" w:rsidR="00320309" w:rsidRPr="009A64AF" w:rsidRDefault="00320309">
      <w:pPr>
        <w:rPr>
          <w:rFonts w:ascii="Arial" w:hAnsi="Arial" w:cs="Arial"/>
          <w:lang w:val="en-NZ"/>
        </w:rPr>
      </w:pPr>
    </w:p>
    <w:tbl>
      <w:tblPr>
        <w:tblW w:w="154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092"/>
        <w:gridCol w:w="2679"/>
        <w:gridCol w:w="2679"/>
        <w:gridCol w:w="2679"/>
        <w:gridCol w:w="2680"/>
        <w:gridCol w:w="2642"/>
      </w:tblGrid>
      <w:tr w:rsidR="00721A5A" w:rsidRPr="009A64AF" w14:paraId="76032230" w14:textId="77777777" w:rsidTr="003E074B">
        <w:trPr>
          <w:trHeight w:val="486"/>
          <w:tblHeader/>
          <w:jc w:val="center"/>
        </w:trPr>
        <w:tc>
          <w:tcPr>
            <w:tcW w:w="2092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3B1B3" w14:textId="77777777" w:rsidR="00320309" w:rsidRPr="009A64AF" w:rsidRDefault="00320309" w:rsidP="00C702EC">
            <w:pPr>
              <w:pStyle w:val="Body"/>
              <w:spacing w:after="0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b/>
                <w:bCs/>
                <w:lang w:val="en-NZ"/>
              </w:rPr>
              <w:t>Review method</w:t>
            </w:r>
          </w:p>
        </w:tc>
        <w:tc>
          <w:tcPr>
            <w:tcW w:w="2679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4D7B3" w14:textId="77777777" w:rsidR="00320309" w:rsidRPr="009A64AF" w:rsidRDefault="00320309" w:rsidP="00C702EC">
            <w:pPr>
              <w:pStyle w:val="Body"/>
              <w:spacing w:after="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b/>
                <w:bCs/>
                <w:lang w:val="en-NZ"/>
              </w:rPr>
              <w:t>Description</w:t>
            </w:r>
          </w:p>
        </w:tc>
        <w:tc>
          <w:tcPr>
            <w:tcW w:w="2679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3C64B" w14:textId="77777777" w:rsidR="00320309" w:rsidRPr="009A64AF" w:rsidRDefault="00320309" w:rsidP="00C702EC">
            <w:pPr>
              <w:pStyle w:val="Body"/>
              <w:spacing w:after="0" w:line="240" w:lineRule="auto"/>
              <w:jc w:val="both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b/>
                <w:bCs/>
                <w:lang w:val="en-NZ"/>
              </w:rPr>
              <w:t>When to use</w:t>
            </w:r>
          </w:p>
        </w:tc>
        <w:tc>
          <w:tcPr>
            <w:tcW w:w="2679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B0409" w14:textId="77777777" w:rsidR="00320309" w:rsidRPr="009A64AF" w:rsidRDefault="00320309" w:rsidP="00C702EC">
            <w:pPr>
              <w:pStyle w:val="Body"/>
              <w:spacing w:after="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b/>
                <w:bCs/>
                <w:lang w:val="en-NZ"/>
              </w:rPr>
              <w:t>Strengths</w:t>
            </w:r>
          </w:p>
        </w:tc>
        <w:tc>
          <w:tcPr>
            <w:tcW w:w="2680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6B07A" w14:textId="77777777" w:rsidR="00320309" w:rsidRPr="009A64AF" w:rsidRDefault="00320309" w:rsidP="00C702EC">
            <w:pPr>
              <w:pStyle w:val="Body"/>
              <w:spacing w:after="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b/>
                <w:bCs/>
                <w:lang w:val="en-NZ"/>
              </w:rPr>
              <w:t>Weaknesses</w:t>
            </w:r>
          </w:p>
        </w:tc>
        <w:tc>
          <w:tcPr>
            <w:tcW w:w="2642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CFEAE" w14:textId="77777777" w:rsidR="00320309" w:rsidRPr="009A64AF" w:rsidRDefault="00320309" w:rsidP="00C702EC">
            <w:pPr>
              <w:pStyle w:val="Body"/>
              <w:spacing w:after="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b/>
                <w:bCs/>
                <w:lang w:val="en-NZ"/>
              </w:rPr>
              <w:t>Training and resources available</w:t>
            </w:r>
          </w:p>
        </w:tc>
      </w:tr>
      <w:tr w:rsidR="00C9203B" w:rsidRPr="009A64AF" w14:paraId="2D9E173C" w14:textId="77777777" w:rsidTr="00947B7E">
        <w:trPr>
          <w:trHeight w:val="4007"/>
          <w:jc w:val="center"/>
        </w:trPr>
        <w:tc>
          <w:tcPr>
            <w:tcW w:w="20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01C96" w14:textId="53C127D7" w:rsidR="00C9203B" w:rsidRPr="009A64AF" w:rsidRDefault="00AE0406" w:rsidP="00B30027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R</w:t>
            </w:r>
            <w:r w:rsidR="00C9203B" w:rsidRPr="009A64AF">
              <w:rPr>
                <w:rFonts w:ascii="Arial" w:hAnsi="Arial" w:cs="Arial"/>
                <w:lang w:val="en-NZ"/>
              </w:rPr>
              <w:t>oot cause analysis (RCA)</w:t>
            </w:r>
            <w:r w:rsidR="008C1F47" w:rsidRPr="009A64AF">
              <w:rPr>
                <w:rStyle w:val="FootnoteReference"/>
                <w:rFonts w:ascii="Arial" w:hAnsi="Arial" w:cs="Arial"/>
                <w:lang w:val="en-NZ"/>
              </w:rPr>
              <w:footnoteReference w:id="5"/>
            </w:r>
          </w:p>
          <w:p w14:paraId="4685A100" w14:textId="77777777" w:rsidR="00AC1FB1" w:rsidRPr="009A64AF" w:rsidRDefault="00AC1FB1" w:rsidP="00B30027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RCA</w:t>
            </w:r>
            <w:r w:rsidRPr="00A43005">
              <w:rPr>
                <w:rFonts w:ascii="Arial" w:hAnsi="Arial" w:cs="Arial"/>
                <w:vertAlign w:val="superscript"/>
                <w:lang w:val="en-NZ"/>
              </w:rPr>
              <w:t>2</w:t>
            </w:r>
            <w:r w:rsidR="005709C3" w:rsidRPr="009A64AF">
              <w:rPr>
                <w:rFonts w:ascii="Arial" w:hAnsi="Arial" w:cs="Arial"/>
                <w:lang w:val="en-NZ"/>
              </w:rPr>
              <w:t xml:space="preserve"> (root cause analysis actions)</w:t>
            </w:r>
            <w:r w:rsidRPr="009A64AF">
              <w:rPr>
                <w:rStyle w:val="FootnoteReference"/>
                <w:rFonts w:ascii="Arial" w:hAnsi="Arial" w:cs="Arial"/>
                <w:lang w:val="en-NZ"/>
              </w:rPr>
              <w:footnoteReference w:id="6"/>
            </w:r>
          </w:p>
          <w:p w14:paraId="0F7E563E" w14:textId="77777777" w:rsidR="008C1F47" w:rsidRPr="009A64AF" w:rsidRDefault="008C1F47" w:rsidP="00B30027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</w:p>
          <w:p w14:paraId="7CBF48CF" w14:textId="77777777" w:rsidR="008C1F47" w:rsidRPr="009A64AF" w:rsidRDefault="008C1F47" w:rsidP="00B30027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</w:p>
        </w:tc>
        <w:tc>
          <w:tcPr>
            <w:tcW w:w="26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9278E" w14:textId="2D39FFC1" w:rsidR="00C9203B" w:rsidRPr="009A64AF" w:rsidRDefault="00C9203B" w:rsidP="00B84EB1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A systematic process for identifying the root causes of a problem or event and describing an approach to responding to them</w:t>
            </w:r>
            <w:r w:rsidR="00DE59FE" w:rsidRPr="009A64AF">
              <w:rPr>
                <w:rFonts w:ascii="Arial" w:hAnsi="Arial" w:cs="Arial"/>
                <w:lang w:val="en-NZ"/>
              </w:rPr>
              <w:t>.</w:t>
            </w:r>
          </w:p>
          <w:p w14:paraId="644F6440" w14:textId="77777777" w:rsidR="00C9203B" w:rsidRPr="009A64AF" w:rsidRDefault="00C9203B" w:rsidP="00397ADD">
            <w:pPr>
              <w:pStyle w:val="Body"/>
              <w:spacing w:after="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Asks three questions:</w:t>
            </w:r>
          </w:p>
          <w:p w14:paraId="54C5DA25" w14:textId="34224E7B" w:rsidR="00C9203B" w:rsidRPr="009A64AF" w:rsidRDefault="00A67534" w:rsidP="00A873E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0" w:hanging="170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W</w:t>
            </w:r>
            <w:r w:rsidR="00C9203B" w:rsidRPr="009A64AF">
              <w:rPr>
                <w:rFonts w:ascii="Arial" w:hAnsi="Arial" w:cs="Arial"/>
                <w:lang w:val="en-NZ"/>
              </w:rPr>
              <w:t>hat happened</w:t>
            </w:r>
            <w:r w:rsidR="00D86AB0" w:rsidRPr="009A64AF">
              <w:rPr>
                <w:rFonts w:ascii="Arial" w:hAnsi="Arial" w:cs="Arial"/>
                <w:lang w:val="en-NZ"/>
              </w:rPr>
              <w:t>?</w:t>
            </w:r>
          </w:p>
          <w:p w14:paraId="454E90B0" w14:textId="23298353" w:rsidR="00C9203B" w:rsidRPr="009A64AF" w:rsidRDefault="00A67534" w:rsidP="00A873E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0" w:hanging="170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W</w:t>
            </w:r>
            <w:r w:rsidR="00C9203B" w:rsidRPr="009A64AF">
              <w:rPr>
                <w:rFonts w:ascii="Arial" w:hAnsi="Arial" w:cs="Arial"/>
                <w:lang w:val="en-NZ"/>
              </w:rPr>
              <w:t>hy did it happen?</w:t>
            </w:r>
          </w:p>
          <w:p w14:paraId="24BD1607" w14:textId="0A9FDB4D" w:rsidR="00C9203B" w:rsidRPr="009A64AF" w:rsidRDefault="00A67534" w:rsidP="00A873EB">
            <w:pPr>
              <w:pStyle w:val="ListParagraph"/>
              <w:numPr>
                <w:ilvl w:val="0"/>
                <w:numId w:val="8"/>
              </w:numPr>
              <w:spacing w:after="180" w:line="240" w:lineRule="auto"/>
              <w:ind w:left="170" w:hanging="170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W</w:t>
            </w:r>
            <w:r w:rsidR="00C9203B" w:rsidRPr="009A64AF">
              <w:rPr>
                <w:rFonts w:ascii="Arial" w:hAnsi="Arial" w:cs="Arial"/>
                <w:lang w:val="en-NZ"/>
              </w:rPr>
              <w:t>hat can be done to prevent it happening again?</w:t>
            </w:r>
          </w:p>
        </w:tc>
        <w:tc>
          <w:tcPr>
            <w:tcW w:w="26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2DE3E" w14:textId="77777777" w:rsidR="00C9203B" w:rsidRPr="009A64AF" w:rsidRDefault="00C9203B" w:rsidP="00A04714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Uncomplicated events with few causal factors.</w:t>
            </w:r>
          </w:p>
          <w:p w14:paraId="64464CC8" w14:textId="3D26BCCC" w:rsidR="00C9203B" w:rsidRPr="009A64AF" w:rsidRDefault="00C9203B" w:rsidP="00A04714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Linear event</w:t>
            </w:r>
            <w:r w:rsidR="00D23123" w:rsidRPr="009A64AF">
              <w:rPr>
                <w:rFonts w:ascii="Arial" w:hAnsi="Arial" w:cs="Arial"/>
                <w:lang w:val="en-NZ"/>
              </w:rPr>
              <w:t>s</w:t>
            </w:r>
            <w:r w:rsidRPr="009A64AF">
              <w:rPr>
                <w:rFonts w:ascii="Arial" w:hAnsi="Arial" w:cs="Arial"/>
                <w:lang w:val="en-NZ"/>
              </w:rPr>
              <w:t xml:space="preserve"> with low complexity.</w:t>
            </w:r>
          </w:p>
        </w:tc>
        <w:tc>
          <w:tcPr>
            <w:tcW w:w="26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C90E2" w14:textId="77777777" w:rsidR="00C9203B" w:rsidRPr="009A64AF" w:rsidRDefault="00C9203B" w:rsidP="00A04714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Can identify systems-based corrective actions.</w:t>
            </w:r>
          </w:p>
          <w:p w14:paraId="2F4F3473" w14:textId="77777777" w:rsidR="00C9203B" w:rsidRPr="009A64AF" w:rsidRDefault="00C9203B" w:rsidP="00A04714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Carried out by a multidisciplinary team.</w:t>
            </w:r>
          </w:p>
          <w:p w14:paraId="0C9BED7B" w14:textId="77777777" w:rsidR="00C9203B" w:rsidRPr="009A64AF" w:rsidRDefault="00C9203B" w:rsidP="00A04714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 xml:space="preserve">Provides structure to the </w:t>
            </w:r>
            <w:r w:rsidR="00C20315" w:rsidRPr="009A64AF">
              <w:rPr>
                <w:rFonts w:ascii="Arial" w:hAnsi="Arial" w:cs="Arial"/>
                <w:lang w:val="en-NZ"/>
              </w:rPr>
              <w:t>retrospective</w:t>
            </w:r>
            <w:r w:rsidRPr="009A64AF">
              <w:rPr>
                <w:rFonts w:ascii="Arial" w:hAnsi="Arial" w:cs="Arial"/>
                <w:lang w:val="en-NZ"/>
              </w:rPr>
              <w:t xml:space="preserve"> analysis of adverse events. </w:t>
            </w:r>
          </w:p>
        </w:tc>
        <w:tc>
          <w:tcPr>
            <w:tcW w:w="26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24905" w14:textId="77777777" w:rsidR="00C9203B" w:rsidRPr="009A64AF" w:rsidRDefault="00C9203B" w:rsidP="00A04714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Time and resource intensive.</w:t>
            </w:r>
          </w:p>
          <w:p w14:paraId="6DE82DA3" w14:textId="4D124A9D" w:rsidR="00C9203B" w:rsidRPr="009A64AF" w:rsidRDefault="00C9203B" w:rsidP="00A04714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Difficult to write truly systems-based recommendations without whole</w:t>
            </w:r>
            <w:r w:rsidR="00D23123" w:rsidRPr="009A64AF">
              <w:rPr>
                <w:rFonts w:ascii="Arial" w:hAnsi="Arial" w:cs="Arial"/>
                <w:lang w:val="en-NZ"/>
              </w:rPr>
              <w:t>-</w:t>
            </w:r>
            <w:r w:rsidRPr="009A64AF">
              <w:rPr>
                <w:rFonts w:ascii="Arial" w:hAnsi="Arial" w:cs="Arial"/>
                <w:lang w:val="en-NZ"/>
              </w:rPr>
              <w:t>of</w:t>
            </w:r>
            <w:r w:rsidR="00D23123" w:rsidRPr="009A64AF">
              <w:rPr>
                <w:rFonts w:ascii="Arial" w:hAnsi="Arial" w:cs="Arial"/>
                <w:lang w:val="en-NZ"/>
              </w:rPr>
              <w:t>-</w:t>
            </w:r>
            <w:r w:rsidRPr="009A64AF">
              <w:rPr>
                <w:rFonts w:ascii="Arial" w:hAnsi="Arial" w:cs="Arial"/>
                <w:lang w:val="en-NZ"/>
              </w:rPr>
              <w:t>sector input.</w:t>
            </w:r>
          </w:p>
          <w:p w14:paraId="7F2BCAD6" w14:textId="77777777" w:rsidR="00C9203B" w:rsidRPr="009A64AF" w:rsidRDefault="00C9203B" w:rsidP="00A04714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Implies a singular, linear cause.</w:t>
            </w:r>
          </w:p>
          <w:p w14:paraId="4E116110" w14:textId="77777777" w:rsidR="00C9203B" w:rsidRPr="009A64AF" w:rsidRDefault="00C9203B" w:rsidP="00A04714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Can be hindsight biased.</w:t>
            </w:r>
          </w:p>
          <w:p w14:paraId="32CBDFD2" w14:textId="16493D1F" w:rsidR="00C9203B" w:rsidRPr="009A64AF" w:rsidRDefault="00C9203B" w:rsidP="00A04714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Can become focused on clinician deficit rather than system</w:t>
            </w:r>
            <w:r w:rsidR="00DB78CD" w:rsidRPr="009A64AF">
              <w:rPr>
                <w:rFonts w:ascii="Arial" w:hAnsi="Arial" w:cs="Arial"/>
                <w:lang w:val="en-NZ"/>
              </w:rPr>
              <w:t>s</w:t>
            </w:r>
            <w:r w:rsidRPr="009A64AF">
              <w:rPr>
                <w:rFonts w:ascii="Arial" w:hAnsi="Arial" w:cs="Arial"/>
                <w:lang w:val="en-NZ"/>
              </w:rPr>
              <w:t xml:space="preserve"> factors</w:t>
            </w:r>
            <w:r w:rsidR="003A16B9" w:rsidRPr="009A64AF">
              <w:rPr>
                <w:rFonts w:ascii="Arial" w:hAnsi="Arial" w:cs="Arial"/>
                <w:lang w:val="en-NZ"/>
              </w:rPr>
              <w:t>.</w:t>
            </w:r>
          </w:p>
          <w:p w14:paraId="0BC57D41" w14:textId="46B2FCBD" w:rsidR="00F02963" w:rsidRPr="009A64AF" w:rsidRDefault="00F02963" w:rsidP="0074072F">
            <w:pPr>
              <w:pStyle w:val="Body"/>
              <w:spacing w:after="12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Focus is on the review team as the experts rather than those doing the work.</w:t>
            </w:r>
          </w:p>
        </w:tc>
        <w:tc>
          <w:tcPr>
            <w:tcW w:w="26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2E34E" w14:textId="51C54126" w:rsidR="00C9203B" w:rsidRPr="003E4932" w:rsidRDefault="00C9203B" w:rsidP="00A04714">
            <w:pPr>
              <w:spacing w:after="180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3E4932">
              <w:rPr>
                <w:rFonts w:ascii="Arial" w:hAnsi="Arial" w:cs="Arial"/>
                <w:sz w:val="22"/>
                <w:szCs w:val="22"/>
                <w:lang w:val="en-NZ"/>
              </w:rPr>
              <w:t xml:space="preserve">No training </w:t>
            </w:r>
            <w:r w:rsidR="00DB78CD" w:rsidRPr="003E4932">
              <w:rPr>
                <w:rFonts w:ascii="Arial" w:hAnsi="Arial" w:cs="Arial"/>
                <w:sz w:val="22"/>
                <w:szCs w:val="22"/>
                <w:lang w:val="en-NZ"/>
              </w:rPr>
              <w:t xml:space="preserve">currently </w:t>
            </w:r>
            <w:r w:rsidRPr="003E4932">
              <w:rPr>
                <w:rFonts w:ascii="Arial" w:hAnsi="Arial" w:cs="Arial"/>
                <w:sz w:val="22"/>
                <w:szCs w:val="22"/>
                <w:lang w:val="en-NZ"/>
              </w:rPr>
              <w:t>available for this in New Zealand.</w:t>
            </w:r>
          </w:p>
          <w:p w14:paraId="0672A47D" w14:textId="0E4BCB2E" w:rsidR="00CF5EA5" w:rsidRPr="003E4932" w:rsidRDefault="00CF5EA5" w:rsidP="00A04714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3E4932">
              <w:rPr>
                <w:rFonts w:ascii="Arial" w:hAnsi="Arial" w:cs="Arial"/>
                <w:sz w:val="22"/>
                <w:szCs w:val="22"/>
                <w:lang w:val="en-NZ"/>
              </w:rPr>
              <w:t xml:space="preserve">Resources available </w:t>
            </w:r>
            <w:r w:rsidR="003E4932" w:rsidRPr="003E4932">
              <w:rPr>
                <w:rFonts w:ascii="Arial" w:hAnsi="Arial" w:cs="Arial"/>
                <w:sz w:val="22"/>
                <w:szCs w:val="22"/>
                <w:lang w:val="en-NZ"/>
              </w:rPr>
              <w:t>at</w:t>
            </w:r>
            <w:r w:rsidR="00DB78CD" w:rsidRPr="003E4932">
              <w:rPr>
                <w:rFonts w:ascii="Arial" w:hAnsi="Arial" w:cs="Arial"/>
                <w:sz w:val="22"/>
                <w:szCs w:val="22"/>
                <w:lang w:val="en-NZ"/>
              </w:rPr>
              <w:t>:</w:t>
            </w:r>
            <w:r w:rsidRPr="003E4932">
              <w:rPr>
                <w:rFonts w:ascii="Arial" w:hAnsi="Arial" w:cs="Arial"/>
                <w:sz w:val="22"/>
                <w:szCs w:val="22"/>
                <w:lang w:val="en-NZ"/>
              </w:rPr>
              <w:t xml:space="preserve"> </w:t>
            </w:r>
          </w:p>
          <w:p w14:paraId="545A581A" w14:textId="77777777" w:rsidR="003E4932" w:rsidRPr="003E4932" w:rsidRDefault="00EC2710" w:rsidP="003E4932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hyperlink r:id="rId14" w:history="1">
              <w:r w:rsidR="003E4932" w:rsidRPr="003E4932">
                <w:rPr>
                  <w:rStyle w:val="Hyperlink"/>
                  <w:rFonts w:ascii="Arial" w:hAnsi="Arial" w:cs="Arial"/>
                  <w:sz w:val="22"/>
                  <w:szCs w:val="22"/>
                </w:rPr>
                <w:t>Root Cause Analysis - VHA National Center for Patient Safety (va.gov)</w:t>
              </w:r>
            </w:hyperlink>
          </w:p>
          <w:p w14:paraId="2E6F16DD" w14:textId="0539FCFE" w:rsidR="007939C8" w:rsidRPr="003E4932" w:rsidRDefault="007939C8" w:rsidP="003E4932">
            <w:pPr>
              <w:pStyle w:val="ListParagraph"/>
              <w:spacing w:after="0"/>
              <w:ind w:left="113"/>
              <w:rPr>
                <w:rFonts w:ascii="Arial" w:hAnsi="Arial" w:cs="Arial"/>
                <w:lang w:val="en-NZ"/>
              </w:rPr>
            </w:pPr>
          </w:p>
          <w:p w14:paraId="76CCE5F0" w14:textId="77777777" w:rsidR="00C9203B" w:rsidRPr="003E4932" w:rsidRDefault="00C9203B" w:rsidP="00A04714">
            <w:pPr>
              <w:spacing w:after="180"/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</w:tbl>
    <w:p w14:paraId="206F4376" w14:textId="2365877A" w:rsidR="00587CD7" w:rsidRPr="009A64AF" w:rsidRDefault="00587CD7">
      <w:pPr>
        <w:rPr>
          <w:rFonts w:ascii="Arial" w:hAnsi="Arial" w:cs="Arial"/>
          <w:lang w:val="en-NZ"/>
        </w:rPr>
      </w:pPr>
    </w:p>
    <w:p w14:paraId="090B188F" w14:textId="09B9D322" w:rsidR="00587CD7" w:rsidRPr="009A64AF" w:rsidRDefault="00587CD7">
      <w:pPr>
        <w:rPr>
          <w:rFonts w:ascii="Arial" w:hAnsi="Arial" w:cs="Arial"/>
          <w:lang w:val="en-NZ"/>
        </w:rPr>
      </w:pPr>
    </w:p>
    <w:p w14:paraId="38E58722" w14:textId="587DFDA4" w:rsidR="00587CD7" w:rsidRPr="009A64AF" w:rsidRDefault="00587CD7">
      <w:pPr>
        <w:rPr>
          <w:rFonts w:ascii="Arial" w:hAnsi="Arial" w:cs="Arial"/>
          <w:lang w:val="en-NZ"/>
        </w:rPr>
      </w:pPr>
    </w:p>
    <w:p w14:paraId="747851B2" w14:textId="46E300B1" w:rsidR="00587CD7" w:rsidRPr="009A64AF" w:rsidRDefault="00587CD7">
      <w:pPr>
        <w:rPr>
          <w:rFonts w:ascii="Arial" w:hAnsi="Arial" w:cs="Arial"/>
          <w:lang w:val="en-NZ"/>
        </w:rPr>
      </w:pPr>
    </w:p>
    <w:p w14:paraId="0D9E56DA" w14:textId="0E76A6CA" w:rsidR="00587CD7" w:rsidRPr="009A64AF" w:rsidRDefault="00587CD7">
      <w:pPr>
        <w:rPr>
          <w:rFonts w:ascii="Arial" w:hAnsi="Arial" w:cs="Arial"/>
          <w:lang w:val="en-NZ"/>
        </w:rPr>
      </w:pPr>
    </w:p>
    <w:p w14:paraId="78E952B2" w14:textId="2A166329" w:rsidR="00587CD7" w:rsidRPr="009A64AF" w:rsidRDefault="00587CD7">
      <w:pPr>
        <w:rPr>
          <w:rFonts w:ascii="Arial" w:hAnsi="Arial" w:cs="Arial"/>
          <w:lang w:val="en-NZ"/>
        </w:rPr>
      </w:pPr>
    </w:p>
    <w:p w14:paraId="37E6F655" w14:textId="3284FDEF" w:rsidR="00587CD7" w:rsidRPr="009A64AF" w:rsidRDefault="00587CD7">
      <w:pPr>
        <w:rPr>
          <w:rFonts w:ascii="Arial" w:hAnsi="Arial" w:cs="Arial"/>
          <w:lang w:val="en-NZ"/>
        </w:rPr>
      </w:pPr>
    </w:p>
    <w:p w14:paraId="330E989C" w14:textId="520169E5" w:rsidR="00587CD7" w:rsidRPr="009A64AF" w:rsidRDefault="00587CD7">
      <w:pPr>
        <w:rPr>
          <w:rFonts w:ascii="Arial" w:hAnsi="Arial" w:cs="Arial"/>
          <w:lang w:val="en-NZ"/>
        </w:rPr>
      </w:pPr>
    </w:p>
    <w:p w14:paraId="1B484C23" w14:textId="3F9D9B4E" w:rsidR="00587CD7" w:rsidRPr="009A64AF" w:rsidRDefault="00587CD7">
      <w:pPr>
        <w:rPr>
          <w:rFonts w:ascii="Arial" w:hAnsi="Arial" w:cs="Arial"/>
          <w:lang w:val="en-NZ"/>
        </w:rPr>
      </w:pPr>
    </w:p>
    <w:p w14:paraId="1C5BC8D8" w14:textId="0834C137" w:rsidR="00587CD7" w:rsidRPr="009A64AF" w:rsidRDefault="00587CD7">
      <w:pPr>
        <w:rPr>
          <w:rFonts w:ascii="Arial" w:hAnsi="Arial" w:cs="Arial"/>
          <w:lang w:val="en-NZ"/>
        </w:rPr>
      </w:pPr>
    </w:p>
    <w:p w14:paraId="6AE51E0A" w14:textId="72BE5546" w:rsidR="00587CD7" w:rsidRPr="009A64AF" w:rsidRDefault="00587CD7">
      <w:pPr>
        <w:rPr>
          <w:rFonts w:ascii="Arial" w:hAnsi="Arial" w:cs="Arial"/>
          <w:lang w:val="en-NZ"/>
        </w:rPr>
      </w:pPr>
    </w:p>
    <w:p w14:paraId="0ADA5126" w14:textId="7467D5E0" w:rsidR="00587CD7" w:rsidRPr="009A64AF" w:rsidRDefault="00587CD7">
      <w:pPr>
        <w:rPr>
          <w:rFonts w:ascii="Arial" w:hAnsi="Arial" w:cs="Arial"/>
          <w:lang w:val="en-NZ"/>
        </w:rPr>
      </w:pPr>
    </w:p>
    <w:tbl>
      <w:tblPr>
        <w:tblW w:w="154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092"/>
        <w:gridCol w:w="2679"/>
        <w:gridCol w:w="2679"/>
        <w:gridCol w:w="2679"/>
        <w:gridCol w:w="2680"/>
        <w:gridCol w:w="2642"/>
      </w:tblGrid>
      <w:tr w:rsidR="00721A5A" w:rsidRPr="009A64AF" w14:paraId="32D4A909" w14:textId="77777777" w:rsidTr="006F4046">
        <w:trPr>
          <w:trHeight w:val="486"/>
          <w:tblHeader/>
          <w:jc w:val="center"/>
        </w:trPr>
        <w:tc>
          <w:tcPr>
            <w:tcW w:w="20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3838E" w14:textId="530B4165" w:rsidR="00587CD7" w:rsidRPr="009A64AF" w:rsidRDefault="00C45A22" w:rsidP="00C702EC">
            <w:pPr>
              <w:pStyle w:val="Body"/>
              <w:spacing w:after="0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b/>
                <w:bCs/>
                <w:lang w:val="en-NZ"/>
              </w:rPr>
              <w:t>Review method</w:t>
            </w:r>
          </w:p>
        </w:tc>
        <w:tc>
          <w:tcPr>
            <w:tcW w:w="26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AA3AB" w14:textId="77777777" w:rsidR="00587CD7" w:rsidRPr="009A64AF" w:rsidRDefault="00587CD7" w:rsidP="00C702EC">
            <w:pPr>
              <w:pStyle w:val="Body"/>
              <w:spacing w:after="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b/>
                <w:bCs/>
                <w:lang w:val="en-NZ"/>
              </w:rPr>
              <w:t>Description</w:t>
            </w:r>
          </w:p>
        </w:tc>
        <w:tc>
          <w:tcPr>
            <w:tcW w:w="26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5C317" w14:textId="77777777" w:rsidR="00587CD7" w:rsidRPr="009A64AF" w:rsidRDefault="00587CD7" w:rsidP="00C702EC">
            <w:pPr>
              <w:pStyle w:val="Body"/>
              <w:spacing w:after="0" w:line="240" w:lineRule="auto"/>
              <w:jc w:val="both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b/>
                <w:bCs/>
                <w:lang w:val="en-NZ"/>
              </w:rPr>
              <w:t>When to use</w:t>
            </w:r>
          </w:p>
        </w:tc>
        <w:tc>
          <w:tcPr>
            <w:tcW w:w="26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A3FD1" w14:textId="77777777" w:rsidR="00587CD7" w:rsidRPr="009A64AF" w:rsidRDefault="00587CD7" w:rsidP="00C702EC">
            <w:pPr>
              <w:pStyle w:val="Body"/>
              <w:spacing w:after="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b/>
                <w:bCs/>
                <w:lang w:val="en-NZ"/>
              </w:rPr>
              <w:t>Strengths</w:t>
            </w:r>
          </w:p>
        </w:tc>
        <w:tc>
          <w:tcPr>
            <w:tcW w:w="268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F156E" w14:textId="77777777" w:rsidR="00587CD7" w:rsidRPr="009A64AF" w:rsidRDefault="00587CD7" w:rsidP="00C702EC">
            <w:pPr>
              <w:pStyle w:val="Body"/>
              <w:spacing w:after="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b/>
                <w:bCs/>
                <w:lang w:val="en-NZ"/>
              </w:rPr>
              <w:t>Weaknesses</w:t>
            </w:r>
          </w:p>
        </w:tc>
        <w:tc>
          <w:tcPr>
            <w:tcW w:w="264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61B5E" w14:textId="77777777" w:rsidR="00587CD7" w:rsidRPr="009A64AF" w:rsidRDefault="00587CD7" w:rsidP="00C702EC">
            <w:pPr>
              <w:pStyle w:val="Body"/>
              <w:spacing w:after="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b/>
                <w:bCs/>
                <w:lang w:val="en-NZ"/>
              </w:rPr>
              <w:t>Training and resources available</w:t>
            </w:r>
          </w:p>
        </w:tc>
      </w:tr>
      <w:tr w:rsidR="00AB3037" w:rsidRPr="009A64AF" w14:paraId="3762FA88" w14:textId="77777777" w:rsidTr="00AE189C">
        <w:trPr>
          <w:trHeight w:val="2480"/>
          <w:jc w:val="center"/>
        </w:trPr>
        <w:tc>
          <w:tcPr>
            <w:tcW w:w="2092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E13C4" w14:textId="4FF0E70F" w:rsidR="00AB3037" w:rsidRPr="009A64AF" w:rsidRDefault="00AB3037" w:rsidP="00B30027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AcciMap</w:t>
            </w:r>
            <w:r w:rsidRPr="009A64AF">
              <w:rPr>
                <w:rStyle w:val="FootnoteReference"/>
                <w:rFonts w:ascii="Arial" w:hAnsi="Arial" w:cs="Arial"/>
                <w:lang w:val="en-NZ"/>
              </w:rPr>
              <w:footnoteReference w:id="7"/>
            </w:r>
          </w:p>
        </w:tc>
        <w:tc>
          <w:tcPr>
            <w:tcW w:w="2679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91E2B" w14:textId="77777777" w:rsidR="00AB3037" w:rsidRPr="009A64AF" w:rsidRDefault="00AB3037" w:rsidP="00B30027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A systems-based technique for analysing events that occur in complex sociotechnical systems.</w:t>
            </w:r>
          </w:p>
          <w:p w14:paraId="2D873AE7" w14:textId="25CDEB1D" w:rsidR="00AB3037" w:rsidRPr="009A64AF" w:rsidRDefault="00AB3037" w:rsidP="00B30027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Looks at all levels of a system</w:t>
            </w:r>
            <w:r w:rsidR="00370E71" w:rsidRPr="009A64AF">
              <w:rPr>
                <w:rFonts w:ascii="Arial" w:hAnsi="Arial" w:cs="Arial"/>
                <w:lang w:val="en-NZ"/>
              </w:rPr>
              <w:t>,</w:t>
            </w:r>
            <w:r w:rsidRPr="009A64AF">
              <w:rPr>
                <w:rFonts w:ascii="Arial" w:hAnsi="Arial" w:cs="Arial"/>
                <w:lang w:val="en-NZ"/>
              </w:rPr>
              <w:t xml:space="preserve"> from higher governmental and regulatory levels to the actual work being carried out.</w:t>
            </w:r>
          </w:p>
          <w:p w14:paraId="37EB7D3F" w14:textId="77777777" w:rsidR="00AB3037" w:rsidRPr="009A64AF" w:rsidRDefault="00845923" w:rsidP="00B30027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R</w:t>
            </w:r>
            <w:r w:rsidR="00AB3037" w:rsidRPr="009A64AF">
              <w:rPr>
                <w:rFonts w:ascii="Arial" w:hAnsi="Arial" w:cs="Arial"/>
                <w:lang w:val="en-NZ"/>
              </w:rPr>
              <w:t>esults in a graphical representation of the event.</w:t>
            </w:r>
          </w:p>
          <w:p w14:paraId="60309EBF" w14:textId="77777777" w:rsidR="00AB3037" w:rsidRPr="009A64AF" w:rsidRDefault="00AB3037" w:rsidP="00B30027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</w:p>
          <w:p w14:paraId="4446DC74" w14:textId="77777777" w:rsidR="00AB3037" w:rsidRPr="009A64AF" w:rsidRDefault="00AB3037" w:rsidP="00B30027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</w:p>
        </w:tc>
        <w:tc>
          <w:tcPr>
            <w:tcW w:w="2679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42A86" w14:textId="77777777" w:rsidR="00AB3037" w:rsidRPr="009A64AF" w:rsidRDefault="00AB3037" w:rsidP="00B30027">
            <w:pPr>
              <w:spacing w:after="180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9A64AF">
              <w:rPr>
                <w:rFonts w:ascii="Arial" w:hAnsi="Arial" w:cs="Arial"/>
                <w:sz w:val="22"/>
                <w:szCs w:val="22"/>
                <w:lang w:val="en-NZ"/>
              </w:rPr>
              <w:t>Useful for complex events involving multiple levels of a system.</w:t>
            </w:r>
          </w:p>
          <w:p w14:paraId="02605576" w14:textId="77777777" w:rsidR="00AB3037" w:rsidRPr="009A64AF" w:rsidRDefault="00AB3037" w:rsidP="00B30027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To examine the relationships between the different levels of a system.</w:t>
            </w:r>
          </w:p>
        </w:tc>
        <w:tc>
          <w:tcPr>
            <w:tcW w:w="2679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B503B" w14:textId="77777777" w:rsidR="00AB3037" w:rsidRPr="009A64AF" w:rsidRDefault="00AB3037" w:rsidP="00B30027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Identifies system-wide errors that led to the event.</w:t>
            </w:r>
          </w:p>
          <w:p w14:paraId="6101C266" w14:textId="77777777" w:rsidR="00AB3037" w:rsidRPr="009A64AF" w:rsidRDefault="00AB3037" w:rsidP="00B30027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Simple to learn and use.</w:t>
            </w:r>
          </w:p>
          <w:p w14:paraId="56B2A77E" w14:textId="77777777" w:rsidR="00AB3037" w:rsidRPr="009A64AF" w:rsidRDefault="00AB3037" w:rsidP="00B30027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Considers causal factors across systemic levels.</w:t>
            </w:r>
          </w:p>
          <w:p w14:paraId="1ED06172" w14:textId="77777777" w:rsidR="00AB3037" w:rsidRPr="009A64AF" w:rsidRDefault="00AB3037" w:rsidP="00B30027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Provides a visual representation of the event aetiology.</w:t>
            </w:r>
          </w:p>
          <w:p w14:paraId="3B370FA2" w14:textId="34E64D46" w:rsidR="00AB3037" w:rsidRPr="009A64AF" w:rsidRDefault="00AB3037" w:rsidP="00B30027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 xml:space="preserve">Enables extended timeline of causality to be established as </w:t>
            </w:r>
            <w:r w:rsidR="00CB77C2" w:rsidRPr="009A64AF">
              <w:rPr>
                <w:rFonts w:ascii="Arial" w:hAnsi="Arial" w:cs="Arial"/>
                <w:lang w:val="en-NZ"/>
              </w:rPr>
              <w:t xml:space="preserve">it </w:t>
            </w:r>
            <w:r w:rsidRPr="009A64AF">
              <w:rPr>
                <w:rFonts w:ascii="Arial" w:hAnsi="Arial" w:cs="Arial"/>
                <w:lang w:val="en-NZ"/>
              </w:rPr>
              <w:t>considers different levels.</w:t>
            </w:r>
          </w:p>
          <w:p w14:paraId="4A5F7CB0" w14:textId="77777777" w:rsidR="00AB3037" w:rsidRPr="009A64AF" w:rsidRDefault="00AB3037" w:rsidP="00B30027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Looks beyond the organisational level.</w:t>
            </w:r>
          </w:p>
        </w:tc>
        <w:tc>
          <w:tcPr>
            <w:tcW w:w="2680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F46AD" w14:textId="77777777" w:rsidR="00AB3037" w:rsidRPr="009A64AF" w:rsidRDefault="00AB3037" w:rsidP="00B30027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Can be time consuming.</w:t>
            </w:r>
          </w:p>
          <w:p w14:paraId="3287336A" w14:textId="77777777" w:rsidR="00AB3037" w:rsidRPr="009A64AF" w:rsidRDefault="00AB3037" w:rsidP="00B30027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Quality of analysis produced is dependent on the quality of the investigation.</w:t>
            </w:r>
          </w:p>
          <w:p w14:paraId="4085D2EC" w14:textId="77777777" w:rsidR="00AB3037" w:rsidRPr="009A64AF" w:rsidRDefault="00AB3037" w:rsidP="00B30027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Does not provide a method to develop corrective measures.</w:t>
            </w:r>
          </w:p>
          <w:p w14:paraId="68F96F97" w14:textId="77777777" w:rsidR="00AB3037" w:rsidRPr="009A64AF" w:rsidRDefault="00AB3037" w:rsidP="00B30027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Does not provide a structured taxonomy for error classification.</w:t>
            </w:r>
          </w:p>
          <w:p w14:paraId="4057D3AD" w14:textId="77777777" w:rsidR="00AB3037" w:rsidRPr="009A64AF" w:rsidRDefault="00AB3037" w:rsidP="00B30027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Its graphical output can become hard to decipher when used for very complex events.</w:t>
            </w:r>
          </w:p>
          <w:p w14:paraId="443AD51D" w14:textId="2CD0D1E1" w:rsidR="00F02963" w:rsidRPr="009A64AF" w:rsidRDefault="00F02963" w:rsidP="00B35746">
            <w:pPr>
              <w:pStyle w:val="Body"/>
              <w:spacing w:after="12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Focus is on the review team as the experts rather than those doing the work.</w:t>
            </w:r>
          </w:p>
        </w:tc>
        <w:tc>
          <w:tcPr>
            <w:tcW w:w="2642" w:type="dxa"/>
            <w:tcBorders>
              <w:bottom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E8A89" w14:textId="7E287DCD" w:rsidR="00AB3037" w:rsidRPr="009A64AF" w:rsidRDefault="00AB3037" w:rsidP="00B30027">
            <w:pPr>
              <w:spacing w:after="180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9A64AF">
              <w:rPr>
                <w:rFonts w:ascii="Arial" w:hAnsi="Arial" w:cs="Arial"/>
                <w:sz w:val="22"/>
                <w:szCs w:val="22"/>
                <w:lang w:val="en-NZ"/>
              </w:rPr>
              <w:t xml:space="preserve">No training </w:t>
            </w:r>
            <w:r w:rsidR="006E7E19" w:rsidRPr="009A64AF">
              <w:rPr>
                <w:rFonts w:ascii="Arial" w:hAnsi="Arial" w:cs="Arial"/>
                <w:sz w:val="22"/>
                <w:szCs w:val="22"/>
                <w:lang w:val="en-NZ"/>
              </w:rPr>
              <w:t xml:space="preserve">currently </w:t>
            </w:r>
            <w:r w:rsidRPr="009A64AF">
              <w:rPr>
                <w:rFonts w:ascii="Arial" w:hAnsi="Arial" w:cs="Arial"/>
                <w:sz w:val="22"/>
                <w:szCs w:val="22"/>
                <w:lang w:val="en-NZ"/>
              </w:rPr>
              <w:t>available for this in New Zealand.</w:t>
            </w:r>
          </w:p>
          <w:p w14:paraId="68E56ACE" w14:textId="1466EFE1" w:rsidR="00AB3037" w:rsidRPr="009A64AF" w:rsidRDefault="00452BD8" w:rsidP="00B30027">
            <w:pPr>
              <w:spacing w:after="180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9A64AF">
              <w:rPr>
                <w:rFonts w:ascii="Arial" w:hAnsi="Arial" w:cs="Arial"/>
                <w:sz w:val="22"/>
                <w:szCs w:val="22"/>
                <w:lang w:val="en-NZ"/>
              </w:rPr>
              <w:t>R</w:t>
            </w:r>
            <w:r w:rsidR="00AB3037" w:rsidRPr="009A64AF">
              <w:rPr>
                <w:rFonts w:ascii="Arial" w:hAnsi="Arial" w:cs="Arial"/>
                <w:sz w:val="22"/>
                <w:szCs w:val="22"/>
                <w:lang w:val="en-NZ"/>
              </w:rPr>
              <w:t>esources available on</w:t>
            </w:r>
            <w:r w:rsidR="00056D3D" w:rsidRPr="009A64AF">
              <w:rPr>
                <w:rFonts w:ascii="Arial" w:hAnsi="Arial" w:cs="Arial"/>
                <w:sz w:val="22"/>
                <w:szCs w:val="22"/>
                <w:lang w:val="en-NZ"/>
              </w:rPr>
              <w:t>:</w:t>
            </w:r>
            <w:r w:rsidR="00AB3037" w:rsidRPr="009A64AF">
              <w:rPr>
                <w:rFonts w:ascii="Arial" w:hAnsi="Arial" w:cs="Arial"/>
                <w:sz w:val="22"/>
                <w:szCs w:val="22"/>
                <w:lang w:val="en-NZ"/>
              </w:rPr>
              <w:t xml:space="preserve"> </w:t>
            </w:r>
            <w:hyperlink r:id="rId15" w:history="1">
              <w:r w:rsidR="003A16B9" w:rsidRPr="009A64AF">
                <w:rPr>
                  <w:rStyle w:val="Hyperlink"/>
                  <w:rFonts w:ascii="Arial" w:hAnsi="Arial" w:cs="Arial"/>
                  <w:sz w:val="22"/>
                  <w:szCs w:val="22"/>
                  <w:lang w:val="en-NZ"/>
                </w:rPr>
                <w:t>https://systemsthinkinglab.com</w:t>
              </w:r>
            </w:hyperlink>
            <w:r w:rsidR="00BD2B79" w:rsidRPr="009A64AF">
              <w:rPr>
                <w:rStyle w:val="Hyperlink"/>
                <w:rFonts w:ascii="Arial" w:hAnsi="Arial" w:cs="Arial"/>
                <w:sz w:val="22"/>
                <w:szCs w:val="22"/>
                <w:lang w:val="en-NZ"/>
              </w:rPr>
              <w:t>.</w:t>
            </w:r>
          </w:p>
          <w:p w14:paraId="443F5427" w14:textId="77777777" w:rsidR="00AB3037" w:rsidRPr="009A64AF" w:rsidRDefault="00AB3037" w:rsidP="00B30027">
            <w:pPr>
              <w:spacing w:after="180"/>
              <w:rPr>
                <w:rFonts w:ascii="Arial" w:hAnsi="Arial" w:cs="Arial"/>
                <w:sz w:val="22"/>
                <w:szCs w:val="22"/>
                <w:lang w:val="en-NZ"/>
              </w:rPr>
            </w:pPr>
          </w:p>
          <w:p w14:paraId="4C8C248C" w14:textId="77777777" w:rsidR="00AB3037" w:rsidRPr="009A64AF" w:rsidRDefault="00AB3037" w:rsidP="00B30027">
            <w:pPr>
              <w:spacing w:after="180"/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1214D" w:rsidRPr="009A64AF" w14:paraId="6F09B9A3" w14:textId="77777777" w:rsidTr="00AE189C">
        <w:trPr>
          <w:trHeight w:val="2480"/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6113C" w14:textId="77777777" w:rsidR="0061214D" w:rsidRPr="009A64AF" w:rsidRDefault="0061214D" w:rsidP="00644614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 xml:space="preserve">File/desk </w:t>
            </w:r>
            <w:proofErr w:type="gramStart"/>
            <w:r w:rsidRPr="009A64AF">
              <w:rPr>
                <w:rFonts w:ascii="Arial" w:hAnsi="Arial" w:cs="Arial"/>
                <w:lang w:val="en-NZ"/>
              </w:rPr>
              <w:t>review</w:t>
            </w:r>
            <w:proofErr w:type="gramEnd"/>
          </w:p>
          <w:p w14:paraId="5A5011D2" w14:textId="77777777" w:rsidR="0061214D" w:rsidRPr="009A64AF" w:rsidRDefault="0061214D" w:rsidP="00644614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89C20" w14:textId="07F633AB" w:rsidR="0061214D" w:rsidRPr="009A64AF" w:rsidRDefault="0061214D" w:rsidP="00644614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Review of a clinical record to identify issues and make recommendations to address an issue; can be used as a standalone review or diagnostic to trigger a more in-depth methodology.</w:t>
            </w:r>
          </w:p>
          <w:p w14:paraId="471A549C" w14:textId="570FC564" w:rsidR="0061214D" w:rsidRPr="009A64AF" w:rsidRDefault="00A25F26" w:rsidP="00822B92">
            <w:pPr>
              <w:pStyle w:val="Body"/>
              <w:spacing w:after="12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 xml:space="preserve">This may sometimes be enhanced by selected interviews and/or </w:t>
            </w:r>
            <w:r w:rsidR="00056D3D" w:rsidRPr="009A64AF">
              <w:rPr>
                <w:rFonts w:ascii="Arial" w:hAnsi="Arial" w:cs="Arial"/>
                <w:lang w:val="en-NZ"/>
              </w:rPr>
              <w:t xml:space="preserve">a </w:t>
            </w:r>
            <w:r w:rsidRPr="009A64AF">
              <w:rPr>
                <w:rFonts w:ascii="Arial" w:hAnsi="Arial" w:cs="Arial"/>
                <w:lang w:val="en-NZ"/>
              </w:rPr>
              <w:t>review conducted by someone outside that clinical unit.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CCE78" w14:textId="39253FA7" w:rsidR="0061214D" w:rsidRPr="009A64AF" w:rsidRDefault="0061214D" w:rsidP="0061214D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9A64AF">
              <w:rPr>
                <w:rFonts w:ascii="Arial" w:hAnsi="Arial" w:cs="Arial"/>
                <w:sz w:val="22"/>
                <w:szCs w:val="22"/>
                <w:lang w:val="en-NZ"/>
              </w:rPr>
              <w:t>Initial review to determine whether a comprehensive incident analysis is appropriate.</w:t>
            </w:r>
          </w:p>
          <w:p w14:paraId="6507AD8E" w14:textId="77777777" w:rsidR="000337F7" w:rsidRPr="009A64AF" w:rsidRDefault="000337F7" w:rsidP="0061214D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</w:p>
          <w:p w14:paraId="49F9BDB7" w14:textId="13146CF1" w:rsidR="0061214D" w:rsidRPr="009A64AF" w:rsidRDefault="0061214D" w:rsidP="0061214D">
            <w:pPr>
              <w:spacing w:after="180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9A64AF">
              <w:rPr>
                <w:rFonts w:ascii="Arial" w:hAnsi="Arial" w:cs="Arial"/>
                <w:sz w:val="22"/>
                <w:szCs w:val="22"/>
                <w:lang w:val="en-NZ"/>
              </w:rPr>
              <w:t xml:space="preserve">Usually indicated when the initial triage of an incident raises no specific issues of concern in terms of systems, </w:t>
            </w:r>
            <w:r w:rsidR="00F32F3A" w:rsidRPr="009A64AF">
              <w:rPr>
                <w:rFonts w:ascii="Arial" w:hAnsi="Arial" w:cs="Arial"/>
                <w:sz w:val="22"/>
                <w:szCs w:val="22"/>
                <w:lang w:val="en-NZ"/>
              </w:rPr>
              <w:t>processes</w:t>
            </w:r>
            <w:r w:rsidRPr="009A64AF">
              <w:rPr>
                <w:rFonts w:ascii="Arial" w:hAnsi="Arial" w:cs="Arial"/>
                <w:sz w:val="22"/>
                <w:szCs w:val="22"/>
                <w:lang w:val="en-NZ"/>
              </w:rPr>
              <w:t xml:space="preserve"> and care delivery.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FF372" w14:textId="77777777" w:rsidR="0061214D" w:rsidRPr="009A64AF" w:rsidRDefault="0061214D" w:rsidP="00644614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Requires minimal resources.</w:t>
            </w:r>
          </w:p>
          <w:p w14:paraId="0440C5F3" w14:textId="77777777" w:rsidR="0061214D" w:rsidRPr="009A64AF" w:rsidRDefault="00EA0F40" w:rsidP="0061214D">
            <w:pPr>
              <w:pStyle w:val="Body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Can be completed by an independent reviewer if required.</w:t>
            </w:r>
          </w:p>
          <w:p w14:paraId="6C5B0758" w14:textId="7E642107" w:rsidR="00F32F3A" w:rsidRPr="009A64AF" w:rsidRDefault="00F32F3A" w:rsidP="003677F1">
            <w:pPr>
              <w:rPr>
                <w:rFonts w:ascii="Arial" w:hAnsi="Arial" w:cs="Arial"/>
                <w:sz w:val="22"/>
                <w:szCs w:val="22"/>
                <w:lang w:val="en-NZ" w:eastAsia="en-NZ"/>
              </w:rPr>
            </w:pPr>
            <w:r w:rsidRPr="009A64AF">
              <w:rPr>
                <w:rFonts w:ascii="Arial" w:hAnsi="Arial" w:cs="Arial"/>
                <w:sz w:val="22"/>
                <w:szCs w:val="22"/>
                <w:lang w:val="en-NZ" w:eastAsia="en-NZ"/>
              </w:rPr>
              <w:t xml:space="preserve">Can be used as a triage process to </w:t>
            </w:r>
            <w:r w:rsidR="003677F1" w:rsidRPr="009A64AF">
              <w:rPr>
                <w:rFonts w:ascii="Arial" w:hAnsi="Arial" w:cs="Arial"/>
                <w:sz w:val="22"/>
                <w:szCs w:val="22"/>
                <w:lang w:val="en-NZ" w:eastAsia="en-NZ"/>
              </w:rPr>
              <w:t>decide if a more in-depth review is required.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5BE3D" w14:textId="77777777" w:rsidR="0061214D" w:rsidRPr="009A64AF" w:rsidRDefault="0061214D" w:rsidP="00644614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May not gather all relevant information.</w:t>
            </w:r>
          </w:p>
          <w:p w14:paraId="57D0335A" w14:textId="77777777" w:rsidR="0061214D" w:rsidRPr="009A64AF" w:rsidRDefault="0061214D" w:rsidP="00644614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Can be hindsight biased.</w:t>
            </w:r>
          </w:p>
          <w:p w14:paraId="694EF403" w14:textId="77777777" w:rsidR="0061214D" w:rsidRPr="009A64AF" w:rsidRDefault="0061214D" w:rsidP="00644614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Focus is on the reviewer as the expert rather than those doing the work.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3FBA6" w14:textId="77777777" w:rsidR="0061214D" w:rsidRPr="009A64AF" w:rsidRDefault="0061214D" w:rsidP="00644614">
            <w:pPr>
              <w:spacing w:after="180"/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  <w:tr w:rsidR="0061214D" w:rsidRPr="009A64AF" w14:paraId="18FA80A7" w14:textId="77777777" w:rsidTr="00AE189C">
        <w:trPr>
          <w:trHeight w:val="2480"/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688F6" w14:textId="47B51D35" w:rsidR="0061214D" w:rsidRPr="009A64AF" w:rsidRDefault="0061214D" w:rsidP="00030904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 xml:space="preserve">Failure mode and effect analysis </w:t>
            </w:r>
            <w:r w:rsidR="00755403" w:rsidRPr="009A64AF">
              <w:rPr>
                <w:rFonts w:ascii="Arial" w:hAnsi="Arial" w:cs="Arial"/>
                <w:lang w:val="en-NZ"/>
              </w:rPr>
              <w:t>(</w:t>
            </w:r>
            <w:r w:rsidRPr="009A64AF">
              <w:rPr>
                <w:rFonts w:ascii="Arial" w:hAnsi="Arial" w:cs="Arial"/>
                <w:lang w:val="en-NZ"/>
              </w:rPr>
              <w:t>FMEA</w:t>
            </w:r>
            <w:r w:rsidR="00EF6281" w:rsidRPr="009A64AF">
              <w:rPr>
                <w:rFonts w:ascii="Arial" w:hAnsi="Arial" w:cs="Arial"/>
                <w:lang w:val="en-NZ"/>
              </w:rPr>
              <w:t>)</w:t>
            </w:r>
            <w:r w:rsidRPr="009A64AF">
              <w:rPr>
                <w:rStyle w:val="FootnoteReference"/>
                <w:rFonts w:ascii="Arial" w:hAnsi="Arial" w:cs="Arial"/>
                <w:lang w:val="en-NZ"/>
              </w:rPr>
              <w:footnoteReference w:id="8"/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10D60" w14:textId="77777777" w:rsidR="0061214D" w:rsidRPr="009A64AF" w:rsidRDefault="0061214D" w:rsidP="00030904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A systematic method of identifying and preventing product and process problems before they occur. It is proactive and does not rely on something going wrong as the trigger for an investigation.</w:t>
            </w:r>
          </w:p>
          <w:p w14:paraId="474AE4B5" w14:textId="77777777" w:rsidR="0061214D" w:rsidRPr="009A64AF" w:rsidRDefault="0061214D" w:rsidP="00030904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</w:p>
          <w:p w14:paraId="1F34BC83" w14:textId="77777777" w:rsidR="0061214D" w:rsidRPr="009A64AF" w:rsidRDefault="0061214D" w:rsidP="00030904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0AF60" w14:textId="77777777" w:rsidR="0061214D" w:rsidRPr="009A64AF" w:rsidRDefault="0061214D" w:rsidP="00C33977">
            <w:pPr>
              <w:spacing w:after="180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9A64AF">
              <w:rPr>
                <w:rFonts w:ascii="Arial" w:hAnsi="Arial" w:cs="Arial"/>
                <w:sz w:val="22"/>
                <w:szCs w:val="22"/>
                <w:lang w:val="en-NZ"/>
              </w:rPr>
              <w:t>Before implementing a new process.</w:t>
            </w:r>
          </w:p>
          <w:p w14:paraId="77C4E225" w14:textId="77777777" w:rsidR="0061214D" w:rsidRPr="009A64AF" w:rsidRDefault="0061214D" w:rsidP="00C33977">
            <w:pPr>
              <w:spacing w:after="180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9A64AF">
              <w:rPr>
                <w:rFonts w:ascii="Arial" w:hAnsi="Arial" w:cs="Arial"/>
                <w:sz w:val="22"/>
                <w:szCs w:val="22"/>
                <w:lang w:val="en-NZ"/>
              </w:rPr>
              <w:t>Before altering an existing process.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51770" w14:textId="5C472637" w:rsidR="0061214D" w:rsidRPr="009A64AF" w:rsidRDefault="0061214D" w:rsidP="00030904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 xml:space="preserve">Particularly useful in evaluating a new process </w:t>
            </w:r>
            <w:r w:rsidR="00EF6281" w:rsidRPr="009A64AF">
              <w:rPr>
                <w:rFonts w:ascii="Arial" w:hAnsi="Arial" w:cs="Arial"/>
                <w:lang w:val="en-NZ"/>
              </w:rPr>
              <w:t>before</w:t>
            </w:r>
            <w:r w:rsidRPr="009A64AF">
              <w:rPr>
                <w:rFonts w:ascii="Arial" w:hAnsi="Arial" w:cs="Arial"/>
                <w:lang w:val="en-NZ"/>
              </w:rPr>
              <w:t xml:space="preserve"> implementation and in assessing the impact of a proposed change to an existing process.</w:t>
            </w:r>
          </w:p>
          <w:p w14:paraId="57249156" w14:textId="23904F76" w:rsidR="006B0DA8" w:rsidRPr="009A64AF" w:rsidRDefault="006B0DA8" w:rsidP="00030904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87FA9" w14:textId="77777777" w:rsidR="0061214D" w:rsidRPr="009A64AF" w:rsidRDefault="0061214D" w:rsidP="00030904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May not identify all potential failures.</w:t>
            </w:r>
          </w:p>
          <w:p w14:paraId="6276540E" w14:textId="6ABF9D37" w:rsidR="0061214D" w:rsidRPr="009A64AF" w:rsidRDefault="0061214D" w:rsidP="00030904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 xml:space="preserve">Requires large amounts of time, </w:t>
            </w:r>
            <w:r w:rsidR="00040907" w:rsidRPr="009A64AF">
              <w:rPr>
                <w:rFonts w:ascii="Arial" w:hAnsi="Arial" w:cs="Arial"/>
                <w:lang w:val="en-NZ"/>
              </w:rPr>
              <w:t>effort</w:t>
            </w:r>
            <w:r w:rsidRPr="009A64AF">
              <w:rPr>
                <w:rFonts w:ascii="Arial" w:hAnsi="Arial" w:cs="Arial"/>
                <w:lang w:val="en-NZ"/>
              </w:rPr>
              <w:t xml:space="preserve"> and resource.</w:t>
            </w:r>
          </w:p>
          <w:p w14:paraId="708378DF" w14:textId="77777777" w:rsidR="0061214D" w:rsidRPr="009A64AF" w:rsidRDefault="0061214D" w:rsidP="00030904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Teams may require sources of information other than personal experience and knowledge.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0F067" w14:textId="53FF2B9C" w:rsidR="0061214D" w:rsidRPr="009A64AF" w:rsidRDefault="0061214D" w:rsidP="00030904">
            <w:pPr>
              <w:spacing w:after="180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9A64AF">
              <w:rPr>
                <w:rFonts w:ascii="Arial" w:hAnsi="Arial" w:cs="Arial"/>
                <w:sz w:val="22"/>
                <w:szCs w:val="22"/>
                <w:lang w:val="en-NZ"/>
              </w:rPr>
              <w:t xml:space="preserve">No training </w:t>
            </w:r>
            <w:r w:rsidR="005909C9" w:rsidRPr="009A64AF">
              <w:rPr>
                <w:rFonts w:ascii="Arial" w:hAnsi="Arial" w:cs="Arial"/>
                <w:sz w:val="22"/>
                <w:szCs w:val="22"/>
                <w:lang w:val="en-NZ"/>
              </w:rPr>
              <w:t xml:space="preserve">currently </w:t>
            </w:r>
            <w:r w:rsidRPr="009A64AF">
              <w:rPr>
                <w:rFonts w:ascii="Arial" w:hAnsi="Arial" w:cs="Arial"/>
                <w:sz w:val="22"/>
                <w:szCs w:val="22"/>
                <w:lang w:val="en-NZ"/>
              </w:rPr>
              <w:t>available for this in New Zealand.</w:t>
            </w:r>
          </w:p>
          <w:p w14:paraId="6210FD00" w14:textId="77777777" w:rsidR="00C2102B" w:rsidRPr="009A64AF" w:rsidRDefault="0061214D" w:rsidP="00030904">
            <w:pPr>
              <w:spacing w:after="180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9A64AF">
              <w:rPr>
                <w:rFonts w:ascii="Arial" w:hAnsi="Arial" w:cs="Arial"/>
                <w:sz w:val="22"/>
                <w:szCs w:val="22"/>
                <w:lang w:val="en-NZ"/>
              </w:rPr>
              <w:t>Online training available at</w:t>
            </w:r>
            <w:r w:rsidR="005909C9" w:rsidRPr="009A64AF">
              <w:rPr>
                <w:rFonts w:ascii="Arial" w:hAnsi="Arial" w:cs="Arial"/>
                <w:sz w:val="22"/>
                <w:szCs w:val="22"/>
                <w:lang w:val="en-NZ"/>
              </w:rPr>
              <w:t>:</w:t>
            </w:r>
            <w:r w:rsidRPr="009A64AF">
              <w:rPr>
                <w:rFonts w:ascii="Arial" w:hAnsi="Arial" w:cs="Arial"/>
                <w:sz w:val="22"/>
                <w:szCs w:val="22"/>
                <w:lang w:val="en-NZ"/>
              </w:rPr>
              <w:t xml:space="preserve"> </w:t>
            </w:r>
          </w:p>
          <w:p w14:paraId="4AD3A71D" w14:textId="19CE0ACD" w:rsidR="0061214D" w:rsidRPr="009A64AF" w:rsidRDefault="00EC2710" w:rsidP="00A873EB">
            <w:pPr>
              <w:pStyle w:val="ListParagraph"/>
              <w:numPr>
                <w:ilvl w:val="0"/>
                <w:numId w:val="6"/>
              </w:numPr>
              <w:spacing w:after="0"/>
              <w:ind w:left="176" w:hanging="170"/>
              <w:rPr>
                <w:rFonts w:ascii="Arial" w:hAnsi="Arial" w:cs="Arial"/>
                <w:lang w:val="en-NZ"/>
              </w:rPr>
            </w:pPr>
            <w:hyperlink r:id="rId16" w:history="1">
              <w:r w:rsidR="00C2102B" w:rsidRPr="009A64AF">
                <w:rPr>
                  <w:rStyle w:val="Hyperlink"/>
                  <w:rFonts w:ascii="Arial" w:hAnsi="Arial" w:cs="Arial"/>
                  <w:lang w:val="en-NZ"/>
                </w:rPr>
                <w:t>https://quality-one.com/fmea/fmea-training/</w:t>
              </w:r>
            </w:hyperlink>
          </w:p>
          <w:p w14:paraId="34BEDB94" w14:textId="594E4F0F" w:rsidR="0061214D" w:rsidRPr="009A64AF" w:rsidRDefault="00EC2710" w:rsidP="00A873EB">
            <w:pPr>
              <w:pStyle w:val="ListParagraph"/>
              <w:numPr>
                <w:ilvl w:val="0"/>
                <w:numId w:val="6"/>
              </w:numPr>
              <w:spacing w:after="0"/>
              <w:ind w:left="176" w:hanging="170"/>
              <w:rPr>
                <w:rFonts w:ascii="Arial" w:hAnsi="Arial" w:cs="Arial"/>
                <w:lang w:val="en-NZ"/>
              </w:rPr>
            </w:pPr>
            <w:hyperlink r:id="rId17" w:history="1">
              <w:r w:rsidR="0061214D" w:rsidRPr="009A64AF">
                <w:rPr>
                  <w:rStyle w:val="Hyperlink"/>
                  <w:rFonts w:ascii="Arial" w:hAnsi="Arial" w:cs="Arial"/>
                  <w:lang w:val="en-NZ"/>
                </w:rPr>
                <w:t>https://asq.org/training/fmea-for-beginners-fmea01jpr</w:t>
              </w:r>
            </w:hyperlink>
            <w:r w:rsidR="00D4626E" w:rsidRPr="009A64AF">
              <w:rPr>
                <w:rStyle w:val="Hyperlink"/>
                <w:rFonts w:ascii="Arial" w:hAnsi="Arial" w:cs="Arial"/>
                <w:lang w:val="en-NZ"/>
              </w:rPr>
              <w:t>.</w:t>
            </w:r>
          </w:p>
        </w:tc>
      </w:tr>
    </w:tbl>
    <w:p w14:paraId="6C49500C" w14:textId="77777777" w:rsidR="00587CD7" w:rsidRPr="009A64AF" w:rsidRDefault="00587CD7">
      <w:pPr>
        <w:rPr>
          <w:rFonts w:ascii="Arial" w:hAnsi="Arial" w:cs="Arial"/>
          <w:lang w:val="en-NZ"/>
        </w:rPr>
      </w:pPr>
    </w:p>
    <w:p w14:paraId="66B91A95" w14:textId="77777777" w:rsidR="00D102C3" w:rsidRPr="009A64AF" w:rsidRDefault="00D102C3">
      <w:pPr>
        <w:rPr>
          <w:rFonts w:ascii="Arial" w:hAnsi="Arial" w:cs="Arial"/>
          <w:lang w:val="en-NZ"/>
        </w:rPr>
      </w:pPr>
    </w:p>
    <w:p w14:paraId="6FBC8F66" w14:textId="3F940782" w:rsidR="00DF397A" w:rsidRPr="009A64AF" w:rsidRDefault="00DF397A" w:rsidP="00C45A22">
      <w:pPr>
        <w:ind w:left="-709"/>
        <w:rPr>
          <w:rFonts w:ascii="Arial" w:hAnsi="Arial" w:cs="Arial"/>
          <w:sz w:val="22"/>
          <w:szCs w:val="22"/>
          <w:lang w:val="en-NZ"/>
        </w:rPr>
      </w:pPr>
    </w:p>
    <w:p w14:paraId="50A1483C" w14:textId="64763F89" w:rsidR="00CE4CCD" w:rsidRPr="009A64AF" w:rsidRDefault="00CE4CCD">
      <w:pPr>
        <w:rPr>
          <w:rFonts w:ascii="Arial" w:hAnsi="Arial" w:cs="Arial"/>
          <w:lang w:val="en-NZ"/>
        </w:rPr>
      </w:pPr>
    </w:p>
    <w:p w14:paraId="16AD00B7" w14:textId="7939C563" w:rsidR="0027278D" w:rsidRPr="009A64AF" w:rsidRDefault="0027278D">
      <w:pPr>
        <w:rPr>
          <w:rFonts w:ascii="Arial" w:hAnsi="Arial" w:cs="Arial"/>
          <w:lang w:val="en-NZ"/>
        </w:rPr>
      </w:pPr>
    </w:p>
    <w:p w14:paraId="57DBE3B7" w14:textId="1DD41092" w:rsidR="002A4E0F" w:rsidRPr="009A64AF" w:rsidRDefault="0088083B" w:rsidP="0088083B">
      <w:pPr>
        <w:spacing w:after="120"/>
        <w:ind w:left="-567"/>
        <w:rPr>
          <w:rFonts w:ascii="Arial" w:hAnsi="Arial" w:cs="Arial"/>
          <w:sz w:val="22"/>
          <w:szCs w:val="22"/>
          <w:lang w:val="en-NZ"/>
        </w:rPr>
      </w:pPr>
      <w:r w:rsidRPr="009A64AF">
        <w:rPr>
          <w:rFonts w:ascii="Arial" w:hAnsi="Arial" w:cs="Arial"/>
          <w:b/>
          <w:bCs/>
          <w:sz w:val="22"/>
          <w:szCs w:val="22"/>
          <w:lang w:val="en-NZ"/>
        </w:rPr>
        <w:t>Other</w:t>
      </w:r>
      <w:r w:rsidR="008375D7" w:rsidRPr="009A64AF">
        <w:rPr>
          <w:rFonts w:ascii="Arial" w:hAnsi="Arial" w:cs="Arial"/>
          <w:b/>
          <w:bCs/>
          <w:sz w:val="22"/>
          <w:szCs w:val="22"/>
          <w:lang w:val="en-NZ"/>
        </w:rPr>
        <w:t xml:space="preserve"> approaches</w:t>
      </w:r>
      <w:r w:rsidR="00FA6D32" w:rsidRPr="009A64AF">
        <w:rPr>
          <w:rFonts w:ascii="Arial" w:hAnsi="Arial" w:cs="Arial"/>
          <w:b/>
          <w:bCs/>
          <w:sz w:val="22"/>
          <w:szCs w:val="22"/>
          <w:lang w:val="en-NZ"/>
        </w:rPr>
        <w:t xml:space="preserve"> </w:t>
      </w:r>
      <w:r w:rsidRPr="009A64AF">
        <w:rPr>
          <w:rFonts w:ascii="Arial" w:hAnsi="Arial" w:cs="Arial"/>
          <w:b/>
          <w:bCs/>
          <w:sz w:val="22"/>
          <w:szCs w:val="22"/>
          <w:lang w:val="en-NZ"/>
        </w:rPr>
        <w:t xml:space="preserve">to support </w:t>
      </w:r>
      <w:r w:rsidR="00A46A50" w:rsidRPr="009A64AF">
        <w:rPr>
          <w:rFonts w:ascii="Arial" w:hAnsi="Arial" w:cs="Arial"/>
          <w:b/>
          <w:bCs/>
          <w:sz w:val="22"/>
          <w:szCs w:val="22"/>
          <w:lang w:val="en-NZ"/>
        </w:rPr>
        <w:t xml:space="preserve">adverse event </w:t>
      </w:r>
      <w:r w:rsidRPr="009A64AF">
        <w:rPr>
          <w:rFonts w:ascii="Arial" w:hAnsi="Arial" w:cs="Arial"/>
          <w:b/>
          <w:bCs/>
          <w:sz w:val="22"/>
          <w:szCs w:val="22"/>
          <w:lang w:val="en-NZ"/>
        </w:rPr>
        <w:t>review processes</w:t>
      </w:r>
    </w:p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122"/>
        <w:gridCol w:w="2693"/>
        <w:gridCol w:w="2693"/>
        <w:gridCol w:w="2693"/>
        <w:gridCol w:w="2694"/>
        <w:gridCol w:w="2409"/>
      </w:tblGrid>
      <w:tr w:rsidR="0088083B" w:rsidRPr="009A64AF" w14:paraId="3C505B37" w14:textId="77777777" w:rsidTr="00A80048">
        <w:trPr>
          <w:trHeight w:val="497"/>
          <w:tblHeader/>
          <w:jc w:val="center"/>
        </w:trPr>
        <w:tc>
          <w:tcPr>
            <w:tcW w:w="21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BB873" w14:textId="43907F58" w:rsidR="005E7661" w:rsidRPr="009A64AF" w:rsidRDefault="00D90E06" w:rsidP="0007727E">
            <w:pPr>
              <w:pStyle w:val="Body"/>
              <w:spacing w:after="0" w:line="240" w:lineRule="auto"/>
              <w:rPr>
                <w:rFonts w:ascii="Arial" w:hAnsi="Arial" w:cs="Arial"/>
                <w:b/>
                <w:bCs/>
                <w:lang w:val="en-NZ"/>
              </w:rPr>
            </w:pPr>
            <w:r w:rsidRPr="009A64AF">
              <w:rPr>
                <w:rFonts w:ascii="Arial" w:hAnsi="Arial" w:cs="Arial"/>
                <w:b/>
                <w:bCs/>
                <w:lang w:val="en-NZ"/>
              </w:rPr>
              <w:t>A</w:t>
            </w:r>
            <w:r w:rsidR="005A3204" w:rsidRPr="009A64AF">
              <w:rPr>
                <w:rFonts w:ascii="Arial" w:hAnsi="Arial" w:cs="Arial"/>
                <w:b/>
                <w:bCs/>
                <w:lang w:val="en-NZ"/>
              </w:rPr>
              <w:t>pproach</w:t>
            </w:r>
            <w:r w:rsidRPr="009A64AF">
              <w:rPr>
                <w:rFonts w:ascii="Arial" w:hAnsi="Arial" w:cs="Arial"/>
                <w:b/>
                <w:bCs/>
                <w:lang w:val="en-NZ"/>
              </w:rPr>
              <w:t xml:space="preserve"> </w:t>
            </w:r>
            <w:r w:rsidR="005A3204" w:rsidRPr="009A64AF">
              <w:rPr>
                <w:rFonts w:ascii="Arial" w:hAnsi="Arial" w:cs="Arial"/>
                <w:b/>
                <w:bCs/>
                <w:lang w:val="en-NZ"/>
              </w:rPr>
              <w:t xml:space="preserve">to support review processes </w:t>
            </w:r>
          </w:p>
        </w:tc>
        <w:tc>
          <w:tcPr>
            <w:tcW w:w="26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FECDF" w14:textId="77777777" w:rsidR="005E7661" w:rsidRPr="009A64AF" w:rsidRDefault="005E7661" w:rsidP="0007727E">
            <w:pPr>
              <w:pStyle w:val="Body"/>
              <w:spacing w:after="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b/>
                <w:bCs/>
                <w:lang w:val="en-NZ"/>
              </w:rPr>
              <w:t>Description</w:t>
            </w:r>
          </w:p>
        </w:tc>
        <w:tc>
          <w:tcPr>
            <w:tcW w:w="26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ED95E" w14:textId="77777777" w:rsidR="005E7661" w:rsidRPr="009A64AF" w:rsidRDefault="005E7661" w:rsidP="0007727E">
            <w:pPr>
              <w:pStyle w:val="Body"/>
              <w:spacing w:after="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b/>
                <w:bCs/>
                <w:lang w:val="en-NZ"/>
              </w:rPr>
              <w:t>When to use</w:t>
            </w:r>
          </w:p>
        </w:tc>
        <w:tc>
          <w:tcPr>
            <w:tcW w:w="26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5A105" w14:textId="77777777" w:rsidR="005E7661" w:rsidRPr="009A64AF" w:rsidRDefault="005E7661" w:rsidP="0007727E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9A64AF">
              <w:rPr>
                <w:rFonts w:ascii="Arial" w:hAnsi="Arial" w:cs="Arial"/>
                <w:b/>
                <w:bCs/>
                <w:sz w:val="22"/>
                <w:szCs w:val="22"/>
                <w:lang w:val="en-NZ"/>
              </w:rPr>
              <w:t>Strengths</w:t>
            </w:r>
          </w:p>
        </w:tc>
        <w:tc>
          <w:tcPr>
            <w:tcW w:w="26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F2DA9" w14:textId="77777777" w:rsidR="005E7661" w:rsidRPr="009A64AF" w:rsidRDefault="005E7661" w:rsidP="0007727E">
            <w:pPr>
              <w:pStyle w:val="Body"/>
              <w:spacing w:after="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b/>
                <w:bCs/>
                <w:lang w:val="en-NZ"/>
              </w:rPr>
              <w:t>Weaknesses</w:t>
            </w:r>
          </w:p>
        </w:tc>
        <w:tc>
          <w:tcPr>
            <w:tcW w:w="24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774FF" w14:textId="77777777" w:rsidR="005E7661" w:rsidRPr="009A64AF" w:rsidRDefault="005E7661" w:rsidP="0007727E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9A64AF">
              <w:rPr>
                <w:rFonts w:ascii="Arial" w:hAnsi="Arial" w:cs="Arial"/>
                <w:b/>
                <w:bCs/>
                <w:sz w:val="22"/>
                <w:szCs w:val="22"/>
                <w:lang w:val="en-NZ"/>
              </w:rPr>
              <w:t>Training and resources available</w:t>
            </w:r>
          </w:p>
        </w:tc>
      </w:tr>
      <w:tr w:rsidR="00331A3A" w:rsidRPr="009A64AF" w14:paraId="5940EF63" w14:textId="77777777" w:rsidTr="000576D1">
        <w:trPr>
          <w:trHeight w:val="1029"/>
          <w:jc w:val="center"/>
        </w:trPr>
        <w:tc>
          <w:tcPr>
            <w:tcW w:w="21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81B21" w14:textId="77777777" w:rsidR="00331A3A" w:rsidRPr="009A64AF" w:rsidRDefault="00331A3A" w:rsidP="0032601F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Yorkshire Contributory Factors Framework</w:t>
            </w:r>
            <w:r w:rsidR="00B6058B" w:rsidRPr="009A64AF">
              <w:rPr>
                <w:rStyle w:val="FootnoteReference"/>
                <w:rFonts w:ascii="Arial" w:hAnsi="Arial" w:cs="Arial"/>
                <w:lang w:val="en-NZ"/>
              </w:rPr>
              <w:footnoteReference w:id="9"/>
            </w:r>
          </w:p>
        </w:tc>
        <w:tc>
          <w:tcPr>
            <w:tcW w:w="26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5AC23" w14:textId="6B6FEF54" w:rsidR="00331A3A" w:rsidRPr="009A64AF" w:rsidRDefault="00331A3A" w:rsidP="00A44DFB">
            <w:pPr>
              <w:pStyle w:val="Body"/>
              <w:spacing w:after="12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An evidence-based framework that has been specifically developed for the health</w:t>
            </w:r>
            <w:r w:rsidR="00A44DFB">
              <w:rPr>
                <w:rFonts w:ascii="Arial" w:hAnsi="Arial" w:cs="Arial"/>
                <w:lang w:val="en-NZ"/>
              </w:rPr>
              <w:t xml:space="preserve"> </w:t>
            </w:r>
            <w:r w:rsidRPr="009A64AF">
              <w:rPr>
                <w:rFonts w:ascii="Arial" w:hAnsi="Arial" w:cs="Arial"/>
                <w:lang w:val="en-NZ"/>
              </w:rPr>
              <w:t>care setting.</w:t>
            </w:r>
          </w:p>
          <w:p w14:paraId="4E698AF6" w14:textId="440E8239" w:rsidR="00331A3A" w:rsidRPr="009A64AF" w:rsidRDefault="00331A3A" w:rsidP="000576D1">
            <w:pPr>
              <w:pStyle w:val="Body"/>
              <w:spacing w:after="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 xml:space="preserve">This is not a review method as </w:t>
            </w:r>
            <w:r w:rsidR="003677F1" w:rsidRPr="009A64AF">
              <w:rPr>
                <w:rFonts w:ascii="Arial" w:hAnsi="Arial" w:cs="Arial"/>
                <w:lang w:val="en-NZ"/>
              </w:rPr>
              <w:t>such but</w:t>
            </w:r>
            <w:r w:rsidRPr="009A64AF">
              <w:rPr>
                <w:rFonts w:ascii="Arial" w:hAnsi="Arial" w:cs="Arial"/>
                <w:lang w:val="en-NZ"/>
              </w:rPr>
              <w:t xml:space="preserve"> can be used to strengthen other methods.</w:t>
            </w:r>
          </w:p>
        </w:tc>
        <w:tc>
          <w:tcPr>
            <w:tcW w:w="26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4EDD0" w14:textId="24B3DBE8" w:rsidR="00331A3A" w:rsidRPr="009A64AF" w:rsidRDefault="00331A3A" w:rsidP="00A44DFB">
            <w:pPr>
              <w:pStyle w:val="Body"/>
              <w:spacing w:after="12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Describes both latent organisational failures and the error</w:t>
            </w:r>
            <w:r w:rsidR="00CE0358" w:rsidRPr="009A64AF">
              <w:rPr>
                <w:rFonts w:ascii="Arial" w:hAnsi="Arial" w:cs="Arial"/>
                <w:lang w:val="en-NZ"/>
              </w:rPr>
              <w:t>-</w:t>
            </w:r>
            <w:r w:rsidRPr="009A64AF">
              <w:rPr>
                <w:rFonts w:ascii="Arial" w:hAnsi="Arial" w:cs="Arial"/>
                <w:lang w:val="en-NZ"/>
              </w:rPr>
              <w:t>producing conditions in which active failures occur.</w:t>
            </w:r>
          </w:p>
          <w:p w14:paraId="5224145C" w14:textId="670174A1" w:rsidR="00331A3A" w:rsidRPr="009A64AF" w:rsidRDefault="00331A3A" w:rsidP="0034465C">
            <w:pPr>
              <w:pStyle w:val="Body"/>
              <w:spacing w:after="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Gives a greater weighting to systems rather than human failings.</w:t>
            </w:r>
          </w:p>
        </w:tc>
        <w:tc>
          <w:tcPr>
            <w:tcW w:w="26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DF86B" w14:textId="3DE46F1B" w:rsidR="00331A3A" w:rsidRPr="009A64AF" w:rsidRDefault="00331A3A" w:rsidP="0032601F">
            <w:pPr>
              <w:spacing w:after="180"/>
              <w:rPr>
                <w:rFonts w:ascii="Arial" w:hAnsi="Arial" w:cs="Arial"/>
                <w:color w:val="000000"/>
                <w:sz w:val="22"/>
                <w:szCs w:val="22"/>
                <w:u w:color="000000"/>
                <w:lang w:val="en-NZ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9A64AF">
              <w:rPr>
                <w:rFonts w:ascii="Arial" w:hAnsi="Arial" w:cs="Arial"/>
                <w:sz w:val="22"/>
                <w:szCs w:val="22"/>
                <w:lang w:val="en-NZ"/>
              </w:rPr>
              <w:t>Developed by clinicians in a health setting</w:t>
            </w:r>
            <w:r w:rsidR="00B4449B" w:rsidRPr="009A64AF">
              <w:rPr>
                <w:rFonts w:ascii="Arial" w:hAnsi="Arial" w:cs="Arial"/>
                <w:sz w:val="22"/>
                <w:szCs w:val="22"/>
                <w:lang w:val="en-NZ"/>
              </w:rPr>
              <w:t>.</w:t>
            </w:r>
          </w:p>
        </w:tc>
        <w:tc>
          <w:tcPr>
            <w:tcW w:w="26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00965" w14:textId="081199F8" w:rsidR="00331A3A" w:rsidRPr="009A64AF" w:rsidRDefault="00331A3A" w:rsidP="00A44DFB">
            <w:pPr>
              <w:pStyle w:val="Body"/>
              <w:spacing w:after="12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Developed in a hospital setting so may not be applicable to out</w:t>
            </w:r>
            <w:r w:rsidR="00B07C15" w:rsidRPr="009A64AF">
              <w:rPr>
                <w:rFonts w:ascii="Arial" w:hAnsi="Arial" w:cs="Arial"/>
                <w:lang w:val="en-NZ"/>
              </w:rPr>
              <w:t>-</w:t>
            </w:r>
            <w:r w:rsidRPr="009A64AF">
              <w:rPr>
                <w:rFonts w:ascii="Arial" w:hAnsi="Arial" w:cs="Arial"/>
                <w:lang w:val="en-NZ"/>
              </w:rPr>
              <w:t>of</w:t>
            </w:r>
            <w:r w:rsidR="00B07C15" w:rsidRPr="009A64AF">
              <w:rPr>
                <w:rFonts w:ascii="Arial" w:hAnsi="Arial" w:cs="Arial"/>
                <w:lang w:val="en-NZ"/>
              </w:rPr>
              <w:t>-</w:t>
            </w:r>
            <w:r w:rsidRPr="009A64AF">
              <w:rPr>
                <w:rFonts w:ascii="Arial" w:hAnsi="Arial" w:cs="Arial"/>
                <w:lang w:val="en-NZ"/>
              </w:rPr>
              <w:t>hospital care settings.</w:t>
            </w:r>
          </w:p>
          <w:p w14:paraId="51955071" w14:textId="77777777" w:rsidR="00331A3A" w:rsidRPr="009A64AF" w:rsidRDefault="00331A3A" w:rsidP="00FA55FE">
            <w:pPr>
              <w:pStyle w:val="Body"/>
              <w:spacing w:after="12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Does not include a consumer perspective of the causes of incidents.</w:t>
            </w:r>
          </w:p>
        </w:tc>
        <w:tc>
          <w:tcPr>
            <w:tcW w:w="24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078A3" w14:textId="051849B3" w:rsidR="00331A3A" w:rsidRPr="009A64AF" w:rsidRDefault="00331A3A" w:rsidP="0032601F">
            <w:pPr>
              <w:spacing w:after="180"/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9A64AF">
              <w:rPr>
                <w:rFonts w:ascii="Arial" w:hAnsi="Arial" w:cs="Arial"/>
                <w:sz w:val="22"/>
                <w:szCs w:val="22"/>
                <w:lang w:val="en-NZ"/>
              </w:rPr>
              <w:t xml:space="preserve">No training </w:t>
            </w:r>
            <w:r w:rsidR="00B07C15" w:rsidRPr="009A64AF">
              <w:rPr>
                <w:rFonts w:ascii="Arial" w:hAnsi="Arial" w:cs="Arial"/>
                <w:sz w:val="22"/>
                <w:szCs w:val="22"/>
                <w:lang w:val="en-NZ"/>
              </w:rPr>
              <w:t xml:space="preserve">currently </w:t>
            </w:r>
            <w:r w:rsidRPr="009A64AF">
              <w:rPr>
                <w:rFonts w:ascii="Arial" w:hAnsi="Arial" w:cs="Arial"/>
                <w:sz w:val="22"/>
                <w:szCs w:val="22"/>
                <w:lang w:val="en-NZ"/>
              </w:rPr>
              <w:t>available for this in New Zealand.</w:t>
            </w:r>
          </w:p>
        </w:tc>
      </w:tr>
      <w:tr w:rsidR="00744FD7" w:rsidRPr="009A64AF" w14:paraId="62C3CF76" w14:textId="77777777" w:rsidTr="00294D34">
        <w:trPr>
          <w:trHeight w:val="538"/>
          <w:jc w:val="center"/>
        </w:trPr>
        <w:tc>
          <w:tcPr>
            <w:tcW w:w="212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FBD74" w14:textId="3E76706D" w:rsidR="007B411E" w:rsidRPr="009A64AF" w:rsidRDefault="00046953" w:rsidP="00744FD7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Restorative response</w:t>
            </w:r>
            <w:r w:rsidR="00744FD7" w:rsidRPr="009A64AF">
              <w:rPr>
                <w:rStyle w:val="FootnoteReference"/>
                <w:rFonts w:ascii="Arial" w:hAnsi="Arial" w:cs="Arial"/>
                <w:lang w:val="en-NZ"/>
              </w:rPr>
              <w:footnoteReference w:id="10"/>
            </w:r>
            <w:r w:rsidR="00BB1ABC">
              <w:rPr>
                <w:rFonts w:ascii="Arial" w:hAnsi="Arial" w:cs="Arial"/>
                <w:lang w:val="en-NZ"/>
              </w:rPr>
              <w:t xml:space="preserve"> </w:t>
            </w:r>
            <w:r w:rsidR="00A613CB">
              <w:rPr>
                <w:rFonts w:ascii="Arial" w:hAnsi="Arial" w:cs="Arial"/>
                <w:lang w:val="en-NZ"/>
              </w:rPr>
              <w:t xml:space="preserve">or </w:t>
            </w:r>
            <w:r w:rsidR="00A613CB" w:rsidRPr="00BB1ABC">
              <w:rPr>
                <w:rFonts w:ascii="Arial" w:hAnsi="Arial" w:cs="Arial"/>
                <w:lang w:val="mi-NZ"/>
              </w:rPr>
              <w:t>hohou te rongo</w:t>
            </w:r>
            <w:r>
              <w:rPr>
                <w:rStyle w:val="FootnoteReference"/>
                <w:rFonts w:ascii="Arial" w:hAnsi="Arial" w:cs="Arial"/>
                <w:lang w:val="en-NZ"/>
              </w:rPr>
              <w:footnoteReference w:id="11"/>
            </w:r>
          </w:p>
        </w:tc>
        <w:tc>
          <w:tcPr>
            <w:tcW w:w="26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3CA01" w14:textId="293CFC14" w:rsidR="00744FD7" w:rsidRPr="009A64AF" w:rsidRDefault="002D5DEE" w:rsidP="00744FD7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>
              <w:rPr>
                <w:rFonts w:ascii="Arial" w:hAnsi="Arial" w:cs="Arial"/>
                <w:lang w:val="en-NZ"/>
              </w:rPr>
              <w:t>Restorative response</w:t>
            </w:r>
            <w:r w:rsidR="00744FD7" w:rsidRPr="009A64AF">
              <w:rPr>
                <w:rFonts w:ascii="Arial" w:hAnsi="Arial" w:cs="Arial"/>
                <w:lang w:val="en-NZ"/>
              </w:rPr>
              <w:t xml:space="preserve"> between consumers and/or whānau and staff involved in care, as soon as practicable after the event. </w:t>
            </w:r>
          </w:p>
        </w:tc>
        <w:tc>
          <w:tcPr>
            <w:tcW w:w="26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1BA3A" w14:textId="77777777" w:rsidR="00744FD7" w:rsidRPr="009A64AF" w:rsidRDefault="00744FD7" w:rsidP="00744FD7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 xml:space="preserve">This can be an important process that complements adverse event review rather than replaces it. </w:t>
            </w:r>
          </w:p>
          <w:p w14:paraId="39A9716A" w14:textId="77777777" w:rsidR="00744FD7" w:rsidRPr="009A64AF" w:rsidRDefault="00744FD7" w:rsidP="00744FD7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</w:p>
        </w:tc>
        <w:tc>
          <w:tcPr>
            <w:tcW w:w="26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AFAE3" w14:textId="43C52E7E" w:rsidR="00A613CB" w:rsidRDefault="002A0BA7" w:rsidP="00FA55FE">
            <w:pPr>
              <w:spacing w:after="120"/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>May</w:t>
            </w:r>
            <w:r w:rsidR="00A613CB">
              <w:rPr>
                <w:rFonts w:ascii="Arial" w:hAnsi="Arial" w:cs="Arial"/>
                <w:sz w:val="22"/>
                <w:szCs w:val="22"/>
                <w:lang w:val="en-NZ"/>
              </w:rPr>
              <w:t xml:space="preserve"> mitigate the risk of compounded harm from other processes.  It aligns with other processes but does not require that they are used. </w:t>
            </w:r>
            <w:r w:rsidR="00A613CB" w:rsidRPr="009046A4">
              <w:rPr>
                <w:rStyle w:val="cf01"/>
                <w:rFonts w:ascii="Arial" w:hAnsi="Arial" w:cs="Arial"/>
                <w:sz w:val="22"/>
                <w:szCs w:val="22"/>
              </w:rPr>
              <w:t>Therefore, it is both a stand-alone approach and a complementary one.</w:t>
            </w:r>
          </w:p>
          <w:p w14:paraId="3470BC76" w14:textId="1CF37B12" w:rsidR="00A613CB" w:rsidRPr="009A64AF" w:rsidRDefault="00744FD7" w:rsidP="00294D34">
            <w:pPr>
              <w:rPr>
                <w:rFonts w:ascii="Arial" w:hAnsi="Arial" w:cs="Arial"/>
                <w:sz w:val="22"/>
                <w:szCs w:val="22"/>
                <w:lang w:val="en-NZ"/>
              </w:rPr>
            </w:pPr>
            <w:r w:rsidRPr="009A64AF">
              <w:rPr>
                <w:rFonts w:ascii="Arial" w:hAnsi="Arial" w:cs="Arial"/>
                <w:sz w:val="22"/>
                <w:szCs w:val="22"/>
                <w:lang w:val="en-NZ"/>
              </w:rPr>
              <w:t>The focus is on engagement, healing relationships, addressing harm to all parties (including affected staff</w:t>
            </w:r>
            <w:proofErr w:type="gramStart"/>
            <w:r w:rsidRPr="009A64AF">
              <w:rPr>
                <w:rFonts w:ascii="Arial" w:hAnsi="Arial" w:cs="Arial"/>
                <w:sz w:val="22"/>
                <w:szCs w:val="22"/>
                <w:lang w:val="en-NZ"/>
              </w:rPr>
              <w:t>)</w:t>
            </w:r>
            <w:proofErr w:type="gramEnd"/>
            <w:r w:rsidRPr="009A64AF">
              <w:rPr>
                <w:rFonts w:ascii="Arial" w:hAnsi="Arial" w:cs="Arial"/>
                <w:sz w:val="22"/>
                <w:szCs w:val="22"/>
                <w:lang w:val="en-NZ"/>
              </w:rPr>
              <w:t xml:space="preserve"> and promoting wellbeing rather than identifying cause and attributing blame</w:t>
            </w:r>
            <w:r w:rsidR="00FA55FE">
              <w:rPr>
                <w:rFonts w:ascii="Arial" w:hAnsi="Arial" w:cs="Arial"/>
                <w:sz w:val="22"/>
                <w:szCs w:val="22"/>
                <w:lang w:val="en-NZ"/>
              </w:rPr>
              <w:t>.</w:t>
            </w:r>
          </w:p>
        </w:tc>
        <w:tc>
          <w:tcPr>
            <w:tcW w:w="26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752CF" w14:textId="54A7718E" w:rsidR="00744FD7" w:rsidRPr="009A64AF" w:rsidRDefault="00744FD7" w:rsidP="00744FD7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  <w:r w:rsidRPr="009A64AF">
              <w:rPr>
                <w:rFonts w:ascii="Arial" w:hAnsi="Arial" w:cs="Arial"/>
                <w:lang w:val="en-NZ"/>
              </w:rPr>
              <w:t>New in health</w:t>
            </w:r>
            <w:r w:rsidR="00AA73EE">
              <w:rPr>
                <w:rFonts w:ascii="Arial" w:hAnsi="Arial" w:cs="Arial"/>
                <w:lang w:val="en-NZ"/>
              </w:rPr>
              <w:t xml:space="preserve"> </w:t>
            </w:r>
            <w:r w:rsidRPr="009A64AF">
              <w:rPr>
                <w:rFonts w:ascii="Arial" w:hAnsi="Arial" w:cs="Arial"/>
                <w:lang w:val="en-NZ"/>
              </w:rPr>
              <w:t>care.</w:t>
            </w:r>
          </w:p>
          <w:p w14:paraId="63FAC33F" w14:textId="22FB5F94" w:rsidR="00744FD7" w:rsidRPr="009A64AF" w:rsidRDefault="00744FD7" w:rsidP="00744FD7">
            <w:pPr>
              <w:pStyle w:val="Body"/>
              <w:spacing w:after="180" w:line="240" w:lineRule="auto"/>
              <w:rPr>
                <w:rFonts w:ascii="Arial" w:hAnsi="Arial" w:cs="Arial"/>
                <w:lang w:val="en-NZ"/>
              </w:rPr>
            </w:pPr>
          </w:p>
        </w:tc>
        <w:tc>
          <w:tcPr>
            <w:tcW w:w="240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3F8B0" w14:textId="23E4DBDA" w:rsidR="00744FD7" w:rsidRPr="009A64AF" w:rsidRDefault="002D5DEE" w:rsidP="00FA55FE">
            <w:pPr>
              <w:spacing w:after="120"/>
              <w:rPr>
                <w:rFonts w:ascii="Arial" w:hAnsi="Arial" w:cs="Arial"/>
                <w:sz w:val="22"/>
                <w:szCs w:val="22"/>
                <w:lang w:val="en-NZ"/>
              </w:rPr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Te Tāhū Hauora </w:t>
            </w:r>
            <w:r w:rsidR="00744FD7" w:rsidRPr="009A64AF">
              <w:rPr>
                <w:rFonts w:ascii="Arial" w:hAnsi="Arial" w:cs="Arial"/>
                <w:sz w:val="22"/>
                <w:szCs w:val="22"/>
                <w:lang w:val="en-NZ"/>
              </w:rPr>
              <w:t>Health Quality &amp; Safety Commission’s Adverse Events Learning Programme virtual adverse events training.</w:t>
            </w:r>
          </w:p>
          <w:p w14:paraId="0806458C" w14:textId="6CBBC25C" w:rsidR="000F3AE9" w:rsidRPr="00BB1ABC" w:rsidRDefault="000F3AE9" w:rsidP="000F3AE9">
            <w:pPr>
              <w:spacing w:after="180"/>
            </w:pPr>
            <w:r>
              <w:rPr>
                <w:rFonts w:ascii="Arial" w:hAnsi="Arial" w:cs="Arial"/>
                <w:sz w:val="22"/>
                <w:szCs w:val="22"/>
                <w:lang w:val="en-NZ"/>
              </w:rPr>
              <w:t xml:space="preserve">Micro-credentials in Restorative Response are available from </w:t>
            </w:r>
            <w:hyperlink r:id="rId18" w:history="1">
              <w:r w:rsidRPr="000F3AE9">
                <w:rPr>
                  <w:rStyle w:val="Hyperlink"/>
                  <w:rFonts w:ascii="Arial" w:hAnsi="Arial" w:cs="Arial"/>
                  <w:sz w:val="22"/>
                  <w:szCs w:val="22"/>
                  <w:lang w:val="en-NZ"/>
                </w:rPr>
                <w:t xml:space="preserve">Te </w:t>
              </w:r>
              <w:r w:rsidRPr="00BB1ABC">
                <w:rPr>
                  <w:rStyle w:val="Hyperlink"/>
                  <w:rFonts w:ascii="Arial" w:hAnsi="Arial" w:cs="Arial"/>
                  <w:sz w:val="22"/>
                  <w:szCs w:val="22"/>
                  <w:lang w:val="mi-NZ"/>
                </w:rPr>
                <w:t>Ngāpara</w:t>
              </w:r>
              <w:r w:rsidRPr="000F3AE9">
                <w:rPr>
                  <w:rStyle w:val="Hyperlink"/>
                  <w:rFonts w:ascii="Arial" w:hAnsi="Arial" w:cs="Arial"/>
                  <w:sz w:val="22"/>
                  <w:szCs w:val="22"/>
                  <w:lang w:val="en-NZ"/>
                </w:rPr>
                <w:t xml:space="preserve"> Centre for Restorative Practice</w:t>
              </w:r>
            </w:hyperlink>
            <w:r w:rsidRPr="00BB1ABC">
              <w:t xml:space="preserve"> </w:t>
            </w:r>
          </w:p>
          <w:p w14:paraId="26213390" w14:textId="73A6BD62" w:rsidR="004E1912" w:rsidRPr="009A64AF" w:rsidRDefault="004E1912" w:rsidP="000F3AE9">
            <w:pPr>
              <w:spacing w:after="180"/>
              <w:rPr>
                <w:rFonts w:ascii="Arial" w:hAnsi="Arial" w:cs="Arial"/>
                <w:sz w:val="22"/>
                <w:szCs w:val="22"/>
                <w:lang w:val="en-NZ"/>
              </w:rPr>
            </w:pPr>
          </w:p>
        </w:tc>
      </w:tr>
    </w:tbl>
    <w:p w14:paraId="58D914AF" w14:textId="77777777" w:rsidR="004C3115" w:rsidRPr="009A64AF" w:rsidRDefault="004C3115">
      <w:pPr>
        <w:rPr>
          <w:rFonts w:ascii="Arial" w:hAnsi="Arial" w:cs="Arial"/>
          <w:lang w:val="en-NZ"/>
        </w:rPr>
      </w:pPr>
    </w:p>
    <w:p w14:paraId="7269F593" w14:textId="042C9C57" w:rsidR="000F3AE9" w:rsidRPr="00BB1ABC" w:rsidRDefault="000C56AE" w:rsidP="00867507">
      <w:pPr>
        <w:pStyle w:val="Heading"/>
        <w:spacing w:before="0" w:after="100" w:line="240" w:lineRule="auto"/>
        <w:ind w:left="-567"/>
        <w:rPr>
          <w:rFonts w:ascii="Arial" w:eastAsia="Calibri" w:hAnsi="Arial" w:cs="Arial"/>
          <w:color w:val="auto"/>
          <w:sz w:val="22"/>
          <w:szCs w:val="22"/>
          <w:lang w:val="en-NZ"/>
        </w:rPr>
      </w:pPr>
      <w:r w:rsidRPr="009A64AF">
        <w:rPr>
          <w:rFonts w:ascii="Arial" w:eastAsia="Calibri" w:hAnsi="Arial" w:cs="Arial"/>
          <w:b/>
          <w:bCs/>
          <w:color w:val="auto"/>
          <w:sz w:val="22"/>
          <w:szCs w:val="22"/>
          <w:lang w:val="en-NZ"/>
        </w:rPr>
        <w:t>Bibliography</w:t>
      </w:r>
    </w:p>
    <w:p w14:paraId="65FEFF50" w14:textId="77777777" w:rsidR="000F3AE9" w:rsidRPr="00BB1ABC" w:rsidRDefault="000F3AE9" w:rsidP="00661378">
      <w:pPr>
        <w:pStyle w:val="Bibliography"/>
        <w:spacing w:after="100" w:line="276" w:lineRule="auto"/>
        <w:ind w:left="142" w:hanging="720"/>
        <w:rPr>
          <w:rFonts w:ascii="Arial" w:hAnsi="Arial" w:cs="Arial"/>
          <w:color w:val="auto"/>
          <w:u w:color="2F5496"/>
          <w:lang w:val="en-NZ"/>
        </w:rPr>
      </w:pPr>
      <w:r w:rsidRPr="00BB1ABC">
        <w:rPr>
          <w:rFonts w:ascii="Arial" w:hAnsi="Arial" w:cs="Arial"/>
          <w:color w:val="auto"/>
          <w:u w:color="2F5496"/>
          <w:lang w:val="en-NZ"/>
        </w:rPr>
        <w:t xml:space="preserve">Lawton R, </w:t>
      </w:r>
      <w:proofErr w:type="spellStart"/>
      <w:r w:rsidRPr="00BB1ABC">
        <w:rPr>
          <w:rFonts w:ascii="Arial" w:hAnsi="Arial" w:cs="Arial"/>
          <w:color w:val="auto"/>
          <w:u w:color="2F5496"/>
          <w:lang w:val="en-NZ"/>
        </w:rPr>
        <w:t>McEachean</w:t>
      </w:r>
      <w:proofErr w:type="spellEnd"/>
      <w:r w:rsidRPr="00BB1ABC">
        <w:rPr>
          <w:rFonts w:ascii="Arial" w:hAnsi="Arial" w:cs="Arial"/>
          <w:color w:val="auto"/>
          <w:u w:color="2F5496"/>
          <w:lang w:val="en-NZ"/>
        </w:rPr>
        <w:t xml:space="preserve"> RR, Giles SJ, et al. 2012. Development of an evidence-based framework of factors contributing to patient safety incidents in hospital settings: a systematic review. </w:t>
      </w:r>
      <w:r w:rsidRPr="00BB1ABC">
        <w:rPr>
          <w:rFonts w:ascii="Arial" w:hAnsi="Arial" w:cs="Arial"/>
          <w:i/>
          <w:iCs/>
          <w:color w:val="auto"/>
          <w:u w:color="2F5496"/>
          <w:lang w:val="en-NZ"/>
        </w:rPr>
        <w:t xml:space="preserve">BMJ Quality &amp; Safety </w:t>
      </w:r>
      <w:r w:rsidRPr="00BB1ABC">
        <w:rPr>
          <w:rFonts w:ascii="Arial" w:hAnsi="Arial" w:cs="Arial"/>
          <w:color w:val="auto"/>
          <w:u w:color="2F5496"/>
          <w:lang w:val="en-NZ"/>
        </w:rPr>
        <w:t xml:space="preserve">21: 369–80. </w:t>
      </w:r>
      <w:proofErr w:type="spellStart"/>
      <w:r w:rsidRPr="00BB1ABC">
        <w:rPr>
          <w:rFonts w:ascii="Arial" w:hAnsi="Arial" w:cs="Arial"/>
          <w:color w:val="auto"/>
          <w:u w:color="2F5496"/>
          <w:lang w:val="en-NZ"/>
        </w:rPr>
        <w:t>doi</w:t>
      </w:r>
      <w:proofErr w:type="spellEnd"/>
      <w:r w:rsidRPr="00BB1ABC">
        <w:rPr>
          <w:rFonts w:ascii="Arial" w:hAnsi="Arial" w:cs="Arial"/>
          <w:color w:val="auto"/>
          <w:u w:color="2F5496"/>
          <w:lang w:val="en-NZ"/>
        </w:rPr>
        <w:t>: 10.1136/bmjqs-2011-000443.</w:t>
      </w:r>
    </w:p>
    <w:p w14:paraId="02958419" w14:textId="77777777" w:rsidR="000F3AE9" w:rsidRPr="00BB1ABC" w:rsidRDefault="000F3AE9" w:rsidP="00661378">
      <w:pPr>
        <w:pStyle w:val="Bibliography"/>
        <w:spacing w:after="100" w:line="276" w:lineRule="auto"/>
        <w:ind w:left="142" w:hanging="720"/>
        <w:rPr>
          <w:rFonts w:ascii="Arial" w:hAnsi="Arial" w:cs="Arial"/>
          <w:color w:val="auto"/>
          <w:u w:color="2F5496"/>
          <w:lang w:val="en-NZ"/>
        </w:rPr>
      </w:pPr>
      <w:r w:rsidRPr="00BB1ABC">
        <w:rPr>
          <w:rFonts w:ascii="Arial" w:hAnsi="Arial" w:cs="Arial"/>
          <w:color w:val="auto"/>
          <w:u w:color="2F5496"/>
          <w:lang w:val="en-NZ"/>
        </w:rPr>
        <w:t xml:space="preserve">Peerally M, Carr S, Waring J, et al. 2017. The problem with root cause analysis. </w:t>
      </w:r>
      <w:r w:rsidRPr="00BB1ABC">
        <w:rPr>
          <w:rFonts w:ascii="Arial" w:hAnsi="Arial" w:cs="Arial"/>
          <w:i/>
          <w:iCs/>
          <w:color w:val="auto"/>
          <w:u w:color="2F5496"/>
          <w:lang w:val="en-NZ"/>
        </w:rPr>
        <w:t xml:space="preserve">BMJ Quality &amp; Safety </w:t>
      </w:r>
      <w:r w:rsidRPr="00BB1ABC">
        <w:rPr>
          <w:rFonts w:ascii="Arial" w:hAnsi="Arial" w:cs="Arial"/>
          <w:color w:val="auto"/>
          <w:u w:color="2F5496"/>
          <w:lang w:val="en-NZ"/>
        </w:rPr>
        <w:t>26(5): 417–22. doi:10.1136/bmjqs-2016-005511.</w:t>
      </w:r>
    </w:p>
    <w:p w14:paraId="3CF95301" w14:textId="522D48A2" w:rsidR="000F3AE9" w:rsidRPr="00BB1ABC" w:rsidRDefault="000F3AE9" w:rsidP="00661378">
      <w:pPr>
        <w:pStyle w:val="Bibliography"/>
        <w:spacing w:after="100" w:line="276" w:lineRule="auto"/>
        <w:ind w:left="142" w:hanging="720"/>
        <w:rPr>
          <w:rFonts w:ascii="Arial" w:hAnsi="Arial" w:cs="Arial"/>
          <w:color w:val="auto"/>
          <w:u w:color="2F5496"/>
          <w:lang w:val="en-NZ"/>
        </w:rPr>
      </w:pPr>
      <w:r w:rsidRPr="00BB1ABC">
        <w:rPr>
          <w:rFonts w:ascii="Arial" w:hAnsi="Arial" w:cs="Arial"/>
          <w:color w:val="auto"/>
          <w:u w:color="2F5496"/>
          <w:lang w:val="en-NZ"/>
        </w:rPr>
        <w:t xml:space="preserve">Scion. 2017. </w:t>
      </w:r>
      <w:r w:rsidRPr="00BB1ABC">
        <w:rPr>
          <w:rFonts w:ascii="Arial" w:hAnsi="Arial" w:cs="Arial"/>
          <w:i/>
          <w:iCs/>
          <w:color w:val="auto"/>
          <w:u w:color="2F5496"/>
          <w:lang w:val="en-NZ"/>
        </w:rPr>
        <w:t>Guide to Doing a Learning Review</w:t>
      </w:r>
      <w:r w:rsidRPr="00BB1ABC">
        <w:rPr>
          <w:rFonts w:ascii="Arial" w:hAnsi="Arial" w:cs="Arial"/>
          <w:color w:val="auto"/>
          <w:u w:color="2F5496"/>
          <w:lang w:val="en-NZ"/>
        </w:rPr>
        <w:t xml:space="preserve">. Rotorua: New Zealand Forest Research Institute Limited (Scion). URL: </w:t>
      </w:r>
      <w:hyperlink r:id="rId19" w:history="1">
        <w:r w:rsidR="00D22297" w:rsidRPr="00055CCE">
          <w:rPr>
            <w:rStyle w:val="Hyperlink"/>
            <w:rFonts w:ascii="Arial" w:hAnsi="Arial" w:cs="Arial"/>
            <w:lang w:val="en-NZ"/>
          </w:rPr>
          <w:t>https://safetree.nz/wp-content/uploads/2017/11/Guide-to-doing-a-learning-review-Nov-2017.pdf</w:t>
        </w:r>
      </w:hyperlink>
      <w:r w:rsidRPr="00BB1ABC">
        <w:rPr>
          <w:rFonts w:ascii="Arial" w:hAnsi="Arial" w:cs="Arial"/>
          <w:color w:val="auto"/>
          <w:u w:color="2F5496"/>
          <w:lang w:val="en-NZ"/>
        </w:rPr>
        <w:t>.</w:t>
      </w:r>
      <w:r w:rsidR="00D22297">
        <w:rPr>
          <w:rFonts w:ascii="Arial" w:hAnsi="Arial" w:cs="Arial"/>
          <w:color w:val="auto"/>
          <w:u w:color="2F5496"/>
          <w:lang w:val="en-NZ"/>
        </w:rPr>
        <w:t xml:space="preserve"> </w:t>
      </w:r>
    </w:p>
    <w:p w14:paraId="43F20F61" w14:textId="77777777" w:rsidR="000F3AE9" w:rsidRPr="00BB1ABC" w:rsidRDefault="000F3AE9" w:rsidP="00661378">
      <w:pPr>
        <w:pStyle w:val="Bibliography"/>
        <w:spacing w:after="100" w:line="276" w:lineRule="auto"/>
        <w:ind w:left="142" w:hanging="720"/>
        <w:rPr>
          <w:rFonts w:ascii="Arial" w:hAnsi="Arial" w:cs="Arial"/>
          <w:color w:val="auto"/>
          <w:u w:color="2F5496"/>
          <w:lang w:val="en-NZ"/>
        </w:rPr>
      </w:pPr>
      <w:proofErr w:type="spellStart"/>
      <w:r w:rsidRPr="00BB1ABC">
        <w:rPr>
          <w:rFonts w:ascii="Arial" w:hAnsi="Arial" w:cs="Arial"/>
          <w:color w:val="auto"/>
          <w:u w:color="2F5496"/>
          <w:lang w:val="en-NZ"/>
        </w:rPr>
        <w:t>Shebl</w:t>
      </w:r>
      <w:proofErr w:type="spellEnd"/>
      <w:r w:rsidRPr="00BB1ABC">
        <w:rPr>
          <w:rFonts w:ascii="Arial" w:hAnsi="Arial" w:cs="Arial"/>
          <w:color w:val="auto"/>
          <w:u w:color="2F5496"/>
          <w:lang w:val="en-NZ"/>
        </w:rPr>
        <w:t xml:space="preserve"> NA, Franklin BD, Barber N. 2012. Failure mode and effects analysis outputs: are they valid? </w:t>
      </w:r>
      <w:r w:rsidRPr="00BB1ABC">
        <w:rPr>
          <w:rFonts w:ascii="Arial" w:hAnsi="Arial" w:cs="Arial"/>
          <w:i/>
          <w:iCs/>
          <w:color w:val="auto"/>
          <w:u w:color="2F5496"/>
          <w:lang w:val="en-NZ"/>
        </w:rPr>
        <w:t xml:space="preserve">BMC Health Services Research </w:t>
      </w:r>
      <w:r w:rsidRPr="00BB1ABC">
        <w:rPr>
          <w:rFonts w:ascii="Arial" w:hAnsi="Arial" w:cs="Arial"/>
          <w:color w:val="auto"/>
          <w:u w:color="2F5496"/>
          <w:lang w:val="en-NZ"/>
        </w:rPr>
        <w:t>12: 150. doi:10.1186%2F1472-6963-12-150.</w:t>
      </w:r>
    </w:p>
    <w:p w14:paraId="3844C7B1" w14:textId="77777777" w:rsidR="000F3AE9" w:rsidRPr="00BB1ABC" w:rsidRDefault="000F3AE9" w:rsidP="00661378">
      <w:pPr>
        <w:pStyle w:val="Body"/>
        <w:spacing w:after="100" w:line="276" w:lineRule="auto"/>
        <w:ind w:left="142" w:hanging="720"/>
        <w:rPr>
          <w:rFonts w:ascii="Arial" w:hAnsi="Arial" w:cs="Arial"/>
          <w:color w:val="auto"/>
          <w:u w:color="2F5496"/>
          <w:lang w:val="en-NZ"/>
        </w:rPr>
      </w:pPr>
      <w:r w:rsidRPr="00BB1ABC">
        <w:rPr>
          <w:rFonts w:ascii="Arial" w:hAnsi="Arial" w:cs="Arial"/>
          <w:color w:val="auto"/>
          <w:u w:color="2F5496"/>
          <w:lang w:val="en-NZ"/>
        </w:rPr>
        <w:t xml:space="preserve">Taylor-Adams S, Vincent C. 2001. </w:t>
      </w:r>
      <w:r w:rsidRPr="00BB1ABC">
        <w:rPr>
          <w:rFonts w:ascii="Arial" w:hAnsi="Arial" w:cs="Arial"/>
          <w:i/>
          <w:iCs/>
          <w:color w:val="auto"/>
          <w:u w:color="2F5496"/>
          <w:lang w:val="en-NZ"/>
        </w:rPr>
        <w:t xml:space="preserve">Systems Analysis of Clinical Incidents: The </w:t>
      </w:r>
      <w:r w:rsidRPr="00BB1ABC">
        <w:rPr>
          <w:rFonts w:ascii="Arial" w:hAnsi="Arial" w:cs="Arial"/>
          <w:i/>
          <w:iCs/>
          <w:color w:val="auto"/>
          <w:u w:color="2F5496"/>
          <w:shd w:val="clear" w:color="auto" w:fill="FFFFFF"/>
          <w:lang w:val="en-NZ"/>
        </w:rPr>
        <w:t>London Protocol</w:t>
      </w:r>
      <w:r w:rsidRPr="00BB1ABC">
        <w:rPr>
          <w:rFonts w:ascii="Arial" w:hAnsi="Arial" w:cs="Arial"/>
          <w:color w:val="auto"/>
          <w:u w:color="2F5496"/>
          <w:shd w:val="clear" w:color="auto" w:fill="FFFFFF"/>
          <w:lang w:val="en-NZ"/>
        </w:rPr>
        <w:t>. London: National Patient Safety Agency, Clinical Safety Research Unit, Imperial College London.</w:t>
      </w:r>
    </w:p>
    <w:p w14:paraId="41ADA7C5" w14:textId="77777777" w:rsidR="000F3AE9" w:rsidRPr="00BB1ABC" w:rsidRDefault="000F3AE9" w:rsidP="00661378">
      <w:pPr>
        <w:pStyle w:val="Bibliography"/>
        <w:spacing w:after="100" w:line="276" w:lineRule="auto"/>
        <w:ind w:left="142" w:hanging="720"/>
        <w:rPr>
          <w:rFonts w:ascii="Arial" w:hAnsi="Arial" w:cs="Arial"/>
          <w:color w:val="auto"/>
          <w:u w:color="2F5496"/>
          <w:lang w:val="en-NZ"/>
        </w:rPr>
      </w:pPr>
      <w:r w:rsidRPr="00BB1ABC">
        <w:rPr>
          <w:rFonts w:ascii="Arial" w:hAnsi="Arial" w:cs="Arial"/>
          <w:color w:val="auto"/>
          <w:u w:color="2F5496"/>
          <w:lang w:val="en-NZ"/>
        </w:rPr>
        <w:t xml:space="preserve">Vincent CA. 2004. Analysis of clinical incidents: a window on the system not a search for root causes. </w:t>
      </w:r>
      <w:r w:rsidRPr="00BB1ABC">
        <w:rPr>
          <w:rFonts w:ascii="Arial" w:hAnsi="Arial" w:cs="Arial"/>
          <w:i/>
          <w:iCs/>
          <w:color w:val="auto"/>
          <w:u w:color="2F5496"/>
          <w:lang w:val="en-NZ"/>
        </w:rPr>
        <w:t xml:space="preserve">BMJ Quality &amp; Safety </w:t>
      </w:r>
      <w:r w:rsidRPr="00BB1ABC">
        <w:rPr>
          <w:rFonts w:ascii="Arial" w:hAnsi="Arial" w:cs="Arial"/>
          <w:color w:val="auto"/>
          <w:u w:color="2F5496"/>
          <w:lang w:val="en-NZ"/>
        </w:rPr>
        <w:t>13: 242–3.</w:t>
      </w:r>
    </w:p>
    <w:p w14:paraId="7D217BD2" w14:textId="5C55EDD9" w:rsidR="00C96039" w:rsidRPr="009A64AF" w:rsidRDefault="00661378" w:rsidP="00661378">
      <w:pPr>
        <w:pStyle w:val="Bibliography"/>
        <w:spacing w:after="100" w:line="276" w:lineRule="auto"/>
        <w:ind w:left="142" w:hanging="720"/>
        <w:rPr>
          <w:rFonts w:ascii="Arial" w:hAnsi="Arial" w:cs="Arial"/>
          <w:lang w:val="en-NZ"/>
        </w:rPr>
      </w:pPr>
      <w:r w:rsidRPr="00BB1ABC">
        <w:rPr>
          <w:rFonts w:ascii="Arial" w:hAnsi="Arial" w:cs="Arial"/>
          <w:noProof/>
          <w:color w:val="auto"/>
          <w:lang w:val="en-NZ"/>
        </w:rPr>
        <w:drawing>
          <wp:anchor distT="0" distB="0" distL="114300" distR="114300" simplePos="0" relativeHeight="251658241" behindDoc="0" locked="0" layoutInCell="1" allowOverlap="1" wp14:anchorId="5E77C14F" wp14:editId="2C657D62">
            <wp:simplePos x="0" y="0"/>
            <wp:positionH relativeFrom="column">
              <wp:posOffset>-393700</wp:posOffset>
            </wp:positionH>
            <wp:positionV relativeFrom="paragraph">
              <wp:posOffset>2912745</wp:posOffset>
            </wp:positionV>
            <wp:extent cx="1772285" cy="668020"/>
            <wp:effectExtent l="0" t="0" r="0" b="0"/>
            <wp:wrapNone/>
            <wp:docPr id="1" name="Picture 1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val="en-NZ"/>
        </w:rPr>
        <w:drawing>
          <wp:anchor distT="0" distB="0" distL="114300" distR="114300" simplePos="0" relativeHeight="251658242" behindDoc="0" locked="0" layoutInCell="1" allowOverlap="1" wp14:anchorId="4F20295D" wp14:editId="3AF9D0B1">
            <wp:simplePos x="0" y="0"/>
            <wp:positionH relativeFrom="column">
              <wp:posOffset>6717030</wp:posOffset>
            </wp:positionH>
            <wp:positionV relativeFrom="paragraph">
              <wp:posOffset>2939270</wp:posOffset>
            </wp:positionV>
            <wp:extent cx="2029460" cy="614045"/>
            <wp:effectExtent l="0" t="0" r="8890" b="0"/>
            <wp:wrapNone/>
            <wp:docPr id="17984983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8498332" name="Picture 1798498332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645F" w:rsidRPr="00BB1ABC">
        <w:rPr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4EB073A" wp14:editId="2A96924C">
                <wp:simplePos x="0" y="0"/>
                <wp:positionH relativeFrom="margin">
                  <wp:posOffset>-454758</wp:posOffset>
                </wp:positionH>
                <wp:positionV relativeFrom="paragraph">
                  <wp:posOffset>519283</wp:posOffset>
                </wp:positionV>
                <wp:extent cx="9840595" cy="1404620"/>
                <wp:effectExtent l="0" t="0" r="8255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405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AB64E" w14:textId="5A96EF11" w:rsidR="000F3AE9" w:rsidRPr="00265A4B" w:rsidRDefault="000F3AE9" w:rsidP="00265A4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65A4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Published </w:t>
                            </w:r>
                            <w:r w:rsidR="00BB1AB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May 2024</w:t>
                            </w:r>
                            <w:r w:rsidRPr="00265A4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by </w:t>
                            </w:r>
                            <w:r w:rsidR="00BB1AB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Te </w:t>
                            </w:r>
                            <w:r w:rsidR="00BB1AB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NZ"/>
                              </w:rPr>
                              <w:t>Tāhū Hauora</w:t>
                            </w:r>
                            <w:r w:rsidRPr="00265A4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Health Quality &amp; Safety Commission, PO Box 25496, Wellington 6146, New Zealand.</w:t>
                            </w:r>
                            <w:r w:rsidR="005C2CF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Available online at </w:t>
                            </w:r>
                            <w:hyperlink r:id="rId22" w:history="1">
                              <w:r w:rsidR="005C2CF1" w:rsidRPr="00055CCE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www.hqsc.govt.nz</w:t>
                              </w:r>
                            </w:hyperlink>
                            <w:r w:rsidR="005C2CF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EB07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5.8pt;margin-top:40.9pt;width:774.8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" stroked="f">
                <v:textbox style="mso-fit-shape-to-text:t">
                  <w:txbxContent>
                    <w:p w14:paraId="50AAB64E" w14:textId="5A96EF11" w:rsidR="000F3AE9" w:rsidRPr="00265A4B" w:rsidRDefault="000F3AE9" w:rsidP="00265A4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65A4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Published </w:t>
                      </w:r>
                      <w:r w:rsidR="00BB1ABC">
                        <w:rPr>
                          <w:rFonts w:ascii="Arial" w:hAnsi="Arial" w:cs="Arial"/>
                          <w:sz w:val="22"/>
                          <w:szCs w:val="22"/>
                        </w:rPr>
                        <w:t>May 2024</w:t>
                      </w:r>
                      <w:r w:rsidRPr="00265A4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by </w:t>
                      </w:r>
                      <w:r w:rsidR="00BB1AB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Te </w:t>
                      </w:r>
                      <w:r w:rsidR="00BB1ABC">
                        <w:rPr>
                          <w:rFonts w:ascii="Arial" w:hAnsi="Arial" w:cs="Arial"/>
                          <w:sz w:val="22"/>
                          <w:szCs w:val="22"/>
                          <w:lang w:val="en-NZ"/>
                        </w:rPr>
                        <w:t>Tāhū Hauora</w:t>
                      </w:r>
                      <w:r w:rsidRPr="00265A4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Health Quality &amp; Safety Commission, PO Box 25496, Wellington 6146, New Zealand.</w:t>
                      </w:r>
                      <w:r w:rsidR="005C2CF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Available online at </w:t>
                      </w:r>
                      <w:hyperlink r:id="rId23" w:history="1">
                        <w:r w:rsidR="005C2CF1" w:rsidRPr="00055CCE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www.hqsc.govt.nz</w:t>
                        </w:r>
                      </w:hyperlink>
                      <w:r w:rsidR="005C2CF1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F3AE9" w:rsidRPr="00BB1ABC">
        <w:rPr>
          <w:rFonts w:ascii="Arial" w:hAnsi="Arial" w:cs="Arial"/>
          <w:color w:val="auto"/>
          <w:lang w:val="en-NZ"/>
        </w:rPr>
        <w:t xml:space="preserve">Wu AW, Lipshutz AK, Pronovost PJ. 2008. Effectiveness and efficiency of root cause analysis in medicine. </w:t>
      </w:r>
      <w:r w:rsidR="000F3AE9" w:rsidRPr="00BB1ABC">
        <w:rPr>
          <w:rFonts w:ascii="Arial" w:hAnsi="Arial" w:cs="Arial"/>
          <w:i/>
          <w:iCs/>
          <w:color w:val="auto"/>
          <w:lang w:val="en-NZ"/>
        </w:rPr>
        <w:t xml:space="preserve">JAMA </w:t>
      </w:r>
      <w:r w:rsidR="000F3AE9" w:rsidRPr="00BB1ABC">
        <w:rPr>
          <w:rFonts w:ascii="Arial" w:hAnsi="Arial" w:cs="Arial"/>
          <w:color w:val="auto"/>
          <w:lang w:val="en-NZ"/>
        </w:rPr>
        <w:t>299(6)</w:t>
      </w:r>
      <w:r w:rsidR="00DB7ED5">
        <w:rPr>
          <w:rFonts w:ascii="Arial" w:hAnsi="Arial" w:cs="Arial"/>
          <w:color w:val="auto"/>
          <w:lang w:val="en-NZ"/>
        </w:rPr>
        <w:t>:</w:t>
      </w:r>
      <w:r w:rsidR="000F3AE9" w:rsidRPr="00BB1ABC">
        <w:rPr>
          <w:rFonts w:ascii="Arial" w:hAnsi="Arial" w:cs="Arial"/>
          <w:color w:val="auto"/>
          <w:lang w:val="en-NZ"/>
        </w:rPr>
        <w:t xml:space="preserve"> 685–7.</w:t>
      </w:r>
    </w:p>
    <w:sectPr w:rsidR="00C96039" w:rsidRPr="009A64AF" w:rsidSect="00EC2710">
      <w:footerReference w:type="default" r:id="rId24"/>
      <w:type w:val="continuous"/>
      <w:pgSz w:w="16840" w:h="11900" w:orient="landscape" w:code="9"/>
      <w:pgMar w:top="568" w:right="1440" w:bottom="1135" w:left="1440" w:header="709" w:footer="3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83954" w14:textId="77777777" w:rsidR="00EC2710" w:rsidRDefault="00EC2710">
      <w:r>
        <w:separator/>
      </w:r>
    </w:p>
  </w:endnote>
  <w:endnote w:type="continuationSeparator" w:id="0">
    <w:p w14:paraId="28208126" w14:textId="77777777" w:rsidR="00EC2710" w:rsidRDefault="00EC2710">
      <w:r>
        <w:continuationSeparator/>
      </w:r>
    </w:p>
  </w:endnote>
  <w:endnote w:type="continuationNotice" w:id="1">
    <w:p w14:paraId="6FE7A363" w14:textId="77777777" w:rsidR="00EC2710" w:rsidRDefault="00EC27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12B62" w14:textId="584B8092" w:rsidR="00C96039" w:rsidRPr="0030264F" w:rsidRDefault="00F5515B" w:rsidP="00265A4B">
    <w:pPr>
      <w:ind w:right="68" w:hanging="567"/>
      <w:rPr>
        <w:rFonts w:ascii="Arial" w:hAnsi="Arial" w:cs="Arial"/>
        <w:bCs/>
        <w:noProof/>
        <w:sz w:val="20"/>
        <w:szCs w:val="20"/>
        <w:lang w:val="mi-NZ" w:eastAsia="en-NZ"/>
      </w:rPr>
    </w:pPr>
    <w:r w:rsidRPr="0030264F">
      <w:rPr>
        <w:rFonts w:ascii="Arial" w:hAnsi="Arial" w:cs="Arial"/>
        <w:sz w:val="20"/>
        <w:szCs w:val="20"/>
      </w:rPr>
      <w:t>Overview of mental health and addiction adverse event review methods, types and approaches</w:t>
    </w:r>
    <w:r w:rsidR="003D547D" w:rsidRPr="0030264F">
      <w:rPr>
        <w:rFonts w:ascii="Arial" w:hAnsi="Arial" w:cs="Arial"/>
        <w:bCs/>
        <w:noProof/>
        <w:sz w:val="20"/>
        <w:szCs w:val="20"/>
        <w:lang w:val="mi-NZ" w:eastAsia="en-NZ"/>
      </w:rPr>
      <w:tab/>
    </w:r>
    <w:r w:rsidR="00B20775" w:rsidRPr="0030264F">
      <w:rPr>
        <w:rFonts w:ascii="Arial" w:hAnsi="Arial" w:cs="Arial"/>
        <w:bCs/>
        <w:noProof/>
        <w:sz w:val="20"/>
        <w:szCs w:val="20"/>
        <w:lang w:val="mi-NZ" w:eastAsia="en-NZ"/>
      </w:rPr>
      <w:tab/>
    </w:r>
    <w:r w:rsidR="00B20775" w:rsidRPr="0030264F">
      <w:rPr>
        <w:rFonts w:ascii="Arial" w:hAnsi="Arial" w:cs="Arial"/>
        <w:bCs/>
        <w:noProof/>
        <w:sz w:val="20"/>
        <w:szCs w:val="20"/>
        <w:lang w:val="mi-NZ" w:eastAsia="en-NZ"/>
      </w:rPr>
      <w:tab/>
    </w:r>
    <w:r w:rsidR="00B20775" w:rsidRPr="0030264F">
      <w:rPr>
        <w:rFonts w:ascii="Arial" w:hAnsi="Arial" w:cs="Arial"/>
        <w:bCs/>
        <w:noProof/>
        <w:sz w:val="20"/>
        <w:szCs w:val="20"/>
        <w:lang w:val="mi-NZ" w:eastAsia="en-NZ"/>
      </w:rPr>
      <w:tab/>
    </w:r>
    <w:r w:rsidR="00B20775" w:rsidRPr="0030264F">
      <w:rPr>
        <w:rFonts w:ascii="Arial" w:hAnsi="Arial" w:cs="Arial"/>
        <w:bCs/>
        <w:noProof/>
        <w:sz w:val="20"/>
        <w:szCs w:val="20"/>
        <w:lang w:val="mi-NZ" w:eastAsia="en-NZ"/>
      </w:rPr>
      <w:tab/>
    </w:r>
    <w:r w:rsidR="00B20775" w:rsidRPr="0030264F">
      <w:rPr>
        <w:rFonts w:ascii="Arial" w:hAnsi="Arial" w:cs="Arial"/>
        <w:bCs/>
        <w:noProof/>
        <w:sz w:val="20"/>
        <w:szCs w:val="20"/>
        <w:lang w:val="mi-NZ" w:eastAsia="en-NZ"/>
      </w:rPr>
      <w:tab/>
    </w:r>
    <w:r w:rsidR="00A80048">
      <w:rPr>
        <w:rFonts w:ascii="Arial" w:hAnsi="Arial" w:cs="Arial"/>
        <w:bCs/>
        <w:noProof/>
        <w:sz w:val="20"/>
        <w:szCs w:val="20"/>
        <w:lang w:val="mi-NZ" w:eastAsia="en-NZ"/>
      </w:rPr>
      <w:tab/>
    </w:r>
    <w:r w:rsidR="00903980" w:rsidRPr="0030264F">
      <w:rPr>
        <w:rFonts w:ascii="Arial" w:hAnsi="Arial" w:cs="Arial"/>
        <w:bCs/>
        <w:noProof/>
        <w:sz w:val="20"/>
        <w:szCs w:val="20"/>
        <w:lang w:val="mi-NZ" w:eastAsia="en-NZ"/>
      </w:rPr>
      <w:tab/>
    </w:r>
    <w:r w:rsidR="00265A4B">
      <w:rPr>
        <w:rFonts w:ascii="Arial" w:hAnsi="Arial" w:cs="Arial"/>
        <w:bCs/>
        <w:noProof/>
        <w:sz w:val="20"/>
        <w:szCs w:val="20"/>
        <w:lang w:val="mi-NZ" w:eastAsia="en-NZ"/>
      </w:rPr>
      <w:tab/>
    </w:r>
    <w:r w:rsidR="00274080" w:rsidRPr="0030264F">
      <w:rPr>
        <w:rFonts w:ascii="Arial" w:hAnsi="Arial" w:cs="Arial"/>
        <w:sz w:val="20"/>
        <w:szCs w:val="20"/>
      </w:rPr>
      <w:fldChar w:fldCharType="begin"/>
    </w:r>
    <w:r w:rsidR="00274080" w:rsidRPr="0030264F">
      <w:rPr>
        <w:rFonts w:ascii="Arial" w:hAnsi="Arial" w:cs="Arial"/>
        <w:sz w:val="20"/>
        <w:szCs w:val="20"/>
      </w:rPr>
      <w:instrText xml:space="preserve"> PAGE </w:instrText>
    </w:r>
    <w:r w:rsidR="00274080" w:rsidRPr="0030264F">
      <w:rPr>
        <w:rFonts w:ascii="Arial" w:hAnsi="Arial" w:cs="Arial"/>
        <w:sz w:val="20"/>
        <w:szCs w:val="20"/>
      </w:rPr>
      <w:fldChar w:fldCharType="separate"/>
    </w:r>
    <w:r w:rsidR="00367229" w:rsidRPr="0030264F">
      <w:rPr>
        <w:rFonts w:ascii="Arial" w:hAnsi="Arial" w:cs="Arial"/>
        <w:noProof/>
        <w:sz w:val="20"/>
        <w:szCs w:val="20"/>
      </w:rPr>
      <w:t>12</w:t>
    </w:r>
    <w:r w:rsidR="00274080" w:rsidRPr="0030264F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8F7C2" w14:textId="77777777" w:rsidR="00EC2710" w:rsidRDefault="00EC2710">
      <w:r>
        <w:separator/>
      </w:r>
    </w:p>
  </w:footnote>
  <w:footnote w:type="continuationSeparator" w:id="0">
    <w:p w14:paraId="6B74AEA3" w14:textId="77777777" w:rsidR="00EC2710" w:rsidRDefault="00EC2710">
      <w:r>
        <w:continuationSeparator/>
      </w:r>
    </w:p>
  </w:footnote>
  <w:footnote w:type="continuationNotice" w:id="1">
    <w:p w14:paraId="5804F380" w14:textId="77777777" w:rsidR="00EC2710" w:rsidRDefault="00EC2710"/>
  </w:footnote>
  <w:footnote w:id="2">
    <w:p w14:paraId="24798E70" w14:textId="0D354D0B" w:rsidR="00B2125E" w:rsidRPr="009A64AF" w:rsidRDefault="00B2125E" w:rsidP="00B2125E">
      <w:pPr>
        <w:pStyle w:val="Bibliography"/>
        <w:spacing w:after="0"/>
        <w:ind w:hanging="142"/>
        <w:rPr>
          <w:rFonts w:ascii="Arial" w:hAnsi="Arial" w:cs="Arial"/>
          <w:sz w:val="20"/>
          <w:szCs w:val="20"/>
        </w:rPr>
      </w:pPr>
      <w:r w:rsidRPr="009A64AF">
        <w:rPr>
          <w:rStyle w:val="FootnoteReference"/>
          <w:rFonts w:ascii="Arial" w:hAnsi="Arial" w:cs="Arial"/>
          <w:sz w:val="20"/>
          <w:szCs w:val="20"/>
        </w:rPr>
        <w:footnoteRef/>
      </w:r>
      <w:r w:rsidR="00F935DB" w:rsidRPr="009A64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64AF">
        <w:rPr>
          <w:rFonts w:ascii="Arial" w:hAnsi="Arial" w:cs="Arial"/>
          <w:sz w:val="20"/>
          <w:szCs w:val="20"/>
        </w:rPr>
        <w:t>Pupulidy</w:t>
      </w:r>
      <w:proofErr w:type="spellEnd"/>
      <w:r w:rsidRPr="009A64AF">
        <w:rPr>
          <w:rFonts w:ascii="Arial" w:hAnsi="Arial" w:cs="Arial"/>
          <w:sz w:val="20"/>
          <w:szCs w:val="20"/>
        </w:rPr>
        <w:t xml:space="preserve"> I</w:t>
      </w:r>
      <w:r w:rsidR="00263A84" w:rsidRPr="009A64AF">
        <w:rPr>
          <w:rFonts w:ascii="Arial" w:hAnsi="Arial" w:cs="Arial"/>
          <w:sz w:val="20"/>
          <w:szCs w:val="20"/>
        </w:rPr>
        <w:t xml:space="preserve">, </w:t>
      </w:r>
      <w:r w:rsidRPr="009A64AF">
        <w:rPr>
          <w:rFonts w:ascii="Arial" w:hAnsi="Arial" w:cs="Arial"/>
          <w:sz w:val="20"/>
          <w:szCs w:val="20"/>
        </w:rPr>
        <w:t xml:space="preserve">Vesel C. 2017. </w:t>
      </w:r>
      <w:r w:rsidRPr="009A64AF">
        <w:rPr>
          <w:rFonts w:ascii="Arial" w:hAnsi="Arial" w:cs="Arial"/>
          <w:i/>
          <w:iCs/>
          <w:sz w:val="20"/>
          <w:szCs w:val="20"/>
        </w:rPr>
        <w:t>The Learning Review: Adding to the accident investigation toolbox</w:t>
      </w:r>
      <w:r w:rsidRPr="009A64AF">
        <w:rPr>
          <w:rFonts w:ascii="Arial" w:hAnsi="Arial" w:cs="Arial"/>
          <w:sz w:val="20"/>
          <w:szCs w:val="20"/>
        </w:rPr>
        <w:t xml:space="preserve">. </w:t>
      </w:r>
      <w:r w:rsidR="00263A84" w:rsidRPr="009A64AF">
        <w:rPr>
          <w:rFonts w:ascii="Arial" w:hAnsi="Arial" w:cs="Arial"/>
          <w:sz w:val="20"/>
          <w:szCs w:val="20"/>
        </w:rPr>
        <w:t>URL</w:t>
      </w:r>
      <w:r w:rsidR="00795A52" w:rsidRPr="009A64AF">
        <w:rPr>
          <w:rFonts w:ascii="Arial" w:hAnsi="Arial" w:cs="Arial"/>
          <w:sz w:val="20"/>
          <w:szCs w:val="20"/>
        </w:rPr>
        <w:t>:</w:t>
      </w:r>
      <w:r w:rsidRPr="009A64AF">
        <w:rPr>
          <w:rFonts w:ascii="Arial" w:hAnsi="Arial" w:cs="Arial"/>
          <w:sz w:val="20"/>
          <w:szCs w:val="20"/>
        </w:rPr>
        <w:t xml:space="preserve"> </w:t>
      </w:r>
      <w:hyperlink r:id="rId1" w:history="1">
        <w:r w:rsidR="00B13089" w:rsidRPr="00045940">
          <w:rPr>
            <w:rStyle w:val="Hyperlink"/>
            <w:rFonts w:ascii="Arial" w:hAnsi="Arial" w:cs="Arial"/>
            <w:sz w:val="20"/>
            <w:szCs w:val="20"/>
          </w:rPr>
          <w:t>www.safetydifferently.com/the-learning-review-adding-to-the-accident-investigation-toolbox</w:t>
        </w:r>
      </w:hyperlink>
      <w:r w:rsidRPr="009A64AF">
        <w:rPr>
          <w:rFonts w:ascii="Arial" w:hAnsi="Arial" w:cs="Arial"/>
          <w:sz w:val="20"/>
          <w:szCs w:val="20"/>
        </w:rPr>
        <w:t>.</w:t>
      </w:r>
    </w:p>
  </w:footnote>
  <w:footnote w:id="3">
    <w:p w14:paraId="2932A967" w14:textId="0959666F" w:rsidR="007132A9" w:rsidRPr="009A64AF" w:rsidRDefault="007132A9">
      <w:pPr>
        <w:pStyle w:val="FootnoteText"/>
        <w:rPr>
          <w:rFonts w:ascii="Arial" w:hAnsi="Arial" w:cs="Arial"/>
          <w:lang w:val="en-NZ"/>
        </w:rPr>
      </w:pPr>
      <w:r w:rsidRPr="009A64AF">
        <w:rPr>
          <w:rStyle w:val="FootnoteReference"/>
          <w:rFonts w:ascii="Arial" w:hAnsi="Arial" w:cs="Arial"/>
        </w:rPr>
        <w:footnoteRef/>
      </w:r>
      <w:r w:rsidRPr="009A64AF">
        <w:rPr>
          <w:rFonts w:ascii="Arial" w:hAnsi="Arial" w:cs="Arial"/>
        </w:rPr>
        <w:t xml:space="preserve"> The London Protocol</w:t>
      </w:r>
      <w:r w:rsidR="00C226A5" w:rsidRPr="009A64AF">
        <w:rPr>
          <w:rFonts w:ascii="Arial" w:hAnsi="Arial" w:cs="Arial"/>
        </w:rPr>
        <w:t>:</w:t>
      </w:r>
      <w:r w:rsidRPr="009A64AF">
        <w:rPr>
          <w:rFonts w:ascii="Arial" w:hAnsi="Arial" w:cs="Arial"/>
        </w:rPr>
        <w:t xml:space="preserve"> </w:t>
      </w:r>
      <w:hyperlink r:id="rId2" w:history="1">
        <w:r w:rsidR="00B13089" w:rsidRPr="00045940">
          <w:rPr>
            <w:rStyle w:val="Hyperlink"/>
            <w:rFonts w:ascii="Arial" w:hAnsi="Arial" w:cs="Arial"/>
          </w:rPr>
          <w:t>https://healthmanagement.org/c/hospital/issuearticle/the-london-protocol</w:t>
        </w:r>
      </w:hyperlink>
      <w:r w:rsidR="005D0F6E" w:rsidRPr="009A64AF">
        <w:rPr>
          <w:rFonts w:ascii="Arial" w:hAnsi="Arial" w:cs="Arial"/>
        </w:rPr>
        <w:t>.</w:t>
      </w:r>
    </w:p>
  </w:footnote>
  <w:footnote w:id="4">
    <w:p w14:paraId="7D29725F" w14:textId="23735D61" w:rsidR="00C441DF" w:rsidRPr="009A64AF" w:rsidRDefault="00C441DF" w:rsidP="00C441DF">
      <w:pPr>
        <w:pStyle w:val="Bibliography"/>
        <w:spacing w:after="0"/>
        <w:ind w:hanging="142"/>
        <w:rPr>
          <w:rFonts w:ascii="Arial" w:hAnsi="Arial" w:cs="Arial"/>
          <w:sz w:val="20"/>
          <w:szCs w:val="20"/>
        </w:rPr>
      </w:pPr>
      <w:r w:rsidRPr="009A64AF">
        <w:rPr>
          <w:rStyle w:val="FootnoteReference"/>
          <w:rFonts w:ascii="Arial" w:hAnsi="Arial" w:cs="Arial"/>
        </w:rPr>
        <w:footnoteRef/>
      </w:r>
      <w:r w:rsidRPr="009A64AF">
        <w:rPr>
          <w:rFonts w:ascii="Arial" w:hAnsi="Arial" w:cs="Arial"/>
        </w:rPr>
        <w:t xml:space="preserve"> </w:t>
      </w:r>
      <w:r w:rsidRPr="00881E2A">
        <w:rPr>
          <w:rFonts w:ascii="Arial" w:hAnsi="Arial" w:cs="Arial"/>
          <w:sz w:val="20"/>
          <w:szCs w:val="20"/>
        </w:rPr>
        <w:t xml:space="preserve">Canadian Patient Safety Institute. 2014. </w:t>
      </w:r>
      <w:r w:rsidRPr="00881E2A">
        <w:rPr>
          <w:rFonts w:ascii="Arial" w:hAnsi="Arial" w:cs="Arial"/>
          <w:i/>
          <w:iCs/>
          <w:sz w:val="20"/>
          <w:szCs w:val="20"/>
        </w:rPr>
        <w:t xml:space="preserve">Concise incident analysis tool: A resource for health care </w:t>
      </w:r>
      <w:r w:rsidR="004C1356" w:rsidRPr="00881E2A">
        <w:rPr>
          <w:rFonts w:ascii="Arial" w:hAnsi="Arial" w:cs="Arial"/>
          <w:i/>
          <w:iCs/>
          <w:sz w:val="20"/>
          <w:szCs w:val="20"/>
        </w:rPr>
        <w:t>organization</w:t>
      </w:r>
      <w:r w:rsidRPr="00881E2A">
        <w:rPr>
          <w:rFonts w:ascii="Arial" w:hAnsi="Arial" w:cs="Arial"/>
          <w:sz w:val="20"/>
          <w:szCs w:val="20"/>
        </w:rPr>
        <w:t xml:space="preserve">. </w:t>
      </w:r>
      <w:r w:rsidR="00263A84" w:rsidRPr="00881E2A">
        <w:rPr>
          <w:rFonts w:ascii="Arial" w:hAnsi="Arial" w:cs="Arial"/>
          <w:sz w:val="20"/>
          <w:szCs w:val="20"/>
        </w:rPr>
        <w:t>URL</w:t>
      </w:r>
      <w:r w:rsidR="00C226A5" w:rsidRPr="00881E2A">
        <w:rPr>
          <w:rFonts w:ascii="Arial" w:hAnsi="Arial" w:cs="Arial"/>
          <w:sz w:val="20"/>
          <w:szCs w:val="20"/>
        </w:rPr>
        <w:t>:</w:t>
      </w:r>
      <w:r w:rsidR="003E4932" w:rsidRPr="00881E2A">
        <w:rPr>
          <w:rFonts w:ascii="Arial" w:hAnsi="Arial" w:cs="Arial"/>
          <w:sz w:val="20"/>
          <w:szCs w:val="20"/>
        </w:rPr>
        <w:t xml:space="preserve"> </w:t>
      </w:r>
      <w:hyperlink r:id="rId3" w:history="1">
        <w:r w:rsidR="003E4932" w:rsidRPr="00881E2A">
          <w:rPr>
            <w:rStyle w:val="Hyperlink"/>
            <w:rFonts w:ascii="Arial" w:hAnsi="Arial" w:cs="Arial"/>
            <w:sz w:val="20"/>
            <w:szCs w:val="20"/>
          </w:rPr>
          <w:t>Canadian Incident Analysis Framework (healthcareexcellence.ca)</w:t>
        </w:r>
      </w:hyperlink>
    </w:p>
  </w:footnote>
  <w:footnote w:id="5">
    <w:p w14:paraId="3A159661" w14:textId="7038D1A1" w:rsidR="008C1F47" w:rsidRPr="009A64AF" w:rsidRDefault="008C1F47" w:rsidP="004F1C74">
      <w:pPr>
        <w:pStyle w:val="FootnoteText"/>
        <w:ind w:left="284" w:hanging="142"/>
        <w:rPr>
          <w:rFonts w:ascii="Arial" w:hAnsi="Arial" w:cs="Arial"/>
          <w:lang w:val="en-NZ"/>
        </w:rPr>
      </w:pPr>
      <w:r w:rsidRPr="009A64AF">
        <w:rPr>
          <w:rStyle w:val="FootnoteReference"/>
          <w:rFonts w:ascii="Arial" w:hAnsi="Arial" w:cs="Arial"/>
        </w:rPr>
        <w:footnoteRef/>
      </w:r>
      <w:r w:rsidRPr="009A64AF">
        <w:rPr>
          <w:rFonts w:ascii="Arial" w:hAnsi="Arial" w:cs="Arial"/>
        </w:rPr>
        <w:t xml:space="preserve"> US Department of Veterans Affairs, </w:t>
      </w:r>
      <w:r w:rsidR="00520279" w:rsidRPr="009A64AF">
        <w:rPr>
          <w:rFonts w:ascii="Arial" w:hAnsi="Arial" w:cs="Arial"/>
        </w:rPr>
        <w:t>Root Cause Analysis</w:t>
      </w:r>
      <w:r w:rsidR="00C226A5" w:rsidRPr="009A64AF">
        <w:rPr>
          <w:rFonts w:ascii="Arial" w:hAnsi="Arial" w:cs="Arial"/>
        </w:rPr>
        <w:t>:</w:t>
      </w:r>
      <w:r w:rsidRPr="009A64AF">
        <w:rPr>
          <w:rFonts w:ascii="Arial" w:hAnsi="Arial" w:cs="Arial"/>
        </w:rPr>
        <w:t xml:space="preserve"> </w:t>
      </w:r>
      <w:hyperlink r:id="rId4" w:history="1">
        <w:r w:rsidR="00B13089" w:rsidRPr="00045940">
          <w:rPr>
            <w:rStyle w:val="Hyperlink"/>
            <w:rFonts w:ascii="Arial" w:hAnsi="Arial" w:cs="Arial"/>
          </w:rPr>
          <w:t>www.patientsafety.va.gov/media/rca.asp</w:t>
        </w:r>
      </w:hyperlink>
      <w:r w:rsidR="00502B96" w:rsidRPr="009A64AF">
        <w:rPr>
          <w:rFonts w:ascii="Arial" w:hAnsi="Arial" w:cs="Arial"/>
        </w:rPr>
        <w:t>.</w:t>
      </w:r>
    </w:p>
  </w:footnote>
  <w:footnote w:id="6">
    <w:p w14:paraId="6936E86B" w14:textId="38CA0DEB" w:rsidR="00A7797A" w:rsidRPr="009A64AF" w:rsidRDefault="00AC1FB1" w:rsidP="004F1C74">
      <w:pPr>
        <w:pStyle w:val="Heading1"/>
        <w:shd w:val="clear" w:color="auto" w:fill="FFFFFF"/>
        <w:spacing w:before="0" w:beforeAutospacing="0" w:after="0" w:afterAutospacing="0"/>
        <w:ind w:left="284" w:hanging="142"/>
        <w:rPr>
          <w:rFonts w:ascii="Arial" w:hAnsi="Arial" w:cs="Arial"/>
          <w:b w:val="0"/>
          <w:bCs w:val="0"/>
          <w:sz w:val="20"/>
          <w:szCs w:val="20"/>
        </w:rPr>
      </w:pPr>
      <w:r w:rsidRPr="009A64AF">
        <w:rPr>
          <w:rStyle w:val="FootnoteReference"/>
          <w:rFonts w:ascii="Arial" w:hAnsi="Arial" w:cs="Arial"/>
          <w:sz w:val="20"/>
          <w:szCs w:val="20"/>
        </w:rPr>
        <w:footnoteRef/>
      </w:r>
      <w:r w:rsidRPr="009A64AF">
        <w:rPr>
          <w:rFonts w:ascii="Arial" w:hAnsi="Arial" w:cs="Arial"/>
          <w:sz w:val="20"/>
          <w:szCs w:val="20"/>
        </w:rPr>
        <w:t xml:space="preserve"> </w:t>
      </w:r>
      <w:r w:rsidR="00E3138B" w:rsidRPr="009A64AF">
        <w:rPr>
          <w:rFonts w:ascii="Arial" w:hAnsi="Arial" w:cs="Arial"/>
          <w:sz w:val="20"/>
          <w:szCs w:val="20"/>
        </w:rPr>
        <w:t>​​</w:t>
      </w:r>
      <w:r w:rsidR="00E3138B" w:rsidRPr="009A64AF">
        <w:rPr>
          <w:rFonts w:ascii="Arial" w:hAnsi="Arial" w:cs="Arial"/>
          <w:b w:val="0"/>
          <w:bCs w:val="0"/>
          <w:sz w:val="20"/>
          <w:szCs w:val="20"/>
        </w:rPr>
        <w:t>National Patient Safety Foundation. ​</w:t>
      </w:r>
      <w:r w:rsidR="00F4178D" w:rsidRPr="009A64AF">
        <w:rPr>
          <w:rFonts w:ascii="Arial" w:hAnsi="Arial" w:cs="Arial"/>
          <w:b w:val="0"/>
          <w:bCs w:val="0"/>
          <w:sz w:val="20"/>
          <w:szCs w:val="20"/>
        </w:rPr>
        <w:t>2015.</w:t>
      </w:r>
      <w:r w:rsidR="00F4178D" w:rsidRPr="009A64AF">
        <w:rPr>
          <w:rFonts w:ascii="Arial" w:hAnsi="Arial" w:cs="Arial"/>
          <w:sz w:val="20"/>
          <w:szCs w:val="20"/>
        </w:rPr>
        <w:t xml:space="preserve"> </w:t>
      </w:r>
      <w:r w:rsidRPr="009A64AF">
        <w:rPr>
          <w:rFonts w:ascii="Arial" w:hAnsi="Arial" w:cs="Arial"/>
          <w:b w:val="0"/>
          <w:bCs w:val="0"/>
          <w:i/>
          <w:iCs/>
          <w:sz w:val="20"/>
          <w:szCs w:val="20"/>
        </w:rPr>
        <w:t>RCA</w:t>
      </w:r>
      <w:r w:rsidRPr="009A64AF">
        <w:rPr>
          <w:rFonts w:ascii="Arial" w:hAnsi="Arial" w:cs="Arial"/>
          <w:b w:val="0"/>
          <w:bCs w:val="0"/>
          <w:i/>
          <w:iCs/>
          <w:sz w:val="20"/>
          <w:szCs w:val="20"/>
          <w:vertAlign w:val="superscript"/>
        </w:rPr>
        <w:t>2</w:t>
      </w:r>
      <w:r w:rsidRPr="009A64AF">
        <w:rPr>
          <w:rFonts w:ascii="Arial" w:hAnsi="Arial" w:cs="Arial"/>
          <w:b w:val="0"/>
          <w:bCs w:val="0"/>
          <w:i/>
          <w:iCs/>
          <w:sz w:val="20"/>
          <w:szCs w:val="20"/>
        </w:rPr>
        <w:t>: Improving Root Cause Analyses and Actions to Prevent Har</w:t>
      </w:r>
      <w:r w:rsidR="00225B30" w:rsidRPr="009A64AF">
        <w:rPr>
          <w:rFonts w:ascii="Arial" w:hAnsi="Arial" w:cs="Arial"/>
          <w:b w:val="0"/>
          <w:bCs w:val="0"/>
          <w:i/>
          <w:iCs/>
          <w:sz w:val="20"/>
          <w:szCs w:val="20"/>
        </w:rPr>
        <w:t>m</w:t>
      </w:r>
      <w:r w:rsidR="00F4178D" w:rsidRPr="009A64AF">
        <w:rPr>
          <w:rFonts w:ascii="Arial" w:hAnsi="Arial" w:cs="Arial"/>
          <w:b w:val="0"/>
          <w:bCs w:val="0"/>
          <w:sz w:val="20"/>
          <w:szCs w:val="20"/>
        </w:rPr>
        <w:t>. Boston, MA: National Patient Safety Foundation. URL</w:t>
      </w:r>
      <w:r w:rsidR="00A7797A" w:rsidRPr="009A64AF">
        <w:rPr>
          <w:rFonts w:ascii="Arial" w:hAnsi="Arial" w:cs="Arial"/>
          <w:b w:val="0"/>
          <w:bCs w:val="0"/>
          <w:sz w:val="20"/>
          <w:szCs w:val="20"/>
        </w:rPr>
        <w:t xml:space="preserve">: </w:t>
      </w:r>
      <w:hyperlink r:id="rId5" w:history="1">
        <w:r w:rsidR="00B13089" w:rsidRPr="00045940">
          <w:rPr>
            <w:rStyle w:val="Hyperlink"/>
            <w:rFonts w:ascii="Arial" w:hAnsi="Arial" w:cs="Arial"/>
            <w:b w:val="0"/>
            <w:bCs w:val="0"/>
            <w:sz w:val="20"/>
            <w:szCs w:val="20"/>
          </w:rPr>
          <w:t>www.ihi.org/resources/Pages/Tools/RCA2-Improving-Root-Cause-Analyses-and-Actions-to-Prevent-Harm.aspx</w:t>
        </w:r>
      </w:hyperlink>
      <w:r w:rsidR="00502B96" w:rsidRPr="009A64AF">
        <w:rPr>
          <w:rFonts w:ascii="Arial" w:hAnsi="Arial" w:cs="Arial"/>
          <w:b w:val="0"/>
          <w:bCs w:val="0"/>
          <w:sz w:val="20"/>
          <w:szCs w:val="20"/>
        </w:rPr>
        <w:t>.</w:t>
      </w:r>
    </w:p>
  </w:footnote>
  <w:footnote w:id="7">
    <w:p w14:paraId="7A7F4143" w14:textId="3E8A3493" w:rsidR="00AB3037" w:rsidRPr="009A64AF" w:rsidRDefault="00AB3037" w:rsidP="004F1C74">
      <w:pPr>
        <w:pStyle w:val="Bibliography"/>
        <w:spacing w:after="0"/>
        <w:ind w:left="284" w:hanging="142"/>
        <w:rPr>
          <w:rFonts w:ascii="Arial" w:hAnsi="Arial" w:cs="Arial"/>
          <w:sz w:val="20"/>
          <w:szCs w:val="20"/>
        </w:rPr>
      </w:pPr>
      <w:r w:rsidRPr="009A64AF">
        <w:rPr>
          <w:rStyle w:val="FootnoteReference"/>
          <w:rFonts w:ascii="Arial" w:hAnsi="Arial" w:cs="Arial"/>
          <w:sz w:val="20"/>
          <w:szCs w:val="20"/>
        </w:rPr>
        <w:footnoteRef/>
      </w:r>
      <w:r w:rsidRPr="009A64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64AF">
        <w:rPr>
          <w:rFonts w:ascii="Arial" w:hAnsi="Arial" w:cs="Arial"/>
          <w:sz w:val="20"/>
          <w:szCs w:val="20"/>
        </w:rPr>
        <w:t>Svedung</w:t>
      </w:r>
      <w:proofErr w:type="spellEnd"/>
      <w:r w:rsidRPr="009A64AF">
        <w:rPr>
          <w:rFonts w:ascii="Arial" w:hAnsi="Arial" w:cs="Arial"/>
          <w:sz w:val="20"/>
          <w:szCs w:val="20"/>
        </w:rPr>
        <w:t xml:space="preserve"> I</w:t>
      </w:r>
      <w:r w:rsidR="00083DB3" w:rsidRPr="009A64AF">
        <w:rPr>
          <w:rFonts w:ascii="Arial" w:hAnsi="Arial" w:cs="Arial"/>
          <w:sz w:val="20"/>
          <w:szCs w:val="20"/>
        </w:rPr>
        <w:t xml:space="preserve">, </w:t>
      </w:r>
      <w:r w:rsidRPr="009A64AF">
        <w:rPr>
          <w:rFonts w:ascii="Arial" w:hAnsi="Arial" w:cs="Arial"/>
          <w:sz w:val="20"/>
          <w:szCs w:val="20"/>
        </w:rPr>
        <w:t xml:space="preserve">Rasmussen J. 2002. Graphic representation of accident scenarios: mapping system structure and the causation of accidents. </w:t>
      </w:r>
      <w:r w:rsidRPr="009A64AF">
        <w:rPr>
          <w:rFonts w:ascii="Arial" w:hAnsi="Arial" w:cs="Arial"/>
          <w:i/>
          <w:iCs/>
          <w:sz w:val="20"/>
          <w:szCs w:val="20"/>
        </w:rPr>
        <w:t xml:space="preserve">Safety Science </w:t>
      </w:r>
      <w:r w:rsidRPr="009A64AF">
        <w:rPr>
          <w:rFonts w:ascii="Arial" w:hAnsi="Arial" w:cs="Arial"/>
          <w:sz w:val="20"/>
          <w:szCs w:val="20"/>
        </w:rPr>
        <w:t>4</w:t>
      </w:r>
      <w:r w:rsidR="00083DB3" w:rsidRPr="009A64AF">
        <w:rPr>
          <w:rFonts w:ascii="Arial" w:hAnsi="Arial" w:cs="Arial"/>
          <w:sz w:val="20"/>
          <w:szCs w:val="20"/>
        </w:rPr>
        <w:t>:</w:t>
      </w:r>
      <w:r w:rsidRPr="009A64AF">
        <w:rPr>
          <w:rFonts w:ascii="Arial" w:hAnsi="Arial" w:cs="Arial"/>
          <w:sz w:val="20"/>
          <w:szCs w:val="20"/>
        </w:rPr>
        <w:t xml:space="preserve"> 397</w:t>
      </w:r>
      <w:r w:rsidR="006C1B0C" w:rsidRPr="009A64AF">
        <w:rPr>
          <w:rFonts w:ascii="Arial" w:hAnsi="Arial" w:cs="Arial"/>
          <w:sz w:val="20"/>
          <w:szCs w:val="20"/>
        </w:rPr>
        <w:t>–</w:t>
      </w:r>
      <w:r w:rsidRPr="009A64AF">
        <w:rPr>
          <w:rFonts w:ascii="Arial" w:hAnsi="Arial" w:cs="Arial"/>
          <w:sz w:val="20"/>
          <w:szCs w:val="20"/>
        </w:rPr>
        <w:t>417.</w:t>
      </w:r>
    </w:p>
  </w:footnote>
  <w:footnote w:id="8">
    <w:p w14:paraId="5D264FDF" w14:textId="311BCA44" w:rsidR="0061214D" w:rsidRPr="009A64AF" w:rsidRDefault="0061214D" w:rsidP="0061214D">
      <w:pPr>
        <w:pStyle w:val="FootnoteText"/>
        <w:ind w:left="284" w:hanging="284"/>
        <w:rPr>
          <w:rFonts w:ascii="Arial" w:hAnsi="Arial" w:cs="Arial"/>
          <w:lang w:val="en-NZ"/>
        </w:rPr>
      </w:pPr>
      <w:r w:rsidRPr="009A64AF">
        <w:rPr>
          <w:rStyle w:val="FootnoteReference"/>
          <w:rFonts w:ascii="Arial" w:hAnsi="Arial" w:cs="Arial"/>
        </w:rPr>
        <w:footnoteRef/>
      </w:r>
      <w:r w:rsidRPr="009A64AF">
        <w:rPr>
          <w:rFonts w:ascii="Arial" w:hAnsi="Arial" w:cs="Arial"/>
        </w:rPr>
        <w:t xml:space="preserve"> </w:t>
      </w:r>
      <w:proofErr w:type="spellStart"/>
      <w:r w:rsidRPr="009A64AF">
        <w:rPr>
          <w:rFonts w:ascii="Arial" w:hAnsi="Arial" w:cs="Arial"/>
        </w:rPr>
        <w:t>Shebl</w:t>
      </w:r>
      <w:proofErr w:type="spellEnd"/>
      <w:r w:rsidRPr="009A64AF">
        <w:rPr>
          <w:rFonts w:ascii="Arial" w:hAnsi="Arial" w:cs="Arial"/>
        </w:rPr>
        <w:t xml:space="preserve"> NA, Franklin BD, Barber N. 2012. Failure mode and effects analysis outputs: are they valid? </w:t>
      </w:r>
      <w:r w:rsidRPr="009A64AF">
        <w:rPr>
          <w:rFonts w:ascii="Arial" w:hAnsi="Arial" w:cs="Arial"/>
          <w:i/>
          <w:iCs/>
        </w:rPr>
        <w:t xml:space="preserve">BMC Health Services Research </w:t>
      </w:r>
      <w:r w:rsidRPr="009A64AF">
        <w:rPr>
          <w:rFonts w:ascii="Arial" w:hAnsi="Arial" w:cs="Arial"/>
        </w:rPr>
        <w:t>12: 150.</w:t>
      </w:r>
    </w:p>
  </w:footnote>
  <w:footnote w:id="9">
    <w:p w14:paraId="7AC9F4EF" w14:textId="50417F59" w:rsidR="00B6058B" w:rsidRPr="009046A4" w:rsidRDefault="00B6058B">
      <w:pPr>
        <w:pStyle w:val="FootnoteText"/>
        <w:rPr>
          <w:rFonts w:ascii="Arial" w:hAnsi="Arial" w:cs="Arial"/>
          <w:lang w:val="en-NZ"/>
        </w:rPr>
      </w:pPr>
      <w:r w:rsidRPr="009046A4">
        <w:rPr>
          <w:rStyle w:val="FootnoteReference"/>
          <w:rFonts w:ascii="Arial" w:hAnsi="Arial" w:cs="Arial"/>
        </w:rPr>
        <w:footnoteRef/>
      </w:r>
      <w:r w:rsidR="00F935DB" w:rsidRPr="009046A4">
        <w:rPr>
          <w:rFonts w:ascii="Arial" w:hAnsi="Arial" w:cs="Arial"/>
        </w:rPr>
        <w:t xml:space="preserve"> </w:t>
      </w:r>
      <w:r w:rsidR="0047213B" w:rsidRPr="009046A4">
        <w:rPr>
          <w:rFonts w:ascii="Arial" w:hAnsi="Arial" w:cs="Arial"/>
        </w:rPr>
        <w:t xml:space="preserve"> </w:t>
      </w:r>
      <w:r w:rsidRPr="009046A4">
        <w:rPr>
          <w:rFonts w:ascii="Arial" w:hAnsi="Arial" w:cs="Arial"/>
        </w:rPr>
        <w:t>Yorkshire Contributory Factors Framework</w:t>
      </w:r>
      <w:r w:rsidR="00F344ED" w:rsidRPr="009046A4">
        <w:rPr>
          <w:rFonts w:ascii="Arial" w:hAnsi="Arial" w:cs="Arial"/>
        </w:rPr>
        <w:t>:</w:t>
      </w:r>
      <w:r w:rsidRPr="009046A4">
        <w:rPr>
          <w:rFonts w:ascii="Arial" w:hAnsi="Arial" w:cs="Arial"/>
        </w:rPr>
        <w:t xml:space="preserve"> www.improvementacademy.org/tools-and-resources/the-yorkshire-contributory-factors-framework.html</w:t>
      </w:r>
      <w:r w:rsidR="00B4449B" w:rsidRPr="009046A4">
        <w:rPr>
          <w:rFonts w:ascii="Arial" w:hAnsi="Arial" w:cs="Arial"/>
        </w:rPr>
        <w:t>.</w:t>
      </w:r>
    </w:p>
  </w:footnote>
  <w:footnote w:id="10">
    <w:p w14:paraId="1E3D5303" w14:textId="42685832" w:rsidR="00744FD7" w:rsidRPr="009046A4" w:rsidRDefault="00744FD7" w:rsidP="00447497">
      <w:pPr>
        <w:pStyle w:val="FootnoteText"/>
        <w:ind w:left="227" w:hanging="227"/>
        <w:rPr>
          <w:rFonts w:ascii="Arial" w:hAnsi="Arial" w:cs="Arial"/>
          <w:lang w:val="mi-NZ"/>
        </w:rPr>
      </w:pPr>
      <w:r w:rsidRPr="009046A4">
        <w:rPr>
          <w:rStyle w:val="FootnoteReference"/>
          <w:rFonts w:ascii="Arial" w:hAnsi="Arial" w:cs="Arial"/>
        </w:rPr>
        <w:footnoteRef/>
      </w:r>
      <w:r w:rsidRPr="009046A4">
        <w:rPr>
          <w:rFonts w:ascii="Arial" w:hAnsi="Arial" w:cs="Arial"/>
        </w:rPr>
        <w:t xml:space="preserve"> </w:t>
      </w:r>
      <w:r w:rsidR="00483570">
        <w:rPr>
          <w:rFonts w:ascii="Arial" w:hAnsi="Arial" w:cs="Arial"/>
        </w:rPr>
        <w:t xml:space="preserve"> </w:t>
      </w:r>
      <w:r w:rsidRPr="009046A4">
        <w:rPr>
          <w:rFonts w:ascii="Arial" w:hAnsi="Arial" w:cs="Arial"/>
        </w:rPr>
        <w:t>Ministry of Health</w:t>
      </w:r>
      <w:r w:rsidR="00F1427F" w:rsidRPr="009046A4">
        <w:rPr>
          <w:rFonts w:ascii="Arial" w:hAnsi="Arial" w:cs="Arial"/>
        </w:rPr>
        <w:t>.</w:t>
      </w:r>
      <w:r w:rsidRPr="009046A4">
        <w:rPr>
          <w:rFonts w:ascii="Arial" w:hAnsi="Arial" w:cs="Arial"/>
        </w:rPr>
        <w:t xml:space="preserve"> 2019</w:t>
      </w:r>
      <w:r w:rsidR="00F1427F" w:rsidRPr="009046A4">
        <w:rPr>
          <w:rFonts w:ascii="Arial" w:hAnsi="Arial" w:cs="Arial"/>
        </w:rPr>
        <w:t>.</w:t>
      </w:r>
      <w:r w:rsidR="00F1427F" w:rsidRPr="009046A4">
        <w:rPr>
          <w:rFonts w:ascii="Arial" w:hAnsi="Arial" w:cs="Arial"/>
          <w:i/>
          <w:iCs/>
        </w:rPr>
        <w:t xml:space="preserve"> Hearing and Responding to the Stories of Survivors of Surgical Mesh</w:t>
      </w:r>
      <w:r w:rsidR="00F1427F" w:rsidRPr="009046A4">
        <w:rPr>
          <w:rFonts w:ascii="Arial" w:hAnsi="Arial" w:cs="Arial"/>
        </w:rPr>
        <w:t>. Wellington: Ministry of Health. URL</w:t>
      </w:r>
      <w:r w:rsidRPr="009046A4">
        <w:rPr>
          <w:rFonts w:ascii="Arial" w:hAnsi="Arial" w:cs="Arial"/>
        </w:rPr>
        <w:t>: www.health.govt.nz/publication/hearing-and-responding-stories-survivors-surgical-mesh.</w:t>
      </w:r>
    </w:p>
  </w:footnote>
  <w:footnote w:id="11">
    <w:p w14:paraId="01C2A65B" w14:textId="1447B7EB" w:rsidR="00046953" w:rsidRPr="009046A4" w:rsidRDefault="00046953" w:rsidP="00EE3E66">
      <w:pPr>
        <w:pStyle w:val="FootnoteText"/>
        <w:ind w:left="227" w:right="-499" w:hanging="227"/>
        <w:rPr>
          <w:rFonts w:ascii="Arial" w:hAnsi="Arial" w:cs="Arial"/>
          <w:lang w:val="en-NZ"/>
        </w:rPr>
      </w:pPr>
      <w:r w:rsidRPr="009046A4">
        <w:rPr>
          <w:rStyle w:val="FootnoteReference"/>
          <w:rFonts w:ascii="Arial" w:hAnsi="Arial" w:cs="Arial"/>
        </w:rPr>
        <w:footnoteRef/>
      </w:r>
      <w:r w:rsidRPr="009046A4">
        <w:rPr>
          <w:rFonts w:ascii="Arial" w:hAnsi="Arial" w:cs="Arial"/>
        </w:rPr>
        <w:t xml:space="preserve"> </w:t>
      </w:r>
      <w:r w:rsidR="009046A4" w:rsidRPr="009046A4">
        <w:rPr>
          <w:rFonts w:ascii="Arial" w:hAnsi="Arial" w:cs="Arial"/>
        </w:rPr>
        <w:t xml:space="preserve">Peace-making from a </w:t>
      </w:r>
      <w:r w:rsidR="009046A4" w:rsidRPr="00BB1ABC">
        <w:rPr>
          <w:rFonts w:ascii="Arial" w:hAnsi="Arial" w:cs="Arial"/>
          <w:lang w:val="mi-NZ"/>
        </w:rPr>
        <w:t>te ao</w:t>
      </w:r>
      <w:r w:rsidR="009046A4" w:rsidRPr="009046A4">
        <w:rPr>
          <w:rFonts w:ascii="Arial" w:hAnsi="Arial" w:cs="Arial"/>
        </w:rPr>
        <w:t xml:space="preserve"> Māori world view. This process addresses harm by restoring the mana, power, authority and </w:t>
      </w:r>
      <w:r w:rsidR="009046A4" w:rsidRPr="00BB1ABC">
        <w:rPr>
          <w:rFonts w:ascii="Arial" w:hAnsi="Arial" w:cs="Arial"/>
          <w:lang w:val="mi-NZ"/>
        </w:rPr>
        <w:t>tapu</w:t>
      </w:r>
      <w:r w:rsidR="009046A4" w:rsidRPr="009046A4">
        <w:rPr>
          <w:rFonts w:ascii="Arial" w:hAnsi="Arial" w:cs="Arial"/>
        </w:rPr>
        <w:t xml:space="preserve"> of people and their relationships </w:t>
      </w:r>
      <w:hyperlink r:id="rId6" w:history="1">
        <w:r w:rsidR="009046A4" w:rsidRPr="009046A4">
          <w:rPr>
            <w:rStyle w:val="Hyperlink"/>
            <w:rFonts w:ascii="Arial" w:hAnsi="Arial" w:cs="Arial"/>
          </w:rPr>
          <w:t>https://www.hqsc.govt.nz/our-work/system-safety/healing-learning-and-improving-from-harm-policy/restorative-practice-and-hohou-te-rongo</w:t>
        </w:r>
      </w:hyperlink>
      <w:r w:rsidR="003D3E07">
        <w:rPr>
          <w:rStyle w:val="cf01"/>
          <w:rFonts w:ascii="Arial" w:hAnsi="Arial" w:cs="Arial"/>
          <w:color w:val="0000FF"/>
          <w:sz w:val="20"/>
          <w:szCs w:val="20"/>
          <w:u w:val="singl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C38D0"/>
    <w:multiLevelType w:val="hybridMultilevel"/>
    <w:tmpl w:val="623AC2D6"/>
    <w:lvl w:ilvl="0" w:tplc="FFFFFFFF">
      <w:start w:val="1"/>
      <w:numFmt w:val="bullet"/>
      <w:lvlText w:val="•"/>
      <w:lvlJc w:val="left"/>
      <w:pPr>
        <w:ind w:left="227" w:hanging="227"/>
      </w:pPr>
      <w:rPr>
        <w:rFonts w:ascii="Calibri" w:eastAsia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1F5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947" w:hanging="2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1F5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▪"/>
      <w:lvlJc w:val="left"/>
      <w:pPr>
        <w:ind w:left="1667" w:hanging="2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1F5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ind w:left="2387" w:hanging="2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1F5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o"/>
      <w:lvlJc w:val="left"/>
      <w:pPr>
        <w:ind w:left="3107" w:hanging="2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1F5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▪"/>
      <w:lvlJc w:val="left"/>
      <w:pPr>
        <w:ind w:left="3827" w:hanging="2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1F5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ind w:left="4547" w:hanging="2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1F5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o"/>
      <w:lvlJc w:val="left"/>
      <w:pPr>
        <w:ind w:left="5267" w:hanging="2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1F5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▪"/>
      <w:lvlJc w:val="left"/>
      <w:pPr>
        <w:ind w:left="5987" w:hanging="2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1F5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7062FE0"/>
    <w:multiLevelType w:val="hybridMultilevel"/>
    <w:tmpl w:val="C82CF336"/>
    <w:lvl w:ilvl="0" w:tplc="21426680">
      <w:start w:val="1"/>
      <w:numFmt w:val="bullet"/>
      <w:lvlText w:val="─"/>
      <w:lvlJc w:val="left"/>
      <w:pPr>
        <w:ind w:left="227" w:hanging="2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1F5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92BF5E">
      <w:start w:val="1"/>
      <w:numFmt w:val="bullet"/>
      <w:lvlText w:val="o"/>
      <w:lvlJc w:val="left"/>
      <w:pPr>
        <w:ind w:left="947" w:hanging="2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1F5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1BAF274">
      <w:start w:val="1"/>
      <w:numFmt w:val="bullet"/>
      <w:lvlText w:val="▪"/>
      <w:lvlJc w:val="left"/>
      <w:pPr>
        <w:ind w:left="1667" w:hanging="2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1F5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7FE840C">
      <w:start w:val="1"/>
      <w:numFmt w:val="bullet"/>
      <w:lvlText w:val="•"/>
      <w:lvlJc w:val="left"/>
      <w:pPr>
        <w:ind w:left="2387" w:hanging="2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1F5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DC85AD0">
      <w:start w:val="1"/>
      <w:numFmt w:val="bullet"/>
      <w:lvlText w:val="o"/>
      <w:lvlJc w:val="left"/>
      <w:pPr>
        <w:ind w:left="3107" w:hanging="2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1F5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16C40C6">
      <w:start w:val="1"/>
      <w:numFmt w:val="bullet"/>
      <w:lvlText w:val="▪"/>
      <w:lvlJc w:val="left"/>
      <w:pPr>
        <w:ind w:left="3827" w:hanging="2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1F5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954BFB0">
      <w:start w:val="1"/>
      <w:numFmt w:val="bullet"/>
      <w:lvlText w:val="•"/>
      <w:lvlJc w:val="left"/>
      <w:pPr>
        <w:ind w:left="4547" w:hanging="2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1F5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A6CC60">
      <w:start w:val="1"/>
      <w:numFmt w:val="bullet"/>
      <w:lvlText w:val="o"/>
      <w:lvlJc w:val="left"/>
      <w:pPr>
        <w:ind w:left="5267" w:hanging="2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1F5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883F94">
      <w:start w:val="1"/>
      <w:numFmt w:val="bullet"/>
      <w:lvlText w:val="▪"/>
      <w:lvlJc w:val="left"/>
      <w:pPr>
        <w:ind w:left="5987" w:hanging="2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1F5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0943969"/>
    <w:multiLevelType w:val="hybridMultilevel"/>
    <w:tmpl w:val="4A06384C"/>
    <w:lvl w:ilvl="0" w:tplc="14090001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1F5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ind w:left="947" w:hanging="2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1F5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bullet"/>
      <w:lvlText w:val="▪"/>
      <w:lvlJc w:val="left"/>
      <w:pPr>
        <w:ind w:left="1667" w:hanging="2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1F5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pPr>
        <w:ind w:left="2387" w:hanging="2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1F5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o"/>
      <w:lvlJc w:val="left"/>
      <w:pPr>
        <w:ind w:left="3107" w:hanging="2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1F5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▪"/>
      <w:lvlJc w:val="left"/>
      <w:pPr>
        <w:ind w:left="3827" w:hanging="2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1F5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pPr>
        <w:ind w:left="4547" w:hanging="2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1F5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o"/>
      <w:lvlJc w:val="left"/>
      <w:pPr>
        <w:ind w:left="5267" w:hanging="2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1F5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▪"/>
      <w:lvlJc w:val="left"/>
      <w:pPr>
        <w:ind w:left="5987" w:hanging="2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1F5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1EB4818"/>
    <w:multiLevelType w:val="hybridMultilevel"/>
    <w:tmpl w:val="07801F9C"/>
    <w:lvl w:ilvl="0" w:tplc="2440F9FC">
      <w:start w:val="1"/>
      <w:numFmt w:val="bullet"/>
      <w:lvlText w:val="─"/>
      <w:lvlJc w:val="left"/>
      <w:pPr>
        <w:ind w:left="227" w:hanging="2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1F5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0C349E">
      <w:start w:val="1"/>
      <w:numFmt w:val="bullet"/>
      <w:lvlText w:val="o"/>
      <w:lvlJc w:val="left"/>
      <w:pPr>
        <w:ind w:left="947" w:hanging="2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1F5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C62E98">
      <w:start w:val="1"/>
      <w:numFmt w:val="bullet"/>
      <w:lvlText w:val="▪"/>
      <w:lvlJc w:val="left"/>
      <w:pPr>
        <w:ind w:left="1667" w:hanging="2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1F5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B865436">
      <w:start w:val="1"/>
      <w:numFmt w:val="bullet"/>
      <w:lvlText w:val="•"/>
      <w:lvlJc w:val="left"/>
      <w:pPr>
        <w:ind w:left="2387" w:hanging="2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1F5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D48356">
      <w:start w:val="1"/>
      <w:numFmt w:val="bullet"/>
      <w:lvlText w:val="o"/>
      <w:lvlJc w:val="left"/>
      <w:pPr>
        <w:ind w:left="3107" w:hanging="2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1F5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6C67FE">
      <w:start w:val="1"/>
      <w:numFmt w:val="bullet"/>
      <w:lvlText w:val="▪"/>
      <w:lvlJc w:val="left"/>
      <w:pPr>
        <w:ind w:left="3827" w:hanging="2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1F5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42B48E">
      <w:start w:val="1"/>
      <w:numFmt w:val="bullet"/>
      <w:lvlText w:val="•"/>
      <w:lvlJc w:val="left"/>
      <w:pPr>
        <w:ind w:left="4547" w:hanging="2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1F5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CE8EB50">
      <w:start w:val="1"/>
      <w:numFmt w:val="bullet"/>
      <w:lvlText w:val="o"/>
      <w:lvlJc w:val="left"/>
      <w:pPr>
        <w:ind w:left="5267" w:hanging="2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1F5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9E606F2">
      <w:start w:val="1"/>
      <w:numFmt w:val="bullet"/>
      <w:lvlText w:val="▪"/>
      <w:lvlJc w:val="left"/>
      <w:pPr>
        <w:ind w:left="5987" w:hanging="2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1F5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53785906"/>
    <w:multiLevelType w:val="hybridMultilevel"/>
    <w:tmpl w:val="01685EA4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1F5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31BBE"/>
    <w:multiLevelType w:val="hybridMultilevel"/>
    <w:tmpl w:val="BDFC09F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810FE"/>
    <w:multiLevelType w:val="hybridMultilevel"/>
    <w:tmpl w:val="258AA0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2480B"/>
    <w:multiLevelType w:val="hybridMultilevel"/>
    <w:tmpl w:val="22E4F7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251684">
    <w:abstractNumId w:val="1"/>
  </w:num>
  <w:num w:numId="2" w16cid:durableId="939065526">
    <w:abstractNumId w:val="3"/>
  </w:num>
  <w:num w:numId="3" w16cid:durableId="16348705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5669711">
    <w:abstractNumId w:val="5"/>
  </w:num>
  <w:num w:numId="5" w16cid:durableId="944458255">
    <w:abstractNumId w:val="6"/>
  </w:num>
  <w:num w:numId="6" w16cid:durableId="1041830366">
    <w:abstractNumId w:val="7"/>
  </w:num>
  <w:num w:numId="7" w16cid:durableId="1842350641">
    <w:abstractNumId w:val="2"/>
  </w:num>
  <w:num w:numId="8" w16cid:durableId="1418284691">
    <w:abstractNumId w:val="0"/>
  </w:num>
  <w:num w:numId="9" w16cid:durableId="13695264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39"/>
    <w:rsid w:val="00001D23"/>
    <w:rsid w:val="00014D1A"/>
    <w:rsid w:val="00014F7D"/>
    <w:rsid w:val="00014FD2"/>
    <w:rsid w:val="000232AF"/>
    <w:rsid w:val="0003099B"/>
    <w:rsid w:val="000316F4"/>
    <w:rsid w:val="000337F7"/>
    <w:rsid w:val="00036081"/>
    <w:rsid w:val="00040907"/>
    <w:rsid w:val="00046953"/>
    <w:rsid w:val="00046AD0"/>
    <w:rsid w:val="0005064C"/>
    <w:rsid w:val="00051EC8"/>
    <w:rsid w:val="0005476D"/>
    <w:rsid w:val="00054A7D"/>
    <w:rsid w:val="00056D3D"/>
    <w:rsid w:val="000576D1"/>
    <w:rsid w:val="00070836"/>
    <w:rsid w:val="00070F42"/>
    <w:rsid w:val="0007727E"/>
    <w:rsid w:val="00081FB3"/>
    <w:rsid w:val="00082208"/>
    <w:rsid w:val="00082C5F"/>
    <w:rsid w:val="00083DB3"/>
    <w:rsid w:val="000874F6"/>
    <w:rsid w:val="000909A5"/>
    <w:rsid w:val="0009457E"/>
    <w:rsid w:val="00097841"/>
    <w:rsid w:val="00097B67"/>
    <w:rsid w:val="000A226F"/>
    <w:rsid w:val="000A3A2A"/>
    <w:rsid w:val="000A6F65"/>
    <w:rsid w:val="000B1710"/>
    <w:rsid w:val="000C243F"/>
    <w:rsid w:val="000C3FF4"/>
    <w:rsid w:val="000C56AE"/>
    <w:rsid w:val="000C5AE8"/>
    <w:rsid w:val="000C5C3B"/>
    <w:rsid w:val="000C798B"/>
    <w:rsid w:val="000D366C"/>
    <w:rsid w:val="000D6651"/>
    <w:rsid w:val="000E271A"/>
    <w:rsid w:val="000E312B"/>
    <w:rsid w:val="000E636D"/>
    <w:rsid w:val="000F3AE9"/>
    <w:rsid w:val="000F4C6E"/>
    <w:rsid w:val="000F6C6C"/>
    <w:rsid w:val="000F7840"/>
    <w:rsid w:val="001007AC"/>
    <w:rsid w:val="00103CDA"/>
    <w:rsid w:val="0011099A"/>
    <w:rsid w:val="00113D2A"/>
    <w:rsid w:val="0011556B"/>
    <w:rsid w:val="00117844"/>
    <w:rsid w:val="001208DE"/>
    <w:rsid w:val="00122AB2"/>
    <w:rsid w:val="0012746B"/>
    <w:rsid w:val="001276FD"/>
    <w:rsid w:val="001314C1"/>
    <w:rsid w:val="00135C75"/>
    <w:rsid w:val="00137E71"/>
    <w:rsid w:val="00141737"/>
    <w:rsid w:val="00142499"/>
    <w:rsid w:val="00145040"/>
    <w:rsid w:val="00152237"/>
    <w:rsid w:val="00154BF6"/>
    <w:rsid w:val="00156D7C"/>
    <w:rsid w:val="001719B1"/>
    <w:rsid w:val="001736E9"/>
    <w:rsid w:val="00175526"/>
    <w:rsid w:val="00180074"/>
    <w:rsid w:val="00185046"/>
    <w:rsid w:val="00185370"/>
    <w:rsid w:val="00186D47"/>
    <w:rsid w:val="001908E8"/>
    <w:rsid w:val="00192DC0"/>
    <w:rsid w:val="00193CF4"/>
    <w:rsid w:val="00195EE1"/>
    <w:rsid w:val="00196EDC"/>
    <w:rsid w:val="00197885"/>
    <w:rsid w:val="001A22F1"/>
    <w:rsid w:val="001A2B0D"/>
    <w:rsid w:val="001B7CB3"/>
    <w:rsid w:val="001C06D5"/>
    <w:rsid w:val="001C072A"/>
    <w:rsid w:val="001C0BBB"/>
    <w:rsid w:val="001C2D8C"/>
    <w:rsid w:val="001C6101"/>
    <w:rsid w:val="001D06A6"/>
    <w:rsid w:val="001D0918"/>
    <w:rsid w:val="001D0C28"/>
    <w:rsid w:val="001D2E03"/>
    <w:rsid w:val="001D62CA"/>
    <w:rsid w:val="001D7AB1"/>
    <w:rsid w:val="001E2C79"/>
    <w:rsid w:val="001E32E3"/>
    <w:rsid w:val="001E35A7"/>
    <w:rsid w:val="001F0D21"/>
    <w:rsid w:val="001F41F6"/>
    <w:rsid w:val="001F4765"/>
    <w:rsid w:val="001F727A"/>
    <w:rsid w:val="00204922"/>
    <w:rsid w:val="00210659"/>
    <w:rsid w:val="00211D64"/>
    <w:rsid w:val="00214F5A"/>
    <w:rsid w:val="002175EA"/>
    <w:rsid w:val="002208DC"/>
    <w:rsid w:val="00221176"/>
    <w:rsid w:val="00224921"/>
    <w:rsid w:val="00225B30"/>
    <w:rsid w:val="00227246"/>
    <w:rsid w:val="0022789A"/>
    <w:rsid w:val="00240646"/>
    <w:rsid w:val="00242CD8"/>
    <w:rsid w:val="0024634E"/>
    <w:rsid w:val="002502A6"/>
    <w:rsid w:val="0025073C"/>
    <w:rsid w:val="00251685"/>
    <w:rsid w:val="002522F4"/>
    <w:rsid w:val="00256348"/>
    <w:rsid w:val="00257F11"/>
    <w:rsid w:val="00261C71"/>
    <w:rsid w:val="00263A84"/>
    <w:rsid w:val="00265A4B"/>
    <w:rsid w:val="0027278D"/>
    <w:rsid w:val="00274080"/>
    <w:rsid w:val="002760D7"/>
    <w:rsid w:val="00294D34"/>
    <w:rsid w:val="00296B32"/>
    <w:rsid w:val="00297AFE"/>
    <w:rsid w:val="002A0BA7"/>
    <w:rsid w:val="002A0ECA"/>
    <w:rsid w:val="002A32F0"/>
    <w:rsid w:val="002A47DF"/>
    <w:rsid w:val="002A4E0F"/>
    <w:rsid w:val="002B4BAD"/>
    <w:rsid w:val="002C312C"/>
    <w:rsid w:val="002C3AE8"/>
    <w:rsid w:val="002D3A70"/>
    <w:rsid w:val="002D5DEE"/>
    <w:rsid w:val="002E5B48"/>
    <w:rsid w:val="002E7FE7"/>
    <w:rsid w:val="002F13D5"/>
    <w:rsid w:val="002F2C6A"/>
    <w:rsid w:val="002F7A0E"/>
    <w:rsid w:val="003017C0"/>
    <w:rsid w:val="0030264F"/>
    <w:rsid w:val="0031174D"/>
    <w:rsid w:val="00320309"/>
    <w:rsid w:val="00322A6A"/>
    <w:rsid w:val="0032601F"/>
    <w:rsid w:val="00331A3A"/>
    <w:rsid w:val="00333119"/>
    <w:rsid w:val="003374E8"/>
    <w:rsid w:val="003379FD"/>
    <w:rsid w:val="003402B0"/>
    <w:rsid w:val="0034465C"/>
    <w:rsid w:val="00357402"/>
    <w:rsid w:val="003579A9"/>
    <w:rsid w:val="003631DE"/>
    <w:rsid w:val="00367229"/>
    <w:rsid w:val="003677F1"/>
    <w:rsid w:val="00370E71"/>
    <w:rsid w:val="00372D2D"/>
    <w:rsid w:val="003735AD"/>
    <w:rsid w:val="003749A7"/>
    <w:rsid w:val="00374CDF"/>
    <w:rsid w:val="00375161"/>
    <w:rsid w:val="00376D11"/>
    <w:rsid w:val="003775D7"/>
    <w:rsid w:val="00380E05"/>
    <w:rsid w:val="00385630"/>
    <w:rsid w:val="003906CB"/>
    <w:rsid w:val="00394606"/>
    <w:rsid w:val="00394E63"/>
    <w:rsid w:val="00397ADD"/>
    <w:rsid w:val="003A16B9"/>
    <w:rsid w:val="003A30E5"/>
    <w:rsid w:val="003A5AAC"/>
    <w:rsid w:val="003B019B"/>
    <w:rsid w:val="003B438F"/>
    <w:rsid w:val="003D199F"/>
    <w:rsid w:val="003D3E07"/>
    <w:rsid w:val="003D547D"/>
    <w:rsid w:val="003D63BE"/>
    <w:rsid w:val="003E074B"/>
    <w:rsid w:val="003E4932"/>
    <w:rsid w:val="003F0A7C"/>
    <w:rsid w:val="003F23BB"/>
    <w:rsid w:val="00412E59"/>
    <w:rsid w:val="00414631"/>
    <w:rsid w:val="00417BDC"/>
    <w:rsid w:val="00420DF3"/>
    <w:rsid w:val="0042415A"/>
    <w:rsid w:val="00426089"/>
    <w:rsid w:val="00433375"/>
    <w:rsid w:val="00435C9C"/>
    <w:rsid w:val="00437EA7"/>
    <w:rsid w:val="004448B8"/>
    <w:rsid w:val="00447497"/>
    <w:rsid w:val="00452BD8"/>
    <w:rsid w:val="00455A86"/>
    <w:rsid w:val="00470A63"/>
    <w:rsid w:val="0047213B"/>
    <w:rsid w:val="00473832"/>
    <w:rsid w:val="004754F2"/>
    <w:rsid w:val="00483570"/>
    <w:rsid w:val="00484FF8"/>
    <w:rsid w:val="00485933"/>
    <w:rsid w:val="00486520"/>
    <w:rsid w:val="0049566C"/>
    <w:rsid w:val="004A4B4B"/>
    <w:rsid w:val="004A7022"/>
    <w:rsid w:val="004B0043"/>
    <w:rsid w:val="004B49B3"/>
    <w:rsid w:val="004C08F2"/>
    <w:rsid w:val="004C0EF9"/>
    <w:rsid w:val="004C1356"/>
    <w:rsid w:val="004C26F4"/>
    <w:rsid w:val="004C3115"/>
    <w:rsid w:val="004C3271"/>
    <w:rsid w:val="004C5943"/>
    <w:rsid w:val="004C74B6"/>
    <w:rsid w:val="004D1718"/>
    <w:rsid w:val="004D2852"/>
    <w:rsid w:val="004D480D"/>
    <w:rsid w:val="004E1912"/>
    <w:rsid w:val="004E2D96"/>
    <w:rsid w:val="004F1C74"/>
    <w:rsid w:val="004F1F80"/>
    <w:rsid w:val="004F3849"/>
    <w:rsid w:val="004F414A"/>
    <w:rsid w:val="004F5322"/>
    <w:rsid w:val="004F792F"/>
    <w:rsid w:val="005026AC"/>
    <w:rsid w:val="0050295E"/>
    <w:rsid w:val="00502B96"/>
    <w:rsid w:val="005038C8"/>
    <w:rsid w:val="00503AB5"/>
    <w:rsid w:val="0051192B"/>
    <w:rsid w:val="00514B9C"/>
    <w:rsid w:val="00520279"/>
    <w:rsid w:val="00520D52"/>
    <w:rsid w:val="0052635F"/>
    <w:rsid w:val="00530169"/>
    <w:rsid w:val="00530A2D"/>
    <w:rsid w:val="00533508"/>
    <w:rsid w:val="00535D49"/>
    <w:rsid w:val="00541761"/>
    <w:rsid w:val="00551660"/>
    <w:rsid w:val="00555AAD"/>
    <w:rsid w:val="00561D26"/>
    <w:rsid w:val="00562706"/>
    <w:rsid w:val="00563F00"/>
    <w:rsid w:val="0056740E"/>
    <w:rsid w:val="00570163"/>
    <w:rsid w:val="005709C3"/>
    <w:rsid w:val="0057175C"/>
    <w:rsid w:val="00571B98"/>
    <w:rsid w:val="005740A5"/>
    <w:rsid w:val="0057428F"/>
    <w:rsid w:val="005803EC"/>
    <w:rsid w:val="005839AB"/>
    <w:rsid w:val="00585700"/>
    <w:rsid w:val="00587CD7"/>
    <w:rsid w:val="005909C9"/>
    <w:rsid w:val="005935AD"/>
    <w:rsid w:val="005947E6"/>
    <w:rsid w:val="005A3204"/>
    <w:rsid w:val="005A50B4"/>
    <w:rsid w:val="005A61CE"/>
    <w:rsid w:val="005A708F"/>
    <w:rsid w:val="005B05BF"/>
    <w:rsid w:val="005B07E0"/>
    <w:rsid w:val="005B13F5"/>
    <w:rsid w:val="005B1E5D"/>
    <w:rsid w:val="005B7CCE"/>
    <w:rsid w:val="005C2CF1"/>
    <w:rsid w:val="005C336C"/>
    <w:rsid w:val="005C697A"/>
    <w:rsid w:val="005D0F6E"/>
    <w:rsid w:val="005D2EE2"/>
    <w:rsid w:val="005D5C28"/>
    <w:rsid w:val="005D7705"/>
    <w:rsid w:val="005E1B1A"/>
    <w:rsid w:val="005E3C81"/>
    <w:rsid w:val="005E4AC5"/>
    <w:rsid w:val="005E6DDF"/>
    <w:rsid w:val="005E7175"/>
    <w:rsid w:val="005E7661"/>
    <w:rsid w:val="005F294B"/>
    <w:rsid w:val="005F2EDF"/>
    <w:rsid w:val="005F3DD4"/>
    <w:rsid w:val="00605C1C"/>
    <w:rsid w:val="0061214D"/>
    <w:rsid w:val="0061341C"/>
    <w:rsid w:val="00615E30"/>
    <w:rsid w:val="0061610F"/>
    <w:rsid w:val="00631A80"/>
    <w:rsid w:val="00633C6A"/>
    <w:rsid w:val="00635109"/>
    <w:rsid w:val="00636FC0"/>
    <w:rsid w:val="00640F17"/>
    <w:rsid w:val="006603D1"/>
    <w:rsid w:val="00661378"/>
    <w:rsid w:val="00661760"/>
    <w:rsid w:val="0066263B"/>
    <w:rsid w:val="00663B23"/>
    <w:rsid w:val="0066464A"/>
    <w:rsid w:val="006649C3"/>
    <w:rsid w:val="00664F0E"/>
    <w:rsid w:val="00670BAA"/>
    <w:rsid w:val="00670D84"/>
    <w:rsid w:val="006751BB"/>
    <w:rsid w:val="00677634"/>
    <w:rsid w:val="0068443F"/>
    <w:rsid w:val="0069021E"/>
    <w:rsid w:val="006A691B"/>
    <w:rsid w:val="006B0DA8"/>
    <w:rsid w:val="006B2F76"/>
    <w:rsid w:val="006B31B3"/>
    <w:rsid w:val="006B7A34"/>
    <w:rsid w:val="006C07A7"/>
    <w:rsid w:val="006C1B0C"/>
    <w:rsid w:val="006C5FA1"/>
    <w:rsid w:val="006D3D06"/>
    <w:rsid w:val="006E1C6F"/>
    <w:rsid w:val="006E2612"/>
    <w:rsid w:val="006E4AAD"/>
    <w:rsid w:val="006E6CE8"/>
    <w:rsid w:val="006E7E19"/>
    <w:rsid w:val="006F015F"/>
    <w:rsid w:val="006F4046"/>
    <w:rsid w:val="006F6821"/>
    <w:rsid w:val="00701806"/>
    <w:rsid w:val="00705E07"/>
    <w:rsid w:val="007132A9"/>
    <w:rsid w:val="00721A5A"/>
    <w:rsid w:val="007223FD"/>
    <w:rsid w:val="007226B9"/>
    <w:rsid w:val="007251D7"/>
    <w:rsid w:val="00725DFA"/>
    <w:rsid w:val="00726A1F"/>
    <w:rsid w:val="007403F5"/>
    <w:rsid w:val="0074072F"/>
    <w:rsid w:val="007422E9"/>
    <w:rsid w:val="00744FD7"/>
    <w:rsid w:val="00750586"/>
    <w:rsid w:val="00755403"/>
    <w:rsid w:val="007654C8"/>
    <w:rsid w:val="00776488"/>
    <w:rsid w:val="00783DA2"/>
    <w:rsid w:val="00787E48"/>
    <w:rsid w:val="007939C8"/>
    <w:rsid w:val="00795A52"/>
    <w:rsid w:val="007967A7"/>
    <w:rsid w:val="007A16DD"/>
    <w:rsid w:val="007B411E"/>
    <w:rsid w:val="007B4F8F"/>
    <w:rsid w:val="007B5859"/>
    <w:rsid w:val="007B68DD"/>
    <w:rsid w:val="007B7C2D"/>
    <w:rsid w:val="007D09D1"/>
    <w:rsid w:val="007E1E29"/>
    <w:rsid w:val="00800B04"/>
    <w:rsid w:val="00803512"/>
    <w:rsid w:val="00803927"/>
    <w:rsid w:val="008045C6"/>
    <w:rsid w:val="008100D1"/>
    <w:rsid w:val="008102D7"/>
    <w:rsid w:val="00814DB0"/>
    <w:rsid w:val="0081645F"/>
    <w:rsid w:val="0081669B"/>
    <w:rsid w:val="00817D6D"/>
    <w:rsid w:val="00822B92"/>
    <w:rsid w:val="00824EA8"/>
    <w:rsid w:val="00827029"/>
    <w:rsid w:val="00833F9B"/>
    <w:rsid w:val="008375D7"/>
    <w:rsid w:val="00840955"/>
    <w:rsid w:val="00843299"/>
    <w:rsid w:val="00844AEF"/>
    <w:rsid w:val="00845923"/>
    <w:rsid w:val="00851D4F"/>
    <w:rsid w:val="008544D0"/>
    <w:rsid w:val="0085495A"/>
    <w:rsid w:val="00861999"/>
    <w:rsid w:val="00865B5D"/>
    <w:rsid w:val="00867507"/>
    <w:rsid w:val="008720F2"/>
    <w:rsid w:val="0088083B"/>
    <w:rsid w:val="00881748"/>
    <w:rsid w:val="00881E2A"/>
    <w:rsid w:val="00883A39"/>
    <w:rsid w:val="008860D8"/>
    <w:rsid w:val="00896811"/>
    <w:rsid w:val="00897071"/>
    <w:rsid w:val="008A60D7"/>
    <w:rsid w:val="008A7EAD"/>
    <w:rsid w:val="008B0175"/>
    <w:rsid w:val="008C1F47"/>
    <w:rsid w:val="008D1B90"/>
    <w:rsid w:val="008D4527"/>
    <w:rsid w:val="008D4F42"/>
    <w:rsid w:val="008E4039"/>
    <w:rsid w:val="008E6654"/>
    <w:rsid w:val="008F7055"/>
    <w:rsid w:val="008F76C3"/>
    <w:rsid w:val="009023E0"/>
    <w:rsid w:val="0090248E"/>
    <w:rsid w:val="0090332B"/>
    <w:rsid w:val="009036F9"/>
    <w:rsid w:val="00903980"/>
    <w:rsid w:val="009046A4"/>
    <w:rsid w:val="00910234"/>
    <w:rsid w:val="009123C6"/>
    <w:rsid w:val="00922F94"/>
    <w:rsid w:val="00926260"/>
    <w:rsid w:val="00932E88"/>
    <w:rsid w:val="00934CE7"/>
    <w:rsid w:val="00937182"/>
    <w:rsid w:val="009378F1"/>
    <w:rsid w:val="00941BD2"/>
    <w:rsid w:val="00941F57"/>
    <w:rsid w:val="0094338D"/>
    <w:rsid w:val="00947B7E"/>
    <w:rsid w:val="00957FAF"/>
    <w:rsid w:val="009601CC"/>
    <w:rsid w:val="00960611"/>
    <w:rsid w:val="00962937"/>
    <w:rsid w:val="009655AE"/>
    <w:rsid w:val="009666F9"/>
    <w:rsid w:val="00970F89"/>
    <w:rsid w:val="00971BC5"/>
    <w:rsid w:val="00974695"/>
    <w:rsid w:val="00974816"/>
    <w:rsid w:val="00975956"/>
    <w:rsid w:val="0099339C"/>
    <w:rsid w:val="009951ED"/>
    <w:rsid w:val="009A2D3E"/>
    <w:rsid w:val="009A3251"/>
    <w:rsid w:val="009A64AF"/>
    <w:rsid w:val="009A731F"/>
    <w:rsid w:val="009B4260"/>
    <w:rsid w:val="009B4910"/>
    <w:rsid w:val="009D3D22"/>
    <w:rsid w:val="009E0F6F"/>
    <w:rsid w:val="009E3846"/>
    <w:rsid w:val="009F0F78"/>
    <w:rsid w:val="009F5DB8"/>
    <w:rsid w:val="00A03B96"/>
    <w:rsid w:val="00A04714"/>
    <w:rsid w:val="00A1291D"/>
    <w:rsid w:val="00A152E9"/>
    <w:rsid w:val="00A24873"/>
    <w:rsid w:val="00A25F26"/>
    <w:rsid w:val="00A43005"/>
    <w:rsid w:val="00A435AD"/>
    <w:rsid w:val="00A438F3"/>
    <w:rsid w:val="00A44DFB"/>
    <w:rsid w:val="00A46A50"/>
    <w:rsid w:val="00A52252"/>
    <w:rsid w:val="00A52C37"/>
    <w:rsid w:val="00A60F02"/>
    <w:rsid w:val="00A613CB"/>
    <w:rsid w:val="00A67534"/>
    <w:rsid w:val="00A70820"/>
    <w:rsid w:val="00A71E56"/>
    <w:rsid w:val="00A74645"/>
    <w:rsid w:val="00A7797A"/>
    <w:rsid w:val="00A80048"/>
    <w:rsid w:val="00A81CA2"/>
    <w:rsid w:val="00A831A9"/>
    <w:rsid w:val="00A873EB"/>
    <w:rsid w:val="00A878E3"/>
    <w:rsid w:val="00A93340"/>
    <w:rsid w:val="00A95F7E"/>
    <w:rsid w:val="00A96C59"/>
    <w:rsid w:val="00AA04E5"/>
    <w:rsid w:val="00AA063C"/>
    <w:rsid w:val="00AA2EE8"/>
    <w:rsid w:val="00AA5252"/>
    <w:rsid w:val="00AA551E"/>
    <w:rsid w:val="00AA73EE"/>
    <w:rsid w:val="00AB0463"/>
    <w:rsid w:val="00AB26CC"/>
    <w:rsid w:val="00AB3037"/>
    <w:rsid w:val="00AB70AB"/>
    <w:rsid w:val="00AC1FB1"/>
    <w:rsid w:val="00AD2ADE"/>
    <w:rsid w:val="00AD55BB"/>
    <w:rsid w:val="00AE0406"/>
    <w:rsid w:val="00AE189C"/>
    <w:rsid w:val="00AE3F18"/>
    <w:rsid w:val="00AF05C0"/>
    <w:rsid w:val="00AF66AE"/>
    <w:rsid w:val="00B01050"/>
    <w:rsid w:val="00B03AD9"/>
    <w:rsid w:val="00B07C15"/>
    <w:rsid w:val="00B1031B"/>
    <w:rsid w:val="00B13089"/>
    <w:rsid w:val="00B143A7"/>
    <w:rsid w:val="00B20775"/>
    <w:rsid w:val="00B2125E"/>
    <w:rsid w:val="00B224F7"/>
    <w:rsid w:val="00B30027"/>
    <w:rsid w:val="00B310FA"/>
    <w:rsid w:val="00B317C2"/>
    <w:rsid w:val="00B32267"/>
    <w:rsid w:val="00B35746"/>
    <w:rsid w:val="00B36EE7"/>
    <w:rsid w:val="00B40571"/>
    <w:rsid w:val="00B420CC"/>
    <w:rsid w:val="00B4449B"/>
    <w:rsid w:val="00B5222E"/>
    <w:rsid w:val="00B6058B"/>
    <w:rsid w:val="00B630F5"/>
    <w:rsid w:val="00B632E5"/>
    <w:rsid w:val="00B63E0B"/>
    <w:rsid w:val="00B65B9F"/>
    <w:rsid w:val="00B667D8"/>
    <w:rsid w:val="00B7188F"/>
    <w:rsid w:val="00B73304"/>
    <w:rsid w:val="00B73662"/>
    <w:rsid w:val="00B76CFA"/>
    <w:rsid w:val="00B774F3"/>
    <w:rsid w:val="00B818F2"/>
    <w:rsid w:val="00B84EB1"/>
    <w:rsid w:val="00B84F9D"/>
    <w:rsid w:val="00B873E1"/>
    <w:rsid w:val="00B90A8B"/>
    <w:rsid w:val="00B93F26"/>
    <w:rsid w:val="00B9649B"/>
    <w:rsid w:val="00BB1ABC"/>
    <w:rsid w:val="00BB21DD"/>
    <w:rsid w:val="00BB3000"/>
    <w:rsid w:val="00BB4CBA"/>
    <w:rsid w:val="00BB50E0"/>
    <w:rsid w:val="00BD1726"/>
    <w:rsid w:val="00BD2B79"/>
    <w:rsid w:val="00BD423D"/>
    <w:rsid w:val="00BD5ACB"/>
    <w:rsid w:val="00BD79CD"/>
    <w:rsid w:val="00BD7C81"/>
    <w:rsid w:val="00BF0585"/>
    <w:rsid w:val="00BF7166"/>
    <w:rsid w:val="00C053BD"/>
    <w:rsid w:val="00C20315"/>
    <w:rsid w:val="00C2102B"/>
    <w:rsid w:val="00C226A5"/>
    <w:rsid w:val="00C23150"/>
    <w:rsid w:val="00C273F0"/>
    <w:rsid w:val="00C33977"/>
    <w:rsid w:val="00C34B7E"/>
    <w:rsid w:val="00C42127"/>
    <w:rsid w:val="00C441DF"/>
    <w:rsid w:val="00C45A22"/>
    <w:rsid w:val="00C470F7"/>
    <w:rsid w:val="00C61185"/>
    <w:rsid w:val="00C6288F"/>
    <w:rsid w:val="00C62A18"/>
    <w:rsid w:val="00C636BA"/>
    <w:rsid w:val="00C67964"/>
    <w:rsid w:val="00C67E35"/>
    <w:rsid w:val="00C7069B"/>
    <w:rsid w:val="00C726B8"/>
    <w:rsid w:val="00C73E4A"/>
    <w:rsid w:val="00C81B81"/>
    <w:rsid w:val="00C911CE"/>
    <w:rsid w:val="00C9203B"/>
    <w:rsid w:val="00C95D88"/>
    <w:rsid w:val="00C96039"/>
    <w:rsid w:val="00C96284"/>
    <w:rsid w:val="00CA2471"/>
    <w:rsid w:val="00CB059A"/>
    <w:rsid w:val="00CB1FB8"/>
    <w:rsid w:val="00CB57C8"/>
    <w:rsid w:val="00CB75B2"/>
    <w:rsid w:val="00CB77C2"/>
    <w:rsid w:val="00CC10B8"/>
    <w:rsid w:val="00CC136F"/>
    <w:rsid w:val="00CC21A7"/>
    <w:rsid w:val="00CC3370"/>
    <w:rsid w:val="00CC4AFB"/>
    <w:rsid w:val="00CC6453"/>
    <w:rsid w:val="00CD7A71"/>
    <w:rsid w:val="00CE0358"/>
    <w:rsid w:val="00CE3701"/>
    <w:rsid w:val="00CE4084"/>
    <w:rsid w:val="00CE4CCD"/>
    <w:rsid w:val="00CE63FD"/>
    <w:rsid w:val="00CE7333"/>
    <w:rsid w:val="00CE7407"/>
    <w:rsid w:val="00CF0243"/>
    <w:rsid w:val="00CF0F30"/>
    <w:rsid w:val="00CF591A"/>
    <w:rsid w:val="00CF5EA5"/>
    <w:rsid w:val="00CF7559"/>
    <w:rsid w:val="00D05423"/>
    <w:rsid w:val="00D06A8A"/>
    <w:rsid w:val="00D102C3"/>
    <w:rsid w:val="00D103DF"/>
    <w:rsid w:val="00D22297"/>
    <w:rsid w:val="00D23123"/>
    <w:rsid w:val="00D246CD"/>
    <w:rsid w:val="00D24BE5"/>
    <w:rsid w:val="00D25D26"/>
    <w:rsid w:val="00D265D9"/>
    <w:rsid w:val="00D31BAF"/>
    <w:rsid w:val="00D34432"/>
    <w:rsid w:val="00D36DF6"/>
    <w:rsid w:val="00D37725"/>
    <w:rsid w:val="00D4626E"/>
    <w:rsid w:val="00D51DD8"/>
    <w:rsid w:val="00D52D27"/>
    <w:rsid w:val="00D53198"/>
    <w:rsid w:val="00D536AE"/>
    <w:rsid w:val="00D5597E"/>
    <w:rsid w:val="00D57D52"/>
    <w:rsid w:val="00D64407"/>
    <w:rsid w:val="00D65B86"/>
    <w:rsid w:val="00D6659E"/>
    <w:rsid w:val="00D71509"/>
    <w:rsid w:val="00D74156"/>
    <w:rsid w:val="00D75D3C"/>
    <w:rsid w:val="00D86AB0"/>
    <w:rsid w:val="00D90E06"/>
    <w:rsid w:val="00D91916"/>
    <w:rsid w:val="00DA16D9"/>
    <w:rsid w:val="00DA398F"/>
    <w:rsid w:val="00DB78CD"/>
    <w:rsid w:val="00DB7ED5"/>
    <w:rsid w:val="00DC7728"/>
    <w:rsid w:val="00DE59FE"/>
    <w:rsid w:val="00DE7544"/>
    <w:rsid w:val="00DF397A"/>
    <w:rsid w:val="00DF444E"/>
    <w:rsid w:val="00E05CB0"/>
    <w:rsid w:val="00E13BD8"/>
    <w:rsid w:val="00E152C0"/>
    <w:rsid w:val="00E20F2A"/>
    <w:rsid w:val="00E24BE0"/>
    <w:rsid w:val="00E2722D"/>
    <w:rsid w:val="00E27430"/>
    <w:rsid w:val="00E304B8"/>
    <w:rsid w:val="00E3138B"/>
    <w:rsid w:val="00E3265A"/>
    <w:rsid w:val="00E367DC"/>
    <w:rsid w:val="00E3684C"/>
    <w:rsid w:val="00E50CD3"/>
    <w:rsid w:val="00E63E2C"/>
    <w:rsid w:val="00E645FD"/>
    <w:rsid w:val="00E64B38"/>
    <w:rsid w:val="00E65304"/>
    <w:rsid w:val="00E6726B"/>
    <w:rsid w:val="00E7098A"/>
    <w:rsid w:val="00E77E56"/>
    <w:rsid w:val="00E81AFC"/>
    <w:rsid w:val="00E84EE3"/>
    <w:rsid w:val="00E86A0E"/>
    <w:rsid w:val="00E86C18"/>
    <w:rsid w:val="00E9785E"/>
    <w:rsid w:val="00EA0F40"/>
    <w:rsid w:val="00EA601F"/>
    <w:rsid w:val="00EA6C58"/>
    <w:rsid w:val="00EB11D1"/>
    <w:rsid w:val="00EC15A5"/>
    <w:rsid w:val="00EC200E"/>
    <w:rsid w:val="00EC2710"/>
    <w:rsid w:val="00EC421F"/>
    <w:rsid w:val="00EC4283"/>
    <w:rsid w:val="00ED0E53"/>
    <w:rsid w:val="00ED6C47"/>
    <w:rsid w:val="00ED733A"/>
    <w:rsid w:val="00ED7D9D"/>
    <w:rsid w:val="00EE3E66"/>
    <w:rsid w:val="00EF0063"/>
    <w:rsid w:val="00EF1EC0"/>
    <w:rsid w:val="00EF4BF1"/>
    <w:rsid w:val="00EF6281"/>
    <w:rsid w:val="00EF68C4"/>
    <w:rsid w:val="00F00C87"/>
    <w:rsid w:val="00F02963"/>
    <w:rsid w:val="00F0318E"/>
    <w:rsid w:val="00F05744"/>
    <w:rsid w:val="00F06F4E"/>
    <w:rsid w:val="00F119FF"/>
    <w:rsid w:val="00F1427F"/>
    <w:rsid w:val="00F14A17"/>
    <w:rsid w:val="00F20850"/>
    <w:rsid w:val="00F25317"/>
    <w:rsid w:val="00F27FCE"/>
    <w:rsid w:val="00F30EF8"/>
    <w:rsid w:val="00F32F3A"/>
    <w:rsid w:val="00F33C94"/>
    <w:rsid w:val="00F344ED"/>
    <w:rsid w:val="00F4178D"/>
    <w:rsid w:val="00F42A1B"/>
    <w:rsid w:val="00F514B4"/>
    <w:rsid w:val="00F5515B"/>
    <w:rsid w:val="00F5546E"/>
    <w:rsid w:val="00F6000C"/>
    <w:rsid w:val="00F62C87"/>
    <w:rsid w:val="00F74848"/>
    <w:rsid w:val="00F749C7"/>
    <w:rsid w:val="00F74E12"/>
    <w:rsid w:val="00F8541A"/>
    <w:rsid w:val="00F875F7"/>
    <w:rsid w:val="00F9217E"/>
    <w:rsid w:val="00F935DB"/>
    <w:rsid w:val="00F975B5"/>
    <w:rsid w:val="00F97E55"/>
    <w:rsid w:val="00FA2846"/>
    <w:rsid w:val="00FA55FE"/>
    <w:rsid w:val="00FA5F94"/>
    <w:rsid w:val="00FA6D32"/>
    <w:rsid w:val="00FB3DA2"/>
    <w:rsid w:val="00FB5EC4"/>
    <w:rsid w:val="00FC5FBF"/>
    <w:rsid w:val="00FD6630"/>
    <w:rsid w:val="00FE5B3D"/>
    <w:rsid w:val="00FE76EA"/>
    <w:rsid w:val="00FF08C1"/>
    <w:rsid w:val="00FF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4E94BE"/>
  <w15:docId w15:val="{9CFC4B48-9A50-40B3-8BAF-0A9D852C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NZ" w:eastAsia="en-N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CF5E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en-NZ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customStyle="1" w:styleId="Heading">
    <w:name w:val="Heading"/>
    <w:next w:val="Body"/>
    <w:pPr>
      <w:keepNext/>
      <w:keepLines/>
      <w:spacing w:before="240" w:line="259" w:lineRule="auto"/>
      <w:outlineLvl w:val="0"/>
    </w:pPr>
    <w:rPr>
      <w:rFonts w:ascii="Calibri Light" w:hAnsi="Calibri Light" w:cs="Arial Unicode MS"/>
      <w:color w:val="2F5496"/>
      <w:sz w:val="32"/>
      <w:szCs w:val="32"/>
      <w:u w:color="2F5496"/>
      <w:lang w:val="fr-FR"/>
      <w14:textOutline w14:w="0" w14:cap="flat" w14:cmpd="sng" w14:algn="ctr">
        <w14:noFill/>
        <w14:prstDash w14:val="solid"/>
        <w14:bevel/>
      </w14:textOutline>
    </w:rPr>
  </w:style>
  <w:style w:type="paragraph" w:styleId="Bibliography">
    <w:name w:val="Bibliography"/>
    <w:next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B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B23"/>
    <w:rPr>
      <w:rFonts w:ascii="Segoe UI" w:hAnsi="Segoe UI" w:cs="Segoe UI"/>
      <w:sz w:val="18"/>
      <w:szCs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C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C2D"/>
    <w:rPr>
      <w:b/>
      <w:bCs/>
      <w:lang w:val="en-US" w:eastAsia="en-US"/>
    </w:rPr>
  </w:style>
  <w:style w:type="table" w:customStyle="1" w:styleId="TableGrid5">
    <w:name w:val="Table Grid5"/>
    <w:basedOn w:val="TableNormal"/>
    <w:next w:val="TableGrid"/>
    <w:uiPriority w:val="59"/>
    <w:rsid w:val="00941B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41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132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32A9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132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0D2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F5EA5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76C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 w:cs="Calibri"/>
      <w:sz w:val="22"/>
      <w:szCs w:val="21"/>
      <w:bdr w:val="none" w:sz="0" w:space="0" w:color="auto"/>
      <w:lang w:val="en-NZ" w:eastAsia="en-NZ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76CFA"/>
    <w:rPr>
      <w:rFonts w:ascii="Calibri" w:eastAsia="Times New Roman" w:hAnsi="Calibri" w:cs="Calibri"/>
      <w:sz w:val="22"/>
      <w:szCs w:val="21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9629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937"/>
    <w:rPr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A438F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BD42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423D"/>
    <w:rPr>
      <w:color w:val="FF00FF" w:themeColor="followedHyperlink"/>
      <w:u w:val="single"/>
    </w:rPr>
  </w:style>
  <w:style w:type="paragraph" w:styleId="Revision">
    <w:name w:val="Revision"/>
    <w:hidden/>
    <w:uiPriority w:val="99"/>
    <w:semiHidden/>
    <w:rsid w:val="005857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customStyle="1" w:styleId="cf01">
    <w:name w:val="cf01"/>
    <w:basedOn w:val="DefaultParagraphFont"/>
    <w:rsid w:val="00A613CB"/>
    <w:rPr>
      <w:rFonts w:ascii="Segoe UI" w:hAnsi="Segoe UI" w:cs="Segoe UI" w:hint="default"/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hyperlink" Target="https://www.wgtn.ac.nz/restorative-justice/learn-with-u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3.jpeg"/><Relationship Id="rId7" Type="http://schemas.openxmlformats.org/officeDocument/2006/relationships/styles" Target="styles.xml"/><Relationship Id="rId12" Type="http://schemas.openxmlformats.org/officeDocument/2006/relationships/hyperlink" Target="https://www.hqsc.govt.nz/our-work/system-safety/healing-learning-and-improving-from-harm-policy/" TargetMode="External"/><Relationship Id="rId17" Type="http://schemas.openxmlformats.org/officeDocument/2006/relationships/hyperlink" Target="https://asq.org/training/fmea-for-beginners-fmea01jpr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quality-one.com/fmea/fmea-training/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systemsthinkinglab.com" TargetMode="External"/><Relationship Id="rId23" Type="http://schemas.openxmlformats.org/officeDocument/2006/relationships/hyperlink" Target="http://www.hqsc.govt.nz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safetree.nz/wp-content/uploads/2017/11/Guide-to-doing-a-learning-review-Nov-2017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atientsafety.va.gov/professionals/onthejob/rca.asp" TargetMode="External"/><Relationship Id="rId22" Type="http://schemas.openxmlformats.org/officeDocument/2006/relationships/hyperlink" Target="http://www.hqsc.govt.nz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healthcareexcellence.ca/media/gilnw3uy/canadian-incident-analysis-framework-final-ua.pdf" TargetMode="External"/><Relationship Id="rId2" Type="http://schemas.openxmlformats.org/officeDocument/2006/relationships/hyperlink" Target="https://healthmanagement.org/c/hospital/issuearticle/the-london-protocol" TargetMode="External"/><Relationship Id="rId1" Type="http://schemas.openxmlformats.org/officeDocument/2006/relationships/hyperlink" Target="http://www.safetydifferently.com/the-learning-review-adding-to-the-accident-investigation-toolbox" TargetMode="External"/><Relationship Id="rId6" Type="http://schemas.openxmlformats.org/officeDocument/2006/relationships/hyperlink" Target="https://www.hqsc.govt.nz/our-work/system-safety/healing-learning-and-improving-from-harm-policy/restorative-practice-and-hohou-te-rongo" TargetMode="External"/><Relationship Id="rId5" Type="http://schemas.openxmlformats.org/officeDocument/2006/relationships/hyperlink" Target="http://www.ihi.org/resources/Pages/Tools/RCA2-Improving-Root-Cause-Analyses-and-Actions-to-Prevent-Harm.aspx" TargetMode="External"/><Relationship Id="rId4" Type="http://schemas.openxmlformats.org/officeDocument/2006/relationships/hyperlink" Target="http://www.patientsafety.va.gov/media/rca.asp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E1B8698701A45A5408FB75B1B86C4" ma:contentTypeVersion="15" ma:contentTypeDescription="Create a new document." ma:contentTypeScope="" ma:versionID="30f13bc92687d36d5ab6a61f3bb8b0ff">
  <xsd:schema xmlns:xsd="http://www.w3.org/2001/XMLSchema" xmlns:xs="http://www.w3.org/2001/XMLSchema" xmlns:p="http://schemas.microsoft.com/office/2006/metadata/properties" xmlns:ns2="bef9904b-9bca-4a1b-aca3-78dad2044d15" xmlns:ns3="83c1f819-1d2e-4aad-8c9d-234667bc5029" targetNamespace="http://schemas.microsoft.com/office/2006/metadata/properties" ma:root="true" ma:fieldsID="97bf6b177eb481fbaf016602c9db6c34" ns2:_="" ns3:_="">
    <xsd:import namespace="bef9904b-9bca-4a1b-aca3-78dad2044d15"/>
    <xsd:import namespace="83c1f819-1d2e-4aad-8c9d-234667bc502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4db9ff5-9934-4329-8878-4e2d029385bb}" ma:internalName="TaxCatchAll" ma:showField="CatchAllData" ma:web="bef9904b-9bca-4a1b-aca3-78dad2044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1f819-1d2e-4aad-8c9d-234667bc50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f067919-d045-4b34-bd75-563914e94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f9904b-9bca-4a1b-aca3-78dad2044d15" xsi:nil="true"/>
    <lcf76f155ced4ddcb4097134ff3c332f xmlns="83c1f819-1d2e-4aad-8c9d-234667bc5029">
      <Terms xmlns="http://schemas.microsoft.com/office/infopath/2007/PartnerControls"/>
    </lcf76f155ced4ddcb4097134ff3c332f>
    <_dlc_DocId xmlns="bef9904b-9bca-4a1b-aca3-78dad2044d15">DOCS-1129490080-86886</_dlc_DocId>
    <_dlc_DocIdUrl xmlns="bef9904b-9bca-4a1b-aca3-78dad2044d15">
      <Url>https://hqsc.sharepoint.com/sites/dms-comms/_layouts/15/DocIdRedir.aspx?ID=DOCS-1129490080-86886</Url>
      <Description>DOCS-1129490080-86886</Description>
    </_dlc_DocIdUrl>
  </documentManagement>
</p:properties>
</file>

<file path=customXml/itemProps1.xml><?xml version="1.0" encoding="utf-8"?>
<ds:datastoreItem xmlns:ds="http://schemas.openxmlformats.org/officeDocument/2006/customXml" ds:itemID="{413548BE-3548-4842-B119-D4D504A92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9904b-9bca-4a1b-aca3-78dad2044d15"/>
    <ds:schemaRef ds:uri="83c1f819-1d2e-4aad-8c9d-234667bc5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75B639-6C5E-4214-BD9A-BAC28D56A55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63B21BF-F6C5-4E7B-93EF-DE098E6030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2FBFF5-E5B9-4D95-A68B-977D676F66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ECD39C9-4F5C-4416-ABBB-238075BAA9E4}">
  <ds:schemaRefs>
    <ds:schemaRef ds:uri="http://schemas.microsoft.com/office/2006/metadata/properties"/>
    <ds:schemaRef ds:uri="http://schemas.microsoft.com/office/infopath/2007/PartnerControls"/>
    <ds:schemaRef ds:uri="bef9904b-9bca-4a1b-aca3-78dad2044d15"/>
    <ds:schemaRef ds:uri="83c1f819-1d2e-4aad-8c9d-234667bc5029"/>
  </ds:schemaRefs>
</ds:datastoreItem>
</file>

<file path=docMetadata/LabelInfo.xml><?xml version="1.0" encoding="utf-8"?>
<clbl:labelList xmlns:clbl="http://schemas.microsoft.com/office/2020/mipLabelMetadata">
  <clbl:label id="{701cefdf-35f4-4444-8638-55f0e12ab1c4}" enabled="0" method="" siteId="{701cefdf-35f4-4444-8638-55f0e12ab1c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1872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healthAlliance</Company>
  <LinksUpToDate>false</LinksUpToDate>
  <CharactersWithSpaces>12518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Jacqueline Ryan</dc:creator>
  <cp:lastModifiedBy>Jocasta Whittingham</cp:lastModifiedBy>
  <cp:revision>7</cp:revision>
  <cp:lastPrinted>2021-08-11T23:32:00Z</cp:lastPrinted>
  <dcterms:created xsi:type="dcterms:W3CDTF">2024-05-08T04:54:00Z</dcterms:created>
  <dcterms:modified xsi:type="dcterms:W3CDTF">2024-05-08T05:07:00Z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0x010100843E1B8698701A45A5408FB75B1B86C4</vt:lpwstr>
  </property>
  <property fmtid="{D5CDD505-2E9C-101B-9397-08002B2CF9AE}" pid="3" name="MediaServiceImageTags">
    <vt:lpwstr/>
  </property>
  <property fmtid="{D5CDD505-2E9C-101B-9397-08002B2CF9AE}" pid="4" name="_dlc_DocIdItemGuid">
    <vt:lpwstr>f63b8a6a-1fb0-4246-b5ac-87a1a424da22</vt:lpwstr>
  </property>
</Properties>
</file>