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B3CB" w14:textId="4D4D760C" w:rsidR="005B1027" w:rsidRPr="00975D41" w:rsidRDefault="6545493F" w:rsidP="00A34587">
      <w:pPr>
        <w:pStyle w:val="BodyText"/>
        <w:spacing w:before="7"/>
        <w:ind w:left="142"/>
        <w:rPr>
          <w:b/>
          <w:bCs/>
          <w:sz w:val="28"/>
          <w:szCs w:val="28"/>
          <w:u w:val="none"/>
        </w:rPr>
      </w:pPr>
      <w:r w:rsidRPr="00975D41">
        <w:rPr>
          <w:b/>
          <w:bCs/>
          <w:sz w:val="28"/>
          <w:szCs w:val="28"/>
          <w:u w:val="none"/>
        </w:rPr>
        <w:t xml:space="preserve">Mental </w:t>
      </w:r>
      <w:r w:rsidR="00853239" w:rsidRPr="00975D41">
        <w:rPr>
          <w:b/>
          <w:bCs/>
          <w:sz w:val="28"/>
          <w:szCs w:val="28"/>
          <w:u w:val="none"/>
        </w:rPr>
        <w:t>health and addiction</w:t>
      </w:r>
      <w:r w:rsidRPr="00975D41">
        <w:rPr>
          <w:b/>
          <w:bCs/>
          <w:sz w:val="28"/>
          <w:szCs w:val="28"/>
          <w:u w:val="none"/>
        </w:rPr>
        <w:t xml:space="preserve"> </w:t>
      </w:r>
      <w:r w:rsidR="008B7EA8" w:rsidRPr="00975D41">
        <w:rPr>
          <w:b/>
          <w:bCs/>
          <w:sz w:val="28"/>
          <w:szCs w:val="28"/>
          <w:u w:val="none"/>
        </w:rPr>
        <w:t xml:space="preserve">Severity Assessment Code (SAC) </w:t>
      </w:r>
      <w:r w:rsidR="00853239">
        <w:rPr>
          <w:b/>
          <w:bCs/>
          <w:sz w:val="28"/>
          <w:szCs w:val="28"/>
          <w:u w:val="none"/>
        </w:rPr>
        <w:t>e</w:t>
      </w:r>
      <w:r w:rsidR="00853239" w:rsidRPr="00975D41">
        <w:rPr>
          <w:b/>
          <w:bCs/>
          <w:sz w:val="28"/>
          <w:szCs w:val="28"/>
          <w:u w:val="none"/>
        </w:rPr>
        <w:t>xamples</w:t>
      </w:r>
      <w:r w:rsidR="00853239">
        <w:rPr>
          <w:b/>
          <w:bCs/>
          <w:sz w:val="28"/>
          <w:szCs w:val="28"/>
          <w:u w:val="none"/>
        </w:rPr>
        <w:t xml:space="preserve"> </w:t>
      </w:r>
      <w:r w:rsidR="00C00151">
        <w:rPr>
          <w:b/>
          <w:bCs/>
          <w:sz w:val="28"/>
          <w:szCs w:val="28"/>
          <w:u w:val="none"/>
        </w:rPr>
        <w:t>2021</w:t>
      </w:r>
      <w:r w:rsidR="00F10CFC">
        <w:rPr>
          <w:b/>
          <w:bCs/>
          <w:sz w:val="28"/>
          <w:szCs w:val="28"/>
          <w:u w:val="none"/>
        </w:rPr>
        <w:t>–</w:t>
      </w:r>
      <w:r w:rsidR="00C00151">
        <w:rPr>
          <w:b/>
          <w:bCs/>
          <w:sz w:val="28"/>
          <w:szCs w:val="28"/>
          <w:u w:val="none"/>
        </w:rPr>
        <w:t>22</w:t>
      </w:r>
    </w:p>
    <w:p w14:paraId="283FD14B" w14:textId="7F3983EE" w:rsidR="00C00151" w:rsidRDefault="0095777D" w:rsidP="00B16AA5">
      <w:pPr>
        <w:spacing w:before="240" w:after="60" w:line="276" w:lineRule="auto"/>
        <w:ind w:left="142" w:right="30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The examples below are</w:t>
      </w:r>
      <w:r w:rsidR="00106847" w:rsidRPr="2E43E6C2">
        <w:rPr>
          <w:rFonts w:eastAsia="Times New Roman"/>
          <w:color w:val="000000" w:themeColor="text1"/>
        </w:rPr>
        <w:t xml:space="preserve"> for guidance only</w:t>
      </w:r>
      <w:r>
        <w:rPr>
          <w:rFonts w:eastAsia="Times New Roman"/>
          <w:color w:val="000000" w:themeColor="text1"/>
        </w:rPr>
        <w:t>; they are</w:t>
      </w:r>
      <w:r w:rsidR="00C659E4">
        <w:rPr>
          <w:rFonts w:eastAsia="Times New Roman"/>
          <w:color w:val="000000" w:themeColor="text1"/>
        </w:rPr>
        <w:t xml:space="preserve"> not intended to be prescriptive or exclude other events from review. Any </w:t>
      </w:r>
      <w:r w:rsidR="00106847" w:rsidRPr="2E43E6C2">
        <w:rPr>
          <w:rFonts w:eastAsia="Times New Roman"/>
          <w:color w:val="000000" w:themeColor="text1"/>
        </w:rPr>
        <w:t>event should be rated on</w:t>
      </w:r>
      <w:r w:rsidR="2B00E6D9" w:rsidRPr="2E43E6C2">
        <w:rPr>
          <w:rFonts w:eastAsia="Times New Roman"/>
          <w:color w:val="000000" w:themeColor="text1"/>
        </w:rPr>
        <w:t xml:space="preserve"> </w:t>
      </w:r>
      <w:r w:rsidR="00106847" w:rsidRPr="2E43E6C2">
        <w:rPr>
          <w:rFonts w:eastAsia="Times New Roman"/>
          <w:color w:val="000000" w:themeColor="text1"/>
        </w:rPr>
        <w:t xml:space="preserve">actual outcome for the </w:t>
      </w:r>
      <w:r w:rsidR="0D8DC131" w:rsidRPr="2E43E6C2">
        <w:rPr>
          <w:rFonts w:eastAsia="Times New Roman"/>
          <w:color w:val="000000" w:themeColor="text1"/>
        </w:rPr>
        <w:t>consumer</w:t>
      </w:r>
      <w:r w:rsidR="0031627A">
        <w:rPr>
          <w:rFonts w:eastAsia="Times New Roman"/>
          <w:color w:val="000000" w:themeColor="text1"/>
        </w:rPr>
        <w:t xml:space="preserve"> (</w:t>
      </w:r>
      <w:r w:rsidR="001B14A6">
        <w:rPr>
          <w:rFonts w:eastAsia="Times New Roman"/>
          <w:color w:val="000000" w:themeColor="text1"/>
        </w:rPr>
        <w:t xml:space="preserve">mental health and addiction (MHA) </w:t>
      </w:r>
      <w:r w:rsidR="0031627A">
        <w:rPr>
          <w:rFonts w:eastAsia="Times New Roman"/>
          <w:color w:val="000000" w:themeColor="text1"/>
        </w:rPr>
        <w:t>service user)</w:t>
      </w:r>
      <w:r w:rsidR="00F97BFD">
        <w:rPr>
          <w:rFonts w:eastAsia="Times New Roman"/>
          <w:color w:val="000000" w:themeColor="text1"/>
        </w:rPr>
        <w:t>,</w:t>
      </w:r>
      <w:r w:rsidR="00D7500E">
        <w:rPr>
          <w:rFonts w:eastAsia="Times New Roman"/>
          <w:color w:val="000000" w:themeColor="text1"/>
        </w:rPr>
        <w:t xml:space="preserve"> </w:t>
      </w:r>
      <w:r w:rsidR="00C659E4">
        <w:rPr>
          <w:rFonts w:eastAsia="Times New Roman"/>
          <w:color w:val="000000" w:themeColor="text1"/>
        </w:rPr>
        <w:t xml:space="preserve">though there are two exceptions related to harm to a third party included below. Reviews </w:t>
      </w:r>
      <w:r w:rsidR="00814490" w:rsidRPr="006C02F9">
        <w:rPr>
          <w:rFonts w:eastAsia="Times New Roman"/>
          <w:color w:val="000000" w:themeColor="text1"/>
        </w:rPr>
        <w:t>of events</w:t>
      </w:r>
      <w:r w:rsidR="00F97BFD">
        <w:rPr>
          <w:rFonts w:eastAsia="Times New Roman"/>
          <w:color w:val="000000" w:themeColor="text1"/>
        </w:rPr>
        <w:t>,</w:t>
      </w:r>
      <w:r w:rsidR="00814490" w:rsidRPr="006C02F9">
        <w:rPr>
          <w:rFonts w:eastAsia="Times New Roman"/>
          <w:color w:val="000000" w:themeColor="text1"/>
        </w:rPr>
        <w:t xml:space="preserve"> including suspected suicides</w:t>
      </w:r>
      <w:r w:rsidR="00F97BFD">
        <w:rPr>
          <w:rFonts w:eastAsia="Times New Roman"/>
          <w:color w:val="000000" w:themeColor="text1"/>
        </w:rPr>
        <w:t xml:space="preserve"> (</w:t>
      </w:r>
      <w:r w:rsidR="00814490" w:rsidRPr="006C02F9">
        <w:rPr>
          <w:rFonts w:eastAsia="Times New Roman"/>
          <w:color w:val="000000" w:themeColor="text1"/>
        </w:rPr>
        <w:t xml:space="preserve">which involve multiple teams and </w:t>
      </w:r>
      <w:r w:rsidR="00204000">
        <w:rPr>
          <w:rFonts w:eastAsia="Times New Roman"/>
          <w:color w:val="000000" w:themeColor="text1"/>
        </w:rPr>
        <w:t>organisations</w:t>
      </w:r>
      <w:r w:rsidR="00F97BFD">
        <w:rPr>
          <w:rFonts w:eastAsia="Times New Roman"/>
          <w:color w:val="000000" w:themeColor="text1"/>
        </w:rPr>
        <w:t>)</w:t>
      </w:r>
      <w:r w:rsidR="00814490" w:rsidRPr="006C02F9">
        <w:rPr>
          <w:rFonts w:eastAsia="Times New Roman"/>
          <w:color w:val="000000" w:themeColor="text1"/>
        </w:rPr>
        <w:t xml:space="preserve">, require a partnership approach led by the service the consumer was in, </w:t>
      </w:r>
      <w:r w:rsidR="00814490" w:rsidRPr="00814490">
        <w:rPr>
          <w:rFonts w:eastAsia="Times New Roman"/>
          <w:color w:val="000000" w:themeColor="text1"/>
        </w:rPr>
        <w:t xml:space="preserve">with </w:t>
      </w:r>
      <w:r w:rsidR="00814490">
        <w:rPr>
          <w:rFonts w:eastAsia="Times New Roman"/>
          <w:color w:val="000000" w:themeColor="text1"/>
        </w:rPr>
        <w:t xml:space="preserve">the </w:t>
      </w:r>
      <w:r w:rsidR="00814490" w:rsidRPr="00814490">
        <w:rPr>
          <w:rFonts w:eastAsia="Times New Roman"/>
          <w:color w:val="000000" w:themeColor="text1"/>
        </w:rPr>
        <w:t xml:space="preserve">involvement of </w:t>
      </w:r>
      <w:proofErr w:type="spellStart"/>
      <w:r w:rsidR="00814490" w:rsidRPr="00814490">
        <w:rPr>
          <w:rFonts w:eastAsia="Times New Roman"/>
          <w:color w:val="000000" w:themeColor="text1"/>
        </w:rPr>
        <w:t>whānau</w:t>
      </w:r>
      <w:proofErr w:type="spellEnd"/>
      <w:r w:rsidR="00814490" w:rsidRPr="00814490">
        <w:rPr>
          <w:rFonts w:eastAsia="Times New Roman"/>
          <w:color w:val="000000" w:themeColor="text1"/>
        </w:rPr>
        <w:t xml:space="preserve"> or their nominated representative</w:t>
      </w:r>
      <w:r w:rsidR="004E58CE">
        <w:rPr>
          <w:rFonts w:eastAsia="Times New Roman"/>
          <w:color w:val="000000" w:themeColor="text1"/>
        </w:rPr>
        <w:t>.</w:t>
      </w:r>
    </w:p>
    <w:p w14:paraId="334CE36B" w14:textId="52998322" w:rsidR="00E207B0" w:rsidRPr="00695291" w:rsidRDefault="00C00151" w:rsidP="00B16AA5">
      <w:pPr>
        <w:spacing w:before="37" w:after="60" w:line="276" w:lineRule="auto"/>
        <w:ind w:left="142" w:right="309"/>
        <w:rPr>
          <w:sz w:val="16"/>
          <w:szCs w:val="16"/>
        </w:rPr>
      </w:pPr>
      <w:r>
        <w:t xml:space="preserve">See also the Always Report and Review </w:t>
      </w:r>
      <w:r w:rsidR="008C0ED2">
        <w:t>l</w:t>
      </w:r>
      <w:r>
        <w:t xml:space="preserve">ist </w:t>
      </w:r>
      <w:r w:rsidR="00814490">
        <w:t>2021</w:t>
      </w:r>
      <w:r w:rsidR="00F97BFD">
        <w:t>–</w:t>
      </w:r>
      <w:r w:rsidR="00814490">
        <w:t xml:space="preserve">22, the Severity Assessment Code </w:t>
      </w:r>
      <w:r w:rsidR="009C72D1">
        <w:t>e</w:t>
      </w:r>
      <w:r w:rsidR="00814490">
        <w:t>xamples 2019</w:t>
      </w:r>
      <w:r w:rsidR="00F97BFD">
        <w:t>–</w:t>
      </w:r>
      <w:r w:rsidR="00814490">
        <w:t>20</w:t>
      </w:r>
      <w:r>
        <w:t xml:space="preserve"> and the </w:t>
      </w:r>
      <w:r w:rsidR="00AB4CC4">
        <w:t>Severity Assessment Code (</w:t>
      </w:r>
      <w:r>
        <w:t>SAC</w:t>
      </w:r>
      <w:r w:rsidR="00AB4CC4">
        <w:t>)</w:t>
      </w:r>
      <w:r>
        <w:t xml:space="preserve"> </w:t>
      </w:r>
      <w:r w:rsidR="009C72D1">
        <w:t>rating and triage tool for adverse event reporting</w:t>
      </w:r>
      <w:r w:rsidR="004E58CE">
        <w:t>.</w:t>
      </w:r>
      <w:r w:rsidR="00231417">
        <w:rPr>
          <w:rStyle w:val="FootnoteReference"/>
        </w:rPr>
        <w:footnoteReference w:id="1"/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7657"/>
        <w:gridCol w:w="49"/>
        <w:gridCol w:w="7605"/>
        <w:gridCol w:w="101"/>
      </w:tblGrid>
      <w:tr w:rsidR="005B1027" w:rsidRPr="00106847" w14:paraId="7972F229" w14:textId="77777777" w:rsidTr="000A6D91">
        <w:trPr>
          <w:gridAfter w:val="1"/>
          <w:wAfter w:w="101" w:type="dxa"/>
          <w:trHeight w:val="686"/>
        </w:trPr>
        <w:tc>
          <w:tcPr>
            <w:tcW w:w="7769" w:type="dxa"/>
            <w:gridSpan w:val="2"/>
            <w:shd w:val="clear" w:color="auto" w:fill="FF0000"/>
          </w:tcPr>
          <w:p w14:paraId="27BD4A0D" w14:textId="77777777" w:rsidR="005B1027" w:rsidRPr="00106847" w:rsidRDefault="008B7EA8">
            <w:pPr>
              <w:pStyle w:val="TableParagraph"/>
              <w:spacing w:before="62"/>
              <w:ind w:left="1591" w:right="1586" w:firstLine="0"/>
              <w:jc w:val="center"/>
              <w:rPr>
                <w:b/>
              </w:rPr>
            </w:pPr>
            <w:r w:rsidRPr="00106847">
              <w:rPr>
                <w:b/>
                <w:color w:val="FFFFFF"/>
              </w:rPr>
              <w:t>SAC 1</w:t>
            </w:r>
          </w:p>
          <w:p w14:paraId="23CEA7D2" w14:textId="77777777" w:rsidR="005B1027" w:rsidRPr="00106847" w:rsidRDefault="008B7EA8">
            <w:pPr>
              <w:pStyle w:val="TableParagraph"/>
              <w:spacing w:before="59"/>
              <w:ind w:left="1596" w:right="1586" w:firstLine="0"/>
              <w:jc w:val="center"/>
              <w:rPr>
                <w:b/>
              </w:rPr>
            </w:pPr>
            <w:r w:rsidRPr="00106847">
              <w:rPr>
                <w:b/>
                <w:color w:val="FFFFFF"/>
              </w:rPr>
              <w:t>Death or permanent severe loss of function</w:t>
            </w:r>
          </w:p>
        </w:tc>
        <w:tc>
          <w:tcPr>
            <w:tcW w:w="7654" w:type="dxa"/>
            <w:gridSpan w:val="2"/>
            <w:shd w:val="clear" w:color="auto" w:fill="FF9900"/>
          </w:tcPr>
          <w:p w14:paraId="4A08E7A0" w14:textId="77777777" w:rsidR="005B1027" w:rsidRPr="00106847" w:rsidRDefault="008B7EA8">
            <w:pPr>
              <w:pStyle w:val="TableParagraph"/>
              <w:spacing w:before="62"/>
              <w:ind w:left="969" w:right="960" w:firstLine="0"/>
              <w:jc w:val="center"/>
              <w:rPr>
                <w:b/>
              </w:rPr>
            </w:pPr>
            <w:r w:rsidRPr="00106847">
              <w:rPr>
                <w:b/>
                <w:color w:val="FFFFFF"/>
              </w:rPr>
              <w:t>SAC 2</w:t>
            </w:r>
          </w:p>
          <w:p w14:paraId="52AAB1C7" w14:textId="77777777" w:rsidR="005B1027" w:rsidRPr="00106847" w:rsidRDefault="008B7EA8">
            <w:pPr>
              <w:pStyle w:val="TableParagraph"/>
              <w:spacing w:before="59"/>
              <w:ind w:left="969" w:right="961" w:firstLine="0"/>
              <w:jc w:val="center"/>
              <w:rPr>
                <w:b/>
              </w:rPr>
            </w:pPr>
            <w:r w:rsidRPr="00106847">
              <w:rPr>
                <w:b/>
                <w:color w:val="FFFFFF"/>
              </w:rPr>
              <w:t>Permanent major or temporary severe loss of function</w:t>
            </w:r>
          </w:p>
        </w:tc>
      </w:tr>
      <w:tr w:rsidR="005B1027" w:rsidRPr="00106847" w14:paraId="77364B45" w14:textId="77777777" w:rsidTr="000A6D91">
        <w:trPr>
          <w:gridAfter w:val="1"/>
          <w:wAfter w:w="101" w:type="dxa"/>
          <w:trHeight w:val="77"/>
        </w:trPr>
        <w:tc>
          <w:tcPr>
            <w:tcW w:w="7769" w:type="dxa"/>
            <w:gridSpan w:val="2"/>
          </w:tcPr>
          <w:p w14:paraId="49C10B0D" w14:textId="3EDE03AC" w:rsidR="00C16A9D" w:rsidRPr="00C16A9D" w:rsidRDefault="00C0601B" w:rsidP="000E0EE8">
            <w:pPr>
              <w:numPr>
                <w:ilvl w:val="0"/>
                <w:numId w:val="4"/>
              </w:numPr>
              <w:spacing w:before="120" w:after="60"/>
              <w:ind w:right="235" w:hanging="357"/>
              <w:rPr>
                <w:rFonts w:asciiTheme="minorHAnsi" w:eastAsiaTheme="minorEastAsia" w:hAnsiTheme="minorHAnsi" w:cstheme="minorBidi"/>
                <w:color w:val="000000" w:themeColor="text1"/>
                <w:lang w:bidi="ar-SA"/>
              </w:rPr>
            </w:pPr>
            <w:r>
              <w:t>S</w:t>
            </w:r>
            <w:r w:rsidR="001D1238">
              <w:t>uspected s</w:t>
            </w:r>
            <w:r>
              <w:t xml:space="preserve">uicide by any </w:t>
            </w:r>
            <w:r w:rsidR="00FC5948">
              <w:t xml:space="preserve">consumer </w:t>
            </w:r>
            <w:r>
              <w:t xml:space="preserve">receiving care, </w:t>
            </w:r>
            <w:proofErr w:type="gramStart"/>
            <w:r w:rsidR="00C00151">
              <w:t>treatment</w:t>
            </w:r>
            <w:proofErr w:type="gramEnd"/>
            <w:r>
              <w:t xml:space="preserve"> and services in a continuous care setting or within 72 hours of discharge</w:t>
            </w:r>
            <w:r w:rsidR="005D4A9C">
              <w:t>;</w:t>
            </w:r>
            <w:r>
              <w:t xml:space="preserve"> includes approved and unapproved leave </w:t>
            </w:r>
            <w:r w:rsidRPr="00DE2D65">
              <w:t>status</w:t>
            </w:r>
          </w:p>
          <w:p w14:paraId="0DD1CAD1" w14:textId="7B5F8B7C" w:rsidR="007A7EC4" w:rsidRPr="002A6188" w:rsidRDefault="000937B5" w:rsidP="000E0EE8">
            <w:pPr>
              <w:widowControl/>
              <w:numPr>
                <w:ilvl w:val="0"/>
                <w:numId w:val="4"/>
              </w:numPr>
              <w:autoSpaceDE/>
              <w:autoSpaceDN/>
              <w:spacing w:after="60"/>
              <w:ind w:right="235" w:hanging="35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Suspected h</w:t>
            </w:r>
            <w:r w:rsidR="007A7EC4" w:rsidRPr="00C16A9D">
              <w:rPr>
                <w:rFonts w:eastAsia="Times New Roman"/>
                <w:color w:val="000000"/>
              </w:rPr>
              <w:t>omicide</w:t>
            </w:r>
            <w:r w:rsidR="007A7EC4" w:rsidRPr="002A6188">
              <w:rPr>
                <w:rFonts w:eastAsia="Times New Roman"/>
                <w:color w:val="000000"/>
              </w:rPr>
              <w:t xml:space="preserve"> by </w:t>
            </w:r>
            <w:r w:rsidR="006F6E27">
              <w:rPr>
                <w:rFonts w:eastAsia="Times New Roman"/>
                <w:color w:val="000000"/>
              </w:rPr>
              <w:t xml:space="preserve">a </w:t>
            </w:r>
            <w:r w:rsidR="00F638DC">
              <w:rPr>
                <w:rFonts w:eastAsia="Times New Roman"/>
                <w:color w:val="000000"/>
              </w:rPr>
              <w:t xml:space="preserve">current </w:t>
            </w:r>
            <w:r w:rsidR="00BA7AC6">
              <w:rPr>
                <w:rFonts w:eastAsia="Times New Roman"/>
                <w:color w:val="000000"/>
              </w:rPr>
              <w:t xml:space="preserve">MHA </w:t>
            </w:r>
            <w:r w:rsidR="004E58CE">
              <w:rPr>
                <w:rFonts w:eastAsia="Times New Roman"/>
                <w:color w:val="000000"/>
              </w:rPr>
              <w:t>consumer</w:t>
            </w:r>
            <w:r w:rsidR="00537BD6">
              <w:rPr>
                <w:rFonts w:eastAsia="Times New Roman"/>
                <w:color w:val="000000"/>
              </w:rPr>
              <w:t xml:space="preserve"> </w:t>
            </w:r>
            <w:r w:rsidR="00F638DC">
              <w:rPr>
                <w:rFonts w:eastAsia="Times New Roman"/>
                <w:color w:val="000000"/>
              </w:rPr>
              <w:t xml:space="preserve">or </w:t>
            </w:r>
            <w:r w:rsidR="007A7EC4" w:rsidRPr="002A6188">
              <w:rPr>
                <w:rFonts w:eastAsia="Times New Roman"/>
                <w:color w:val="000000"/>
              </w:rPr>
              <w:t>within 28 days of discharge from</w:t>
            </w:r>
            <w:r w:rsidR="00D36C67">
              <w:rPr>
                <w:rFonts w:eastAsia="Times New Roman"/>
                <w:color w:val="000000"/>
              </w:rPr>
              <w:t xml:space="preserve"> </w:t>
            </w:r>
            <w:r w:rsidR="0049444B">
              <w:rPr>
                <w:rFonts w:eastAsia="Times New Roman"/>
                <w:color w:val="000000"/>
              </w:rPr>
              <w:t>a</w:t>
            </w:r>
            <w:r w:rsidR="00981764">
              <w:rPr>
                <w:rFonts w:eastAsia="Times New Roman"/>
                <w:color w:val="000000"/>
              </w:rPr>
              <w:t>n</w:t>
            </w:r>
            <w:r w:rsidR="0049444B">
              <w:rPr>
                <w:rFonts w:eastAsia="Times New Roman"/>
                <w:color w:val="000000"/>
              </w:rPr>
              <w:t xml:space="preserve"> MHA </w:t>
            </w:r>
            <w:r w:rsidR="007A7EC4" w:rsidRPr="002A6188">
              <w:rPr>
                <w:rFonts w:eastAsia="Times New Roman"/>
                <w:color w:val="000000"/>
              </w:rPr>
              <w:t>service</w:t>
            </w:r>
          </w:p>
          <w:p w14:paraId="445E6647" w14:textId="7CE86E7C" w:rsidR="002A6188" w:rsidRPr="0042398A" w:rsidRDefault="5556D0E2" w:rsidP="000E0EE8">
            <w:pPr>
              <w:widowControl/>
              <w:numPr>
                <w:ilvl w:val="0"/>
                <w:numId w:val="4"/>
              </w:numPr>
              <w:autoSpaceDE/>
              <w:autoSpaceDN/>
              <w:spacing w:after="60"/>
              <w:ind w:right="235" w:hanging="357"/>
              <w:rPr>
                <w:rFonts w:eastAsia="Times New Roman"/>
                <w:color w:val="000000"/>
              </w:rPr>
            </w:pPr>
            <w:r w:rsidRPr="02476083">
              <w:rPr>
                <w:rFonts w:eastAsia="Times New Roman"/>
                <w:color w:val="000000" w:themeColor="text1"/>
              </w:rPr>
              <w:t>Medication or treatment plan error</w:t>
            </w:r>
            <w:r w:rsidR="00171AED">
              <w:rPr>
                <w:rFonts w:eastAsia="Times New Roman"/>
                <w:color w:val="000000" w:themeColor="text1"/>
              </w:rPr>
              <w:t xml:space="preserve"> </w:t>
            </w:r>
            <w:r w:rsidRPr="02476083">
              <w:rPr>
                <w:rFonts w:eastAsia="Times New Roman"/>
                <w:color w:val="000000" w:themeColor="text1"/>
              </w:rPr>
              <w:t>resulting in death</w:t>
            </w:r>
          </w:p>
          <w:p w14:paraId="74868E07" w14:textId="45EDC43A" w:rsidR="002A6188" w:rsidRPr="0082597A" w:rsidRDefault="002A6188" w:rsidP="000E0EE8">
            <w:pPr>
              <w:widowControl/>
              <w:numPr>
                <w:ilvl w:val="0"/>
                <w:numId w:val="4"/>
              </w:numPr>
              <w:autoSpaceDE/>
              <w:autoSpaceDN/>
              <w:spacing w:after="60"/>
              <w:ind w:right="235" w:hanging="357"/>
              <w:rPr>
                <w:rFonts w:eastAsia="Times New Roman"/>
                <w:color w:val="000000"/>
              </w:rPr>
            </w:pPr>
            <w:r w:rsidRPr="0082597A">
              <w:rPr>
                <w:rFonts w:eastAsia="Times New Roman"/>
                <w:color w:val="000000" w:themeColor="text1"/>
              </w:rPr>
              <w:t xml:space="preserve">Delayed recognition of </w:t>
            </w:r>
            <w:r w:rsidR="00B364D4">
              <w:rPr>
                <w:rFonts w:eastAsia="Times New Roman"/>
                <w:color w:val="000000" w:themeColor="text1"/>
              </w:rPr>
              <w:t xml:space="preserve">a </w:t>
            </w:r>
            <w:r w:rsidR="00AF630B">
              <w:rPr>
                <w:rFonts w:eastAsia="Times New Roman"/>
                <w:color w:val="000000" w:themeColor="text1"/>
              </w:rPr>
              <w:t>consumer</w:t>
            </w:r>
            <w:r w:rsidR="00B364D4">
              <w:rPr>
                <w:rFonts w:eastAsia="Times New Roman"/>
                <w:color w:val="000000" w:themeColor="text1"/>
              </w:rPr>
              <w:t>’s</w:t>
            </w:r>
            <w:r w:rsidR="00AF630B">
              <w:rPr>
                <w:rFonts w:eastAsia="Times New Roman"/>
                <w:color w:val="000000" w:themeColor="text1"/>
              </w:rPr>
              <w:t xml:space="preserve"> </w:t>
            </w:r>
            <w:r w:rsidRPr="0082597A">
              <w:rPr>
                <w:rFonts w:eastAsia="Times New Roman"/>
                <w:color w:val="000000" w:themeColor="text1"/>
              </w:rPr>
              <w:t>deterioration resulting in permanent</w:t>
            </w:r>
            <w:r w:rsidR="0E91AF68" w:rsidRPr="0082597A">
              <w:rPr>
                <w:rFonts w:eastAsia="Times New Roman"/>
                <w:color w:val="000000" w:themeColor="text1"/>
              </w:rPr>
              <w:t xml:space="preserve"> severe</w:t>
            </w:r>
            <w:r w:rsidRPr="0082597A">
              <w:rPr>
                <w:rFonts w:eastAsia="Times New Roman"/>
                <w:color w:val="000000" w:themeColor="text1"/>
              </w:rPr>
              <w:t xml:space="preserve"> disability or death </w:t>
            </w:r>
            <w:r w:rsidR="00DE2BCB" w:rsidRPr="0082597A">
              <w:rPr>
                <w:rFonts w:eastAsia="Times New Roman"/>
                <w:color w:val="000000" w:themeColor="text1"/>
              </w:rPr>
              <w:t>(</w:t>
            </w:r>
            <w:proofErr w:type="spellStart"/>
            <w:r w:rsidRPr="0082597A">
              <w:rPr>
                <w:rFonts w:eastAsia="Times New Roman"/>
                <w:color w:val="000000" w:themeColor="text1"/>
              </w:rPr>
              <w:t>eg</w:t>
            </w:r>
            <w:proofErr w:type="spellEnd"/>
            <w:r w:rsidR="001409E2" w:rsidRPr="0082597A">
              <w:rPr>
                <w:rFonts w:eastAsia="Times New Roman"/>
                <w:color w:val="000000" w:themeColor="text1"/>
              </w:rPr>
              <w:t>,</w:t>
            </w:r>
            <w:r w:rsidRPr="0082597A">
              <w:rPr>
                <w:rFonts w:eastAsia="Times New Roman"/>
                <w:color w:val="000000" w:themeColor="text1"/>
              </w:rPr>
              <w:t xml:space="preserve"> cardiomyopathy, myocarditis </w:t>
            </w:r>
            <w:r w:rsidR="00385609" w:rsidRPr="0082597A">
              <w:rPr>
                <w:rFonts w:eastAsia="Times New Roman"/>
                <w:color w:val="000000" w:themeColor="text1"/>
              </w:rPr>
              <w:t xml:space="preserve">or toxic megacolon </w:t>
            </w:r>
            <w:r w:rsidRPr="0082597A">
              <w:rPr>
                <w:rFonts w:eastAsia="Times New Roman"/>
                <w:color w:val="000000" w:themeColor="text1"/>
              </w:rPr>
              <w:t xml:space="preserve">while taking </w:t>
            </w:r>
            <w:r w:rsidR="00E653BE" w:rsidRPr="0082597A">
              <w:rPr>
                <w:rFonts w:eastAsia="Times New Roman"/>
                <w:color w:val="000000" w:themeColor="text1"/>
              </w:rPr>
              <w:t>c</w:t>
            </w:r>
            <w:r w:rsidRPr="0082597A">
              <w:rPr>
                <w:rFonts w:eastAsia="Times New Roman"/>
                <w:color w:val="000000" w:themeColor="text1"/>
              </w:rPr>
              <w:t>lozapine</w:t>
            </w:r>
            <w:r w:rsidR="00DE2BCB" w:rsidRPr="0082597A">
              <w:rPr>
                <w:rFonts w:eastAsia="Times New Roman"/>
                <w:color w:val="000000" w:themeColor="text1"/>
              </w:rPr>
              <w:t>)</w:t>
            </w:r>
          </w:p>
          <w:p w14:paraId="69039362" w14:textId="663FA2B7" w:rsidR="00C92C1F" w:rsidRPr="0082597A" w:rsidRDefault="00C1282A" w:rsidP="002E212A">
            <w:pPr>
              <w:widowControl/>
              <w:numPr>
                <w:ilvl w:val="0"/>
                <w:numId w:val="4"/>
              </w:numPr>
              <w:autoSpaceDE/>
              <w:autoSpaceDN/>
              <w:spacing w:before="80" w:after="80"/>
              <w:ind w:right="235" w:hanging="357"/>
              <w:rPr>
                <w:rFonts w:eastAsia="Times New Roman"/>
                <w:color w:val="000000"/>
              </w:rPr>
            </w:pPr>
            <w:r w:rsidRPr="0082597A">
              <w:rPr>
                <w:rFonts w:eastAsia="Times New Roman"/>
                <w:color w:val="000000" w:themeColor="text1"/>
              </w:rPr>
              <w:t xml:space="preserve">Unexpected death of </w:t>
            </w:r>
            <w:r w:rsidR="00B364D4">
              <w:rPr>
                <w:rFonts w:eastAsia="Times New Roman"/>
                <w:color w:val="000000" w:themeColor="text1"/>
              </w:rPr>
              <w:t xml:space="preserve">a </w:t>
            </w:r>
            <w:r w:rsidR="004E260E" w:rsidRPr="0082597A">
              <w:rPr>
                <w:rFonts w:eastAsia="Times New Roman"/>
                <w:color w:val="000000" w:themeColor="text1"/>
              </w:rPr>
              <w:t>consumer due to long</w:t>
            </w:r>
            <w:r w:rsidR="004D1DC0">
              <w:rPr>
                <w:rFonts w:eastAsia="Times New Roman"/>
                <w:color w:val="000000" w:themeColor="text1"/>
              </w:rPr>
              <w:t>-</w:t>
            </w:r>
            <w:r w:rsidR="004E260E" w:rsidRPr="0082597A">
              <w:rPr>
                <w:rFonts w:eastAsia="Times New Roman"/>
                <w:color w:val="000000" w:themeColor="text1"/>
              </w:rPr>
              <w:t>term side effects of medication</w:t>
            </w:r>
            <w:r w:rsidR="007E7D81" w:rsidRPr="0082597A">
              <w:rPr>
                <w:rFonts w:eastAsia="Times New Roman"/>
                <w:color w:val="000000" w:themeColor="text1"/>
              </w:rPr>
              <w:t xml:space="preserve"> </w:t>
            </w:r>
            <w:r w:rsidR="00157FD9" w:rsidRPr="0082597A">
              <w:rPr>
                <w:rFonts w:eastAsia="Times New Roman"/>
                <w:color w:val="000000" w:themeColor="text1"/>
              </w:rPr>
              <w:t>(</w:t>
            </w:r>
            <w:proofErr w:type="spellStart"/>
            <w:r w:rsidR="007E7D81" w:rsidRPr="0082597A">
              <w:rPr>
                <w:rFonts w:eastAsia="Times New Roman"/>
                <w:color w:val="000000" w:themeColor="text1"/>
              </w:rPr>
              <w:t>eg</w:t>
            </w:r>
            <w:proofErr w:type="spellEnd"/>
            <w:r w:rsidR="0082597A">
              <w:rPr>
                <w:rFonts w:eastAsia="Times New Roman"/>
                <w:color w:val="000000" w:themeColor="text1"/>
              </w:rPr>
              <w:t xml:space="preserve">, </w:t>
            </w:r>
            <w:r w:rsidR="00C84DD4" w:rsidRPr="0082597A">
              <w:rPr>
                <w:rFonts w:eastAsia="Times New Roman"/>
                <w:color w:val="000000" w:themeColor="text1"/>
              </w:rPr>
              <w:t>cardiovascular disease secondary to metabolic syndrome in a consumer in their 30s or 40s</w:t>
            </w:r>
            <w:r w:rsidR="00833941">
              <w:rPr>
                <w:rFonts w:eastAsia="Times New Roman"/>
                <w:color w:val="000000" w:themeColor="text1"/>
              </w:rPr>
              <w:t>)</w:t>
            </w:r>
          </w:p>
          <w:p w14:paraId="60FE14D2" w14:textId="77777777" w:rsidR="005B1027" w:rsidRDefault="005B1027" w:rsidP="00C92C1F">
            <w:pPr>
              <w:widowControl/>
              <w:autoSpaceDE/>
              <w:autoSpaceDN/>
              <w:spacing w:before="100" w:beforeAutospacing="1" w:after="100" w:afterAutospacing="1"/>
              <w:ind w:left="465" w:right="242"/>
            </w:pPr>
          </w:p>
          <w:p w14:paraId="39877FE8" w14:textId="77777777" w:rsidR="006C1E4D" w:rsidRPr="006C1E4D" w:rsidRDefault="006C1E4D" w:rsidP="006C1E4D"/>
          <w:p w14:paraId="01AFB72C" w14:textId="77777777" w:rsidR="006C1E4D" w:rsidRPr="006C1E4D" w:rsidRDefault="006C1E4D" w:rsidP="006C1E4D"/>
          <w:p w14:paraId="62746423" w14:textId="77777777" w:rsidR="006C1E4D" w:rsidRPr="006C1E4D" w:rsidRDefault="006C1E4D" w:rsidP="006C1E4D"/>
          <w:p w14:paraId="493A05B8" w14:textId="4D12B9F2" w:rsidR="006C1E4D" w:rsidRPr="006C1E4D" w:rsidRDefault="006C1E4D" w:rsidP="006C1E4D">
            <w:pPr>
              <w:jc w:val="center"/>
            </w:pPr>
          </w:p>
        </w:tc>
        <w:tc>
          <w:tcPr>
            <w:tcW w:w="7654" w:type="dxa"/>
            <w:gridSpan w:val="2"/>
          </w:tcPr>
          <w:p w14:paraId="51FA4BFE" w14:textId="56FBC37A" w:rsidR="001409E2" w:rsidRDefault="001409E2" w:rsidP="000E0EE8">
            <w:pPr>
              <w:numPr>
                <w:ilvl w:val="0"/>
                <w:numId w:val="4"/>
              </w:numPr>
              <w:spacing w:before="80" w:after="60"/>
              <w:ind w:right="235"/>
              <w:rPr>
                <w:rFonts w:asciiTheme="minorHAnsi" w:eastAsiaTheme="minorEastAsia" w:hAnsiTheme="minorHAnsi" w:cstheme="minorBidi"/>
                <w:color w:val="000000" w:themeColor="text1"/>
                <w:lang w:bidi="ar-SA"/>
              </w:rPr>
            </w:pPr>
            <w:r w:rsidRPr="2BE7A789">
              <w:rPr>
                <w:rFonts w:eastAsia="Times New Roman"/>
                <w:color w:val="000000" w:themeColor="text1"/>
              </w:rPr>
              <w:t xml:space="preserve">Suspected suicide by </w:t>
            </w:r>
            <w:r w:rsidR="00BD3FF3">
              <w:rPr>
                <w:rFonts w:eastAsia="Times New Roman"/>
                <w:color w:val="000000" w:themeColor="text1"/>
              </w:rPr>
              <w:t>a</w:t>
            </w:r>
            <w:r w:rsidR="00981764">
              <w:rPr>
                <w:rFonts w:eastAsia="Times New Roman"/>
                <w:color w:val="000000" w:themeColor="text1"/>
              </w:rPr>
              <w:t>n</w:t>
            </w:r>
            <w:r w:rsidR="00BD3FF3">
              <w:rPr>
                <w:rFonts w:eastAsia="Times New Roman"/>
                <w:color w:val="000000" w:themeColor="text1"/>
              </w:rPr>
              <w:t xml:space="preserve"> </w:t>
            </w:r>
            <w:r w:rsidR="00A36796">
              <w:rPr>
                <w:rFonts w:eastAsia="Times New Roman"/>
                <w:color w:val="000000" w:themeColor="text1"/>
              </w:rPr>
              <w:t xml:space="preserve">MHA </w:t>
            </w:r>
            <w:r w:rsidR="00FC5948">
              <w:rPr>
                <w:rFonts w:eastAsia="Times New Roman"/>
                <w:color w:val="000000" w:themeColor="text1"/>
              </w:rPr>
              <w:t xml:space="preserve">consumer </w:t>
            </w:r>
            <w:r w:rsidRPr="2BE7A789">
              <w:rPr>
                <w:rFonts w:eastAsia="Times New Roman"/>
                <w:color w:val="000000" w:themeColor="text1"/>
              </w:rPr>
              <w:t>within 72</w:t>
            </w:r>
            <w:r w:rsidR="00191669" w:rsidRPr="2BE7A789">
              <w:rPr>
                <w:rFonts w:eastAsia="Times New Roman"/>
                <w:color w:val="000000" w:themeColor="text1"/>
              </w:rPr>
              <w:t xml:space="preserve"> </w:t>
            </w:r>
            <w:r w:rsidRPr="2BE7A789">
              <w:rPr>
                <w:rFonts w:eastAsia="Times New Roman"/>
                <w:color w:val="000000" w:themeColor="text1"/>
              </w:rPr>
              <w:t>h</w:t>
            </w:r>
            <w:r w:rsidR="00191669" w:rsidRPr="2BE7A789">
              <w:rPr>
                <w:rFonts w:eastAsia="Times New Roman"/>
                <w:color w:val="000000" w:themeColor="text1"/>
              </w:rPr>
              <w:t>ours</w:t>
            </w:r>
            <w:r w:rsidRPr="2BE7A789">
              <w:rPr>
                <w:rFonts w:eastAsia="Times New Roman"/>
                <w:color w:val="000000" w:themeColor="text1"/>
              </w:rPr>
              <w:t xml:space="preserve"> of attending </w:t>
            </w:r>
            <w:r w:rsidR="00191669" w:rsidRPr="2BE7A789">
              <w:rPr>
                <w:rFonts w:eastAsia="Times New Roman"/>
                <w:color w:val="000000" w:themeColor="text1"/>
              </w:rPr>
              <w:t xml:space="preserve">the </w:t>
            </w:r>
            <w:r w:rsidR="00A168F7" w:rsidRPr="2BE7A789">
              <w:rPr>
                <w:rFonts w:eastAsia="Times New Roman"/>
                <w:color w:val="000000" w:themeColor="text1"/>
              </w:rPr>
              <w:t>emergency d</w:t>
            </w:r>
            <w:r w:rsidR="00191669" w:rsidRPr="2BE7A789">
              <w:rPr>
                <w:rFonts w:eastAsia="Times New Roman"/>
                <w:color w:val="000000" w:themeColor="text1"/>
              </w:rPr>
              <w:t>epartment</w:t>
            </w:r>
            <w:r w:rsidR="00F51961">
              <w:rPr>
                <w:rFonts w:eastAsia="Times New Roman"/>
                <w:color w:val="000000" w:themeColor="text1"/>
              </w:rPr>
              <w:t xml:space="preserve"> (ED)</w:t>
            </w:r>
            <w:r w:rsidRPr="2BE7A789">
              <w:rPr>
                <w:rFonts w:eastAsia="Times New Roman"/>
                <w:color w:val="000000" w:themeColor="text1"/>
              </w:rPr>
              <w:t xml:space="preserve">, whatever the presentation at ED </w:t>
            </w:r>
          </w:p>
          <w:p w14:paraId="0A423B8C" w14:textId="4487D37D" w:rsidR="001409E2" w:rsidRDefault="0092051D" w:rsidP="000E0EE8">
            <w:pPr>
              <w:numPr>
                <w:ilvl w:val="0"/>
                <w:numId w:val="4"/>
              </w:numPr>
              <w:spacing w:after="40"/>
              <w:ind w:right="235"/>
              <w:rPr>
                <w:rFonts w:asciiTheme="minorHAnsi" w:eastAsiaTheme="minorEastAsia" w:hAnsiTheme="minorHAnsi" w:cstheme="minorBidi"/>
                <w:color w:val="000000" w:themeColor="text1"/>
                <w:lang w:bidi="ar-SA"/>
              </w:rPr>
            </w:pPr>
            <w:r>
              <w:rPr>
                <w:rFonts w:eastAsia="Times New Roman"/>
                <w:color w:val="000000" w:themeColor="text1"/>
              </w:rPr>
              <w:t>Suspected suicide or s</w:t>
            </w:r>
            <w:r w:rsidR="001409E2" w:rsidRPr="7D27ACA6">
              <w:rPr>
                <w:rFonts w:eastAsia="Times New Roman"/>
                <w:color w:val="000000" w:themeColor="text1"/>
              </w:rPr>
              <w:t xml:space="preserve">erious self-harm by </w:t>
            </w:r>
            <w:r w:rsidR="00B364D4">
              <w:rPr>
                <w:rFonts w:eastAsia="Times New Roman"/>
                <w:color w:val="000000" w:themeColor="text1"/>
              </w:rPr>
              <w:t xml:space="preserve">a </w:t>
            </w:r>
            <w:r w:rsidR="001409E2" w:rsidRPr="7D27ACA6">
              <w:rPr>
                <w:rFonts w:eastAsia="Times New Roman"/>
                <w:color w:val="000000" w:themeColor="text1"/>
              </w:rPr>
              <w:t xml:space="preserve">community </w:t>
            </w:r>
            <w:r w:rsidR="009307EF">
              <w:rPr>
                <w:rFonts w:eastAsia="Times New Roman"/>
                <w:color w:val="000000" w:themeColor="text1"/>
              </w:rPr>
              <w:t>MHA</w:t>
            </w:r>
            <w:r w:rsidR="001409E2" w:rsidRPr="7D27ACA6">
              <w:rPr>
                <w:rFonts w:eastAsia="Times New Roman"/>
                <w:color w:val="000000" w:themeColor="text1"/>
              </w:rPr>
              <w:t xml:space="preserve"> </w:t>
            </w:r>
            <w:r w:rsidR="00265739">
              <w:rPr>
                <w:rFonts w:eastAsia="Times New Roman"/>
                <w:color w:val="000000" w:themeColor="text1"/>
              </w:rPr>
              <w:t>consumer</w:t>
            </w:r>
            <w:r w:rsidR="001409E2" w:rsidRPr="7D27ACA6">
              <w:rPr>
                <w:rFonts w:eastAsia="Times New Roman"/>
                <w:color w:val="000000" w:themeColor="text1"/>
              </w:rPr>
              <w:t xml:space="preserve"> or within 28 days of discharge from </w:t>
            </w:r>
            <w:r w:rsidR="00CB44BD">
              <w:rPr>
                <w:rFonts w:eastAsia="Times New Roman"/>
                <w:color w:val="000000" w:themeColor="text1"/>
              </w:rPr>
              <w:t xml:space="preserve">a </w:t>
            </w:r>
            <w:r w:rsidR="000E5FA8">
              <w:rPr>
                <w:rFonts w:eastAsia="Times New Roman"/>
                <w:color w:val="000000" w:themeColor="text1"/>
              </w:rPr>
              <w:t xml:space="preserve">community </w:t>
            </w:r>
            <w:r w:rsidR="00E359B2">
              <w:rPr>
                <w:rFonts w:eastAsia="Times New Roman"/>
                <w:color w:val="000000" w:themeColor="text1"/>
              </w:rPr>
              <w:t>(secondary or specialist services)</w:t>
            </w:r>
            <w:r w:rsidR="00E359B2" w:rsidRPr="7D27ACA6">
              <w:rPr>
                <w:rFonts w:eastAsia="Times New Roman"/>
                <w:color w:val="000000" w:themeColor="text1"/>
              </w:rPr>
              <w:t xml:space="preserve"> </w:t>
            </w:r>
            <w:r w:rsidR="00085173">
              <w:rPr>
                <w:rFonts w:eastAsia="Times New Roman"/>
                <w:color w:val="000000" w:themeColor="text1"/>
              </w:rPr>
              <w:t>MHA</w:t>
            </w:r>
            <w:r w:rsidR="00CB44BD">
              <w:rPr>
                <w:rFonts w:eastAsia="Times New Roman"/>
                <w:color w:val="000000" w:themeColor="text1"/>
              </w:rPr>
              <w:t xml:space="preserve"> </w:t>
            </w:r>
            <w:r w:rsidR="001409E2" w:rsidRPr="7D27ACA6">
              <w:rPr>
                <w:rFonts w:eastAsia="Times New Roman"/>
                <w:color w:val="000000" w:themeColor="text1"/>
              </w:rPr>
              <w:t>service</w:t>
            </w:r>
            <w:r w:rsidR="00862B8B">
              <w:rPr>
                <w:rFonts w:eastAsia="Times New Roman"/>
                <w:color w:val="000000" w:themeColor="text1"/>
              </w:rPr>
              <w:t xml:space="preserve"> </w:t>
            </w:r>
          </w:p>
          <w:p w14:paraId="29F32F65" w14:textId="29C943E5" w:rsidR="00C3221F" w:rsidRPr="00C3221F" w:rsidRDefault="00DE2D65" w:rsidP="000E0EE8">
            <w:pPr>
              <w:numPr>
                <w:ilvl w:val="0"/>
                <w:numId w:val="4"/>
              </w:numPr>
              <w:spacing w:after="40"/>
              <w:ind w:right="235"/>
              <w:rPr>
                <w:rFonts w:eastAsia="Times New Roman"/>
                <w:color w:val="000000"/>
              </w:rPr>
            </w:pPr>
            <w:r>
              <w:t xml:space="preserve">Serious self-harm by any </w:t>
            </w:r>
            <w:r w:rsidR="00206299">
              <w:t>consumer</w:t>
            </w:r>
            <w:r>
              <w:t xml:space="preserve"> receiving care, </w:t>
            </w:r>
            <w:r w:rsidR="00C00151">
              <w:t>treatment</w:t>
            </w:r>
            <w:r>
              <w:t xml:space="preserve"> and services in a continuous care setting or within 72 hours of discharge, including from the </w:t>
            </w:r>
            <w:r w:rsidR="00085173">
              <w:t>ED</w:t>
            </w:r>
            <w:r>
              <w:t xml:space="preserve">; includes approved and unapproved leave status </w:t>
            </w:r>
          </w:p>
          <w:p w14:paraId="716DFEBE" w14:textId="1386FCFC" w:rsidR="002A6188" w:rsidRPr="00283BC6" w:rsidRDefault="00191669" w:rsidP="000E0EE8">
            <w:pPr>
              <w:numPr>
                <w:ilvl w:val="0"/>
                <w:numId w:val="4"/>
              </w:numPr>
              <w:spacing w:after="40"/>
              <w:ind w:right="235"/>
              <w:rPr>
                <w:rFonts w:eastAsia="Times New Roman"/>
                <w:color w:val="000000"/>
              </w:rPr>
            </w:pPr>
            <w:r w:rsidRPr="2BE7A789">
              <w:rPr>
                <w:rFonts w:eastAsia="Times New Roman"/>
                <w:color w:val="000000" w:themeColor="text1"/>
              </w:rPr>
              <w:t>Serious p</w:t>
            </w:r>
            <w:r w:rsidR="516AD4FA" w:rsidRPr="2BE7A789">
              <w:rPr>
                <w:rFonts w:eastAsia="Times New Roman"/>
                <w:color w:val="000000" w:themeColor="text1"/>
              </w:rPr>
              <w:t>hysical harm</w:t>
            </w:r>
            <w:r w:rsidR="00A42CC7">
              <w:rPr>
                <w:rFonts w:eastAsia="Times New Roman"/>
                <w:color w:val="000000" w:themeColor="text1"/>
              </w:rPr>
              <w:t xml:space="preserve"> (</w:t>
            </w:r>
            <w:proofErr w:type="spellStart"/>
            <w:r w:rsidR="00A42CC7" w:rsidRPr="2BE7A789">
              <w:rPr>
                <w:rFonts w:eastAsia="Times New Roman"/>
                <w:color w:val="000000" w:themeColor="text1"/>
              </w:rPr>
              <w:t>eg</w:t>
            </w:r>
            <w:proofErr w:type="spellEnd"/>
            <w:r w:rsidR="00A42CC7" w:rsidRPr="2BE7A789">
              <w:rPr>
                <w:rFonts w:eastAsia="Times New Roman"/>
                <w:color w:val="000000" w:themeColor="text1"/>
              </w:rPr>
              <w:t>, fracture</w:t>
            </w:r>
            <w:r w:rsidR="00A42CC7">
              <w:rPr>
                <w:rFonts w:eastAsia="Times New Roman"/>
                <w:color w:val="000000" w:themeColor="text1"/>
              </w:rPr>
              <w:t>)</w:t>
            </w:r>
            <w:r w:rsidR="516AD4FA" w:rsidRPr="2BE7A789">
              <w:rPr>
                <w:rFonts w:eastAsia="Times New Roman"/>
                <w:color w:val="000000" w:themeColor="text1"/>
              </w:rPr>
              <w:t xml:space="preserve"> </w:t>
            </w:r>
            <w:r w:rsidR="0029462D">
              <w:rPr>
                <w:rFonts w:eastAsia="Times New Roman"/>
                <w:color w:val="000000" w:themeColor="text1"/>
              </w:rPr>
              <w:t xml:space="preserve">to </w:t>
            </w:r>
            <w:r w:rsidR="00B364D4">
              <w:rPr>
                <w:rFonts w:eastAsia="Times New Roman"/>
                <w:color w:val="000000" w:themeColor="text1"/>
              </w:rPr>
              <w:t>a</w:t>
            </w:r>
            <w:r w:rsidR="00981764">
              <w:rPr>
                <w:rFonts w:eastAsia="Times New Roman"/>
                <w:color w:val="000000" w:themeColor="text1"/>
              </w:rPr>
              <w:t>n</w:t>
            </w:r>
            <w:r w:rsidR="00B364D4">
              <w:rPr>
                <w:rFonts w:eastAsia="Times New Roman"/>
                <w:color w:val="000000" w:themeColor="text1"/>
              </w:rPr>
              <w:t xml:space="preserve"> </w:t>
            </w:r>
            <w:r w:rsidR="0029462D">
              <w:rPr>
                <w:rFonts w:eastAsia="Times New Roman"/>
                <w:color w:val="000000" w:themeColor="text1"/>
              </w:rPr>
              <w:t xml:space="preserve">MHA consumer </w:t>
            </w:r>
            <w:r w:rsidR="095A3DB5" w:rsidRPr="2BE7A789">
              <w:rPr>
                <w:rFonts w:eastAsia="Times New Roman"/>
                <w:color w:val="000000" w:themeColor="text1"/>
              </w:rPr>
              <w:t>resulting from high</w:t>
            </w:r>
            <w:r w:rsidR="00F10CFC">
              <w:rPr>
                <w:rFonts w:eastAsia="Times New Roman"/>
                <w:color w:val="000000" w:themeColor="text1"/>
              </w:rPr>
              <w:t>-</w:t>
            </w:r>
            <w:r w:rsidR="095A3DB5" w:rsidRPr="2BE7A789">
              <w:rPr>
                <w:rFonts w:eastAsia="Times New Roman"/>
                <w:color w:val="000000" w:themeColor="text1"/>
              </w:rPr>
              <w:t xml:space="preserve">risk </w:t>
            </w:r>
            <w:r w:rsidRPr="2BE7A789">
              <w:rPr>
                <w:rFonts w:eastAsia="Times New Roman"/>
                <w:color w:val="000000" w:themeColor="text1"/>
              </w:rPr>
              <w:t>behavio</w:t>
            </w:r>
            <w:r w:rsidR="00385609">
              <w:rPr>
                <w:rFonts w:eastAsia="Times New Roman"/>
                <w:color w:val="000000" w:themeColor="text1"/>
              </w:rPr>
              <w:t>u</w:t>
            </w:r>
            <w:r w:rsidRPr="2BE7A789">
              <w:rPr>
                <w:rFonts w:eastAsia="Times New Roman"/>
                <w:color w:val="000000" w:themeColor="text1"/>
              </w:rPr>
              <w:t xml:space="preserve">r </w:t>
            </w:r>
            <w:r w:rsidR="04F2B2F4" w:rsidRPr="2BE7A789">
              <w:rPr>
                <w:rFonts w:eastAsia="Times New Roman"/>
                <w:color w:val="000000" w:themeColor="text1"/>
              </w:rPr>
              <w:t>associated with</w:t>
            </w:r>
            <w:r w:rsidR="00B364D4">
              <w:rPr>
                <w:rFonts w:eastAsia="Times New Roman"/>
                <w:color w:val="000000" w:themeColor="text1"/>
              </w:rPr>
              <w:t xml:space="preserve"> a</w:t>
            </w:r>
            <w:r w:rsidR="04F2B2F4" w:rsidRPr="2BE7A789">
              <w:rPr>
                <w:rFonts w:eastAsia="Times New Roman"/>
                <w:color w:val="000000" w:themeColor="text1"/>
              </w:rPr>
              <w:t xml:space="preserve"> mental disorder </w:t>
            </w:r>
          </w:p>
          <w:p w14:paraId="23D2C30D" w14:textId="3CA404F9" w:rsidR="00C92C1F" w:rsidRPr="00C92C1F" w:rsidRDefault="00283BC6" w:rsidP="000E0EE8">
            <w:pPr>
              <w:numPr>
                <w:ilvl w:val="0"/>
                <w:numId w:val="4"/>
              </w:numPr>
              <w:spacing w:after="40"/>
              <w:ind w:right="235"/>
              <w:rPr>
                <w:rFonts w:eastAsia="Times New Roman"/>
                <w:color w:val="000000"/>
              </w:rPr>
            </w:pPr>
            <w:r w:rsidRPr="002464D6">
              <w:rPr>
                <w:rFonts w:eastAsia="Times New Roman"/>
                <w:color w:val="000000" w:themeColor="text1"/>
              </w:rPr>
              <w:t>Assault by a</w:t>
            </w:r>
            <w:r w:rsidR="00981764">
              <w:rPr>
                <w:rFonts w:eastAsia="Times New Roman"/>
                <w:color w:val="000000" w:themeColor="text1"/>
              </w:rPr>
              <w:t>n</w:t>
            </w:r>
            <w:r w:rsidRPr="002464D6">
              <w:rPr>
                <w:rFonts w:eastAsia="Times New Roman"/>
                <w:color w:val="000000" w:themeColor="text1"/>
              </w:rPr>
              <w:t xml:space="preserve"> </w:t>
            </w:r>
            <w:r w:rsidR="00897360">
              <w:rPr>
                <w:rFonts w:eastAsia="Times New Roman"/>
                <w:color w:val="000000" w:themeColor="text1"/>
              </w:rPr>
              <w:t>MHA</w:t>
            </w:r>
            <w:r w:rsidR="00142549">
              <w:rPr>
                <w:rFonts w:eastAsia="Times New Roman"/>
                <w:color w:val="000000" w:themeColor="text1"/>
              </w:rPr>
              <w:t xml:space="preserve"> </w:t>
            </w:r>
            <w:r w:rsidR="0029462D">
              <w:rPr>
                <w:rFonts w:eastAsia="Times New Roman"/>
                <w:color w:val="000000" w:themeColor="text1"/>
              </w:rPr>
              <w:t>(secondary or specialist services)</w:t>
            </w:r>
            <w:r w:rsidR="0029462D" w:rsidRPr="7D27ACA6">
              <w:rPr>
                <w:rFonts w:eastAsia="Times New Roman"/>
                <w:color w:val="000000" w:themeColor="text1"/>
              </w:rPr>
              <w:t xml:space="preserve"> </w:t>
            </w:r>
            <w:r w:rsidR="008829F0">
              <w:rPr>
                <w:rFonts w:eastAsia="Times New Roman"/>
                <w:color w:val="000000" w:themeColor="text1"/>
              </w:rPr>
              <w:t>consumer causing</w:t>
            </w:r>
            <w:r w:rsidRPr="002464D6">
              <w:rPr>
                <w:rFonts w:eastAsia="Times New Roman"/>
                <w:color w:val="000000" w:themeColor="text1"/>
              </w:rPr>
              <w:t xml:space="preserve"> serious injury (physical or psychological) to another person </w:t>
            </w:r>
          </w:p>
          <w:p w14:paraId="67917F4B" w14:textId="695FB65E" w:rsidR="00385609" w:rsidRPr="002A6188" w:rsidRDefault="002A6188" w:rsidP="000E0EE8">
            <w:pPr>
              <w:numPr>
                <w:ilvl w:val="0"/>
                <w:numId w:val="4"/>
              </w:numPr>
              <w:spacing w:after="40"/>
              <w:ind w:right="235"/>
              <w:rPr>
                <w:rFonts w:eastAsia="Times New Roman"/>
                <w:color w:val="000000"/>
              </w:rPr>
            </w:pPr>
            <w:r w:rsidRPr="002A6188">
              <w:rPr>
                <w:rFonts w:eastAsia="Times New Roman"/>
                <w:color w:val="000000"/>
              </w:rPr>
              <w:t xml:space="preserve">Delayed recognition of </w:t>
            </w:r>
            <w:r w:rsidR="00A42CC7">
              <w:rPr>
                <w:rFonts w:eastAsia="Times New Roman"/>
                <w:color w:val="000000"/>
              </w:rPr>
              <w:t xml:space="preserve">a </w:t>
            </w:r>
            <w:r w:rsidR="00385609">
              <w:rPr>
                <w:rFonts w:eastAsia="Times New Roman"/>
                <w:color w:val="000000"/>
              </w:rPr>
              <w:t>consumer</w:t>
            </w:r>
            <w:r w:rsidR="00A42CC7">
              <w:rPr>
                <w:rFonts w:eastAsia="Times New Roman"/>
                <w:color w:val="000000"/>
              </w:rPr>
              <w:t>’s</w:t>
            </w:r>
            <w:r w:rsidR="00385609">
              <w:rPr>
                <w:rFonts w:eastAsia="Times New Roman"/>
                <w:color w:val="000000"/>
              </w:rPr>
              <w:t xml:space="preserve"> </w:t>
            </w:r>
            <w:r w:rsidRPr="002A6188">
              <w:rPr>
                <w:rFonts w:eastAsia="Times New Roman"/>
                <w:color w:val="000000"/>
              </w:rPr>
              <w:t>deterioration resulting in unplanned transfer to intensive care or to another hospital for higher acuity care, cardiopulmonary resuscitation and/or intubation</w:t>
            </w:r>
            <w:r w:rsidR="006E58F8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="00385609">
              <w:rPr>
                <w:rFonts w:eastAsia="Times New Roman"/>
                <w:color w:val="000000"/>
              </w:rPr>
              <w:t>eg</w:t>
            </w:r>
            <w:proofErr w:type="spellEnd"/>
            <w:r w:rsidR="00385609">
              <w:rPr>
                <w:rFonts w:eastAsia="Times New Roman"/>
                <w:color w:val="000000"/>
              </w:rPr>
              <w:t xml:space="preserve">, </w:t>
            </w:r>
            <w:r w:rsidR="00385609" w:rsidRPr="002A6188">
              <w:rPr>
                <w:rFonts w:eastAsia="Times New Roman"/>
                <w:color w:val="000000"/>
              </w:rPr>
              <w:t xml:space="preserve">cardiomyopathy, myocarditis </w:t>
            </w:r>
            <w:r w:rsidR="00385609">
              <w:rPr>
                <w:rFonts w:eastAsia="Times New Roman"/>
                <w:color w:val="000000"/>
              </w:rPr>
              <w:t xml:space="preserve">or toxic megacolon </w:t>
            </w:r>
            <w:r w:rsidR="00385609" w:rsidRPr="002A6188">
              <w:rPr>
                <w:rFonts w:eastAsia="Times New Roman"/>
                <w:color w:val="000000"/>
              </w:rPr>
              <w:t xml:space="preserve">while taking </w:t>
            </w:r>
            <w:r w:rsidR="00E653BE">
              <w:rPr>
                <w:rFonts w:eastAsia="Times New Roman"/>
                <w:color w:val="000000"/>
              </w:rPr>
              <w:t>c</w:t>
            </w:r>
            <w:r w:rsidR="00385609" w:rsidRPr="002A6188">
              <w:rPr>
                <w:rFonts w:eastAsia="Times New Roman"/>
                <w:color w:val="000000"/>
              </w:rPr>
              <w:t>lozapine</w:t>
            </w:r>
            <w:r w:rsidR="00385609">
              <w:rPr>
                <w:rFonts w:eastAsia="Times New Roman"/>
                <w:color w:val="000000"/>
              </w:rPr>
              <w:t xml:space="preserve">, </w:t>
            </w:r>
            <w:r w:rsidR="00E653BE">
              <w:rPr>
                <w:rFonts w:eastAsia="Times New Roman"/>
                <w:color w:val="000000"/>
              </w:rPr>
              <w:t>l</w:t>
            </w:r>
            <w:r w:rsidR="00385609">
              <w:rPr>
                <w:rFonts w:eastAsia="Times New Roman"/>
                <w:color w:val="000000"/>
              </w:rPr>
              <w:t>ithium toxicity requiring inpatient care</w:t>
            </w:r>
            <w:r w:rsidR="006E58F8">
              <w:rPr>
                <w:rFonts w:eastAsia="Times New Roman"/>
                <w:color w:val="000000"/>
              </w:rPr>
              <w:t>)</w:t>
            </w:r>
          </w:p>
          <w:p w14:paraId="53CD5B94" w14:textId="7BE374B1" w:rsidR="00C27EC1" w:rsidRPr="00C27EC1" w:rsidRDefault="002A6188" w:rsidP="000E0EE8">
            <w:pPr>
              <w:numPr>
                <w:ilvl w:val="0"/>
                <w:numId w:val="4"/>
              </w:numPr>
              <w:spacing w:after="40"/>
              <w:ind w:right="235"/>
              <w:rPr>
                <w:rFonts w:eastAsia="Times New Roman"/>
                <w:color w:val="000000"/>
              </w:rPr>
            </w:pPr>
            <w:r w:rsidRPr="0C75DC85">
              <w:rPr>
                <w:rFonts w:eastAsia="Times New Roman"/>
                <w:color w:val="000000" w:themeColor="text1"/>
              </w:rPr>
              <w:t xml:space="preserve">Medication </w:t>
            </w:r>
            <w:r w:rsidR="00191669" w:rsidRPr="0C75DC85">
              <w:rPr>
                <w:rFonts w:eastAsia="Times New Roman"/>
                <w:color w:val="000000" w:themeColor="text1"/>
              </w:rPr>
              <w:t>error</w:t>
            </w:r>
            <w:r w:rsidR="0092051D">
              <w:rPr>
                <w:rFonts w:eastAsia="Times New Roman"/>
                <w:color w:val="000000" w:themeColor="text1"/>
              </w:rPr>
              <w:t xml:space="preserve"> or </w:t>
            </w:r>
            <w:r w:rsidR="00726ABE">
              <w:rPr>
                <w:rFonts w:eastAsia="Times New Roman"/>
                <w:color w:val="000000" w:themeColor="text1"/>
              </w:rPr>
              <w:t>unexpected outcome</w:t>
            </w:r>
            <w:r w:rsidR="00191669" w:rsidRPr="0C75DC85">
              <w:rPr>
                <w:rFonts w:eastAsia="Times New Roman"/>
                <w:color w:val="000000" w:themeColor="text1"/>
              </w:rPr>
              <w:t xml:space="preserve"> </w:t>
            </w:r>
            <w:r w:rsidRPr="0C75DC85">
              <w:rPr>
                <w:rFonts w:eastAsia="Times New Roman"/>
                <w:color w:val="000000" w:themeColor="text1"/>
              </w:rPr>
              <w:t xml:space="preserve">resulting in major harm </w:t>
            </w:r>
            <w:r w:rsidR="006E58F8">
              <w:rPr>
                <w:rFonts w:eastAsia="Times New Roman"/>
                <w:color w:val="000000" w:themeColor="text1"/>
              </w:rPr>
              <w:t>(</w:t>
            </w:r>
            <w:proofErr w:type="spellStart"/>
            <w:r w:rsidRPr="0C75DC85">
              <w:rPr>
                <w:rFonts w:eastAsia="Times New Roman"/>
                <w:color w:val="000000" w:themeColor="text1"/>
              </w:rPr>
              <w:t>eg</w:t>
            </w:r>
            <w:proofErr w:type="spellEnd"/>
            <w:r w:rsidRPr="0C75DC85">
              <w:rPr>
                <w:rFonts w:eastAsia="Times New Roman"/>
                <w:color w:val="000000" w:themeColor="text1"/>
              </w:rPr>
              <w:t>, requiring dialysis, intervention to sustain life, anaphylaxis</w:t>
            </w:r>
            <w:r w:rsidR="00DE2D65">
              <w:rPr>
                <w:rFonts w:eastAsia="Times New Roman"/>
                <w:color w:val="000000" w:themeColor="text1"/>
              </w:rPr>
              <w:t>,</w:t>
            </w:r>
            <w:r w:rsidR="004D37F3">
              <w:rPr>
                <w:rFonts w:eastAsia="Times New Roman"/>
                <w:color w:val="000000" w:themeColor="text1"/>
              </w:rPr>
              <w:t xml:space="preserve"> </w:t>
            </w:r>
            <w:r w:rsidRPr="0C75DC85">
              <w:rPr>
                <w:rFonts w:eastAsia="Times New Roman"/>
                <w:color w:val="000000" w:themeColor="text1"/>
              </w:rPr>
              <w:t>cardiomyopathy</w:t>
            </w:r>
            <w:r w:rsidR="009A5D5A" w:rsidRPr="0C75DC85">
              <w:rPr>
                <w:rFonts w:eastAsia="Times New Roman"/>
                <w:color w:val="000000" w:themeColor="text1"/>
              </w:rPr>
              <w:t xml:space="preserve">, </w:t>
            </w:r>
            <w:r w:rsidRPr="0C75DC85">
              <w:rPr>
                <w:rFonts w:eastAsia="Times New Roman"/>
                <w:color w:val="000000" w:themeColor="text1"/>
              </w:rPr>
              <w:t>myocarditis</w:t>
            </w:r>
            <w:r w:rsidR="009A5D5A" w:rsidRPr="0C75DC85">
              <w:rPr>
                <w:rFonts w:eastAsia="Times New Roman"/>
                <w:color w:val="000000" w:themeColor="text1"/>
              </w:rPr>
              <w:t xml:space="preserve"> or </w:t>
            </w:r>
            <w:r w:rsidR="00191669" w:rsidRPr="0C75DC85">
              <w:rPr>
                <w:rFonts w:eastAsia="Times New Roman"/>
                <w:color w:val="000000" w:themeColor="text1"/>
              </w:rPr>
              <w:t>toxic megacolon</w:t>
            </w:r>
            <w:r w:rsidRPr="0C75DC85">
              <w:rPr>
                <w:rFonts w:eastAsia="Times New Roman"/>
                <w:color w:val="000000" w:themeColor="text1"/>
              </w:rPr>
              <w:t xml:space="preserve"> while taking </w:t>
            </w:r>
            <w:r w:rsidR="00E653BE" w:rsidRPr="0C75DC85">
              <w:rPr>
                <w:rFonts w:eastAsia="Times New Roman"/>
                <w:color w:val="000000" w:themeColor="text1"/>
              </w:rPr>
              <w:t>c</w:t>
            </w:r>
            <w:r w:rsidRPr="0C75DC85">
              <w:rPr>
                <w:rFonts w:eastAsia="Times New Roman"/>
                <w:color w:val="000000" w:themeColor="text1"/>
              </w:rPr>
              <w:t>lozapine</w:t>
            </w:r>
            <w:r w:rsidR="00385609" w:rsidRPr="0C75DC85">
              <w:rPr>
                <w:rFonts w:eastAsia="Times New Roman"/>
                <w:color w:val="000000" w:themeColor="text1"/>
              </w:rPr>
              <w:t xml:space="preserve">, </w:t>
            </w:r>
            <w:r w:rsidR="00E653BE" w:rsidRPr="0C75DC85">
              <w:rPr>
                <w:rFonts w:eastAsia="Times New Roman"/>
                <w:color w:val="000000" w:themeColor="text1"/>
              </w:rPr>
              <w:t>l</w:t>
            </w:r>
            <w:r w:rsidR="00385609" w:rsidRPr="0C75DC85">
              <w:rPr>
                <w:rFonts w:eastAsia="Times New Roman"/>
                <w:color w:val="000000" w:themeColor="text1"/>
              </w:rPr>
              <w:t>ithium toxicity requiring inpatient care</w:t>
            </w:r>
            <w:r w:rsidR="006E58F8">
              <w:rPr>
                <w:rFonts w:eastAsia="Times New Roman"/>
                <w:color w:val="000000" w:themeColor="text1"/>
              </w:rPr>
              <w:t>)</w:t>
            </w:r>
          </w:p>
          <w:p w14:paraId="083F15DC" w14:textId="5767B04F" w:rsidR="00EC39B1" w:rsidRPr="00013646" w:rsidRDefault="00EA5492" w:rsidP="000E0EE8">
            <w:pPr>
              <w:pStyle w:val="ListParagraph"/>
              <w:numPr>
                <w:ilvl w:val="0"/>
                <w:numId w:val="4"/>
              </w:numPr>
              <w:spacing w:after="80"/>
              <w:ind w:right="235"/>
              <w:rPr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Serious h</w:t>
            </w:r>
            <w:r w:rsidR="72186261" w:rsidRPr="0C75DC85">
              <w:rPr>
                <w:rFonts w:eastAsia="Times New Roman"/>
                <w:color w:val="000000" w:themeColor="text1"/>
              </w:rPr>
              <w:t>arm directly resulting from a clinical intervention (</w:t>
            </w:r>
            <w:proofErr w:type="spellStart"/>
            <w:r w:rsidR="72186261" w:rsidRPr="0C75DC85">
              <w:rPr>
                <w:rFonts w:eastAsia="Times New Roman"/>
                <w:color w:val="000000" w:themeColor="text1"/>
              </w:rPr>
              <w:t>eg</w:t>
            </w:r>
            <w:proofErr w:type="spellEnd"/>
            <w:r w:rsidR="009A5D5A" w:rsidRPr="0C75DC85">
              <w:rPr>
                <w:rFonts w:eastAsia="Times New Roman"/>
                <w:color w:val="000000" w:themeColor="text1"/>
              </w:rPr>
              <w:t xml:space="preserve">, </w:t>
            </w:r>
            <w:r w:rsidR="00DE2D65">
              <w:rPr>
                <w:rFonts w:eastAsia="Times New Roman"/>
                <w:color w:val="000000" w:themeColor="text1"/>
              </w:rPr>
              <w:t xml:space="preserve">collapse or </w:t>
            </w:r>
            <w:r w:rsidR="72186261" w:rsidRPr="0C75DC85">
              <w:rPr>
                <w:rFonts w:eastAsia="Times New Roman"/>
                <w:color w:val="000000" w:themeColor="text1"/>
              </w:rPr>
              <w:t>fracture d</w:t>
            </w:r>
            <w:r w:rsidR="6BB1CBFD" w:rsidRPr="0C75DC85">
              <w:rPr>
                <w:rFonts w:eastAsia="Times New Roman"/>
                <w:color w:val="000000" w:themeColor="text1"/>
              </w:rPr>
              <w:t>uring restraint)</w:t>
            </w:r>
          </w:p>
        </w:tc>
      </w:tr>
      <w:tr w:rsidR="005B1027" w:rsidRPr="00106847" w14:paraId="1823A46E" w14:textId="77777777" w:rsidTr="000A6D91">
        <w:trPr>
          <w:gridBefore w:val="1"/>
          <w:wBefore w:w="112" w:type="dxa"/>
          <w:trHeight w:val="997"/>
        </w:trPr>
        <w:tc>
          <w:tcPr>
            <w:tcW w:w="7706" w:type="dxa"/>
            <w:gridSpan w:val="2"/>
            <w:shd w:val="clear" w:color="auto" w:fill="FBCE0B"/>
            <w:vAlign w:val="center"/>
          </w:tcPr>
          <w:p w14:paraId="27026333" w14:textId="77777777" w:rsidR="005B1027" w:rsidRPr="00106847" w:rsidRDefault="008B7EA8" w:rsidP="00981764">
            <w:pPr>
              <w:pStyle w:val="TableParagraph"/>
              <w:ind w:left="586" w:right="576" w:firstLine="0"/>
              <w:jc w:val="center"/>
              <w:rPr>
                <w:b/>
              </w:rPr>
            </w:pPr>
            <w:r w:rsidRPr="00106847">
              <w:rPr>
                <w:b/>
              </w:rPr>
              <w:lastRenderedPageBreak/>
              <w:t>SAC 3</w:t>
            </w:r>
          </w:p>
          <w:p w14:paraId="21A465EF" w14:textId="77777777" w:rsidR="005B1027" w:rsidRPr="00106847" w:rsidRDefault="008B7EA8" w:rsidP="00981764">
            <w:pPr>
              <w:pStyle w:val="TableParagraph"/>
              <w:spacing w:before="59"/>
              <w:ind w:left="586" w:right="574" w:firstLine="0"/>
              <w:jc w:val="center"/>
              <w:rPr>
                <w:b/>
              </w:rPr>
            </w:pPr>
            <w:r w:rsidRPr="00106847">
              <w:rPr>
                <w:b/>
              </w:rPr>
              <w:t>Permanent moderate or temporary major loss of function</w:t>
            </w:r>
          </w:p>
        </w:tc>
        <w:tc>
          <w:tcPr>
            <w:tcW w:w="7706" w:type="dxa"/>
            <w:gridSpan w:val="2"/>
            <w:shd w:val="clear" w:color="auto" w:fill="92D050"/>
            <w:vAlign w:val="center"/>
          </w:tcPr>
          <w:p w14:paraId="3AE74376" w14:textId="77777777" w:rsidR="005B1027" w:rsidRPr="00106847" w:rsidRDefault="008B7EA8" w:rsidP="00981764">
            <w:pPr>
              <w:pStyle w:val="TableParagraph"/>
              <w:ind w:left="586" w:right="575" w:firstLine="0"/>
              <w:jc w:val="center"/>
              <w:rPr>
                <w:b/>
              </w:rPr>
            </w:pPr>
            <w:r w:rsidRPr="00106847">
              <w:rPr>
                <w:b/>
              </w:rPr>
              <w:t>SAC 4</w:t>
            </w:r>
          </w:p>
          <w:p w14:paraId="77266CAA" w14:textId="7AB0DEF3" w:rsidR="005B1027" w:rsidRPr="00106847" w:rsidRDefault="008B7EA8" w:rsidP="00981764">
            <w:pPr>
              <w:pStyle w:val="TableParagraph"/>
              <w:spacing w:before="59"/>
              <w:ind w:left="586" w:right="574" w:firstLine="0"/>
              <w:jc w:val="center"/>
              <w:rPr>
                <w:b/>
              </w:rPr>
            </w:pPr>
            <w:r w:rsidRPr="00106847">
              <w:rPr>
                <w:b/>
              </w:rPr>
              <w:t>Requiring increased level of care</w:t>
            </w:r>
            <w:r w:rsidR="00981764">
              <w:rPr>
                <w:b/>
              </w:rPr>
              <w:t xml:space="preserve"> </w:t>
            </w:r>
            <w:r w:rsidRPr="00106847">
              <w:rPr>
                <w:b/>
              </w:rPr>
              <w:t xml:space="preserve">OR </w:t>
            </w:r>
            <w:r w:rsidR="00981764">
              <w:rPr>
                <w:b/>
              </w:rPr>
              <w:br/>
            </w:r>
            <w:r w:rsidRPr="00106847">
              <w:rPr>
                <w:b/>
              </w:rPr>
              <w:t>no injury, no increased level of care</w:t>
            </w:r>
            <w:r w:rsidR="00CC3ED8">
              <w:rPr>
                <w:b/>
              </w:rPr>
              <w:t xml:space="preserve"> (</w:t>
            </w:r>
            <w:r w:rsidRPr="00106847">
              <w:rPr>
                <w:b/>
              </w:rPr>
              <w:t xml:space="preserve">includes near </w:t>
            </w:r>
            <w:r w:rsidR="00981764">
              <w:rPr>
                <w:b/>
              </w:rPr>
              <w:t>m</w:t>
            </w:r>
            <w:r w:rsidRPr="00106847">
              <w:rPr>
                <w:b/>
              </w:rPr>
              <w:t>isses</w:t>
            </w:r>
            <w:r w:rsidR="00CC3ED8">
              <w:rPr>
                <w:b/>
              </w:rPr>
              <w:t>)</w:t>
            </w:r>
          </w:p>
        </w:tc>
      </w:tr>
      <w:tr w:rsidR="005B1027" w:rsidRPr="00106847" w14:paraId="7982DB4B" w14:textId="77777777" w:rsidTr="000A6D91">
        <w:trPr>
          <w:gridBefore w:val="1"/>
          <w:wBefore w:w="112" w:type="dxa"/>
          <w:trHeight w:val="2654"/>
        </w:trPr>
        <w:tc>
          <w:tcPr>
            <w:tcW w:w="7706" w:type="dxa"/>
            <w:gridSpan w:val="2"/>
          </w:tcPr>
          <w:p w14:paraId="1F0A5623" w14:textId="32524064" w:rsidR="00D9646E" w:rsidRPr="002A6188" w:rsidRDefault="00D9646E" w:rsidP="00D9646E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/>
              <w:ind w:right="147"/>
              <w:rPr>
                <w:rFonts w:eastAsia="Times New Roman"/>
                <w:color w:val="000000"/>
              </w:rPr>
            </w:pPr>
            <w:r w:rsidRPr="2E43E6C2">
              <w:rPr>
                <w:rFonts w:eastAsia="Times New Roman"/>
                <w:color w:val="000000" w:themeColor="text1"/>
              </w:rPr>
              <w:t>Any of the following because of the event</w:t>
            </w:r>
            <w:r w:rsidR="00581FCB" w:rsidRPr="2E43E6C2">
              <w:rPr>
                <w:rFonts w:eastAsia="Times New Roman"/>
                <w:color w:val="000000" w:themeColor="text1"/>
              </w:rPr>
              <w:t xml:space="preserve"> </w:t>
            </w:r>
            <w:r w:rsidR="00581FCB">
              <w:rPr>
                <w:rFonts w:eastAsia="Times New Roman"/>
                <w:color w:val="000000" w:themeColor="text1"/>
              </w:rPr>
              <w:t>(</w:t>
            </w:r>
            <w:r w:rsidR="00581FCB" w:rsidRPr="2E43E6C2">
              <w:rPr>
                <w:rFonts w:eastAsia="Times New Roman"/>
                <w:color w:val="000000" w:themeColor="text1"/>
              </w:rPr>
              <w:t>includ</w:t>
            </w:r>
            <w:r w:rsidR="00581FCB">
              <w:rPr>
                <w:rFonts w:eastAsia="Times New Roman"/>
                <w:color w:val="000000" w:themeColor="text1"/>
              </w:rPr>
              <w:t xml:space="preserve">es </w:t>
            </w:r>
            <w:r w:rsidR="00581FCB" w:rsidRPr="2E43E6C2">
              <w:rPr>
                <w:rFonts w:eastAsia="Times New Roman"/>
                <w:color w:val="000000" w:themeColor="text1"/>
              </w:rPr>
              <w:t>self-harm</w:t>
            </w:r>
            <w:r w:rsidR="00581FCB">
              <w:rPr>
                <w:rFonts w:eastAsia="Times New Roman"/>
                <w:color w:val="000000" w:themeColor="text1"/>
              </w:rPr>
              <w:t xml:space="preserve"> or harm resulting from high</w:t>
            </w:r>
            <w:r w:rsidR="0044260D">
              <w:rPr>
                <w:rFonts w:eastAsia="Times New Roman"/>
                <w:color w:val="000000" w:themeColor="text1"/>
              </w:rPr>
              <w:t>-</w:t>
            </w:r>
            <w:r w:rsidR="00581FCB">
              <w:rPr>
                <w:rFonts w:eastAsia="Times New Roman"/>
                <w:color w:val="000000" w:themeColor="text1"/>
              </w:rPr>
              <w:t xml:space="preserve">risk behaviour associated with </w:t>
            </w:r>
            <w:r w:rsidR="0044260D">
              <w:rPr>
                <w:rFonts w:eastAsia="Times New Roman"/>
                <w:color w:val="000000" w:themeColor="text1"/>
              </w:rPr>
              <w:t xml:space="preserve">a </w:t>
            </w:r>
            <w:r w:rsidR="00581FCB">
              <w:rPr>
                <w:rFonts w:eastAsia="Times New Roman"/>
                <w:color w:val="000000" w:themeColor="text1"/>
              </w:rPr>
              <w:t>mental disorder)</w:t>
            </w:r>
            <w:r w:rsidR="00581FCB" w:rsidRPr="2E43E6C2">
              <w:rPr>
                <w:rFonts w:eastAsia="Times New Roman"/>
                <w:color w:val="000000" w:themeColor="text1"/>
              </w:rPr>
              <w:t>:</w:t>
            </w:r>
          </w:p>
          <w:p w14:paraId="6A974099" w14:textId="1984EACA" w:rsidR="00D9646E" w:rsidRPr="002A6188" w:rsidRDefault="00D9646E" w:rsidP="00D9646E">
            <w:pPr>
              <w:widowControl/>
              <w:numPr>
                <w:ilvl w:val="1"/>
                <w:numId w:val="2"/>
              </w:numPr>
              <w:autoSpaceDE/>
              <w:autoSpaceDN/>
              <w:spacing w:before="80" w:after="80"/>
              <w:ind w:right="14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</w:t>
            </w:r>
            <w:r w:rsidRPr="002A6188">
              <w:rPr>
                <w:rFonts w:eastAsia="Times New Roman"/>
                <w:color w:val="000000"/>
              </w:rPr>
              <w:t xml:space="preserve">nplanned transfer to </w:t>
            </w:r>
            <w:r w:rsidR="0044260D">
              <w:rPr>
                <w:rFonts w:eastAsia="Times New Roman"/>
                <w:color w:val="000000"/>
              </w:rPr>
              <w:t xml:space="preserve">a </w:t>
            </w:r>
            <w:r w:rsidRPr="002A6188">
              <w:rPr>
                <w:rFonts w:eastAsia="Times New Roman"/>
                <w:color w:val="000000"/>
              </w:rPr>
              <w:t>higher level of care, including hospitalisation (</w:t>
            </w:r>
            <w:proofErr w:type="spellStart"/>
            <w:r w:rsidRPr="002A6188">
              <w:rPr>
                <w:rFonts w:eastAsia="Times New Roman"/>
                <w:color w:val="000000"/>
              </w:rPr>
              <w:t>eg</w:t>
            </w:r>
            <w:proofErr w:type="spellEnd"/>
            <w:r w:rsidRPr="002A6188">
              <w:rPr>
                <w:rFonts w:eastAsia="Times New Roman"/>
                <w:color w:val="000000"/>
              </w:rPr>
              <w:t>, from community setting)</w:t>
            </w:r>
          </w:p>
          <w:p w14:paraId="47961D26" w14:textId="187D041D" w:rsidR="00D9646E" w:rsidRPr="002A6188" w:rsidRDefault="00D9646E" w:rsidP="00D9646E">
            <w:pPr>
              <w:widowControl/>
              <w:numPr>
                <w:ilvl w:val="1"/>
                <w:numId w:val="2"/>
              </w:numPr>
              <w:autoSpaceDE/>
              <w:autoSpaceDN/>
              <w:spacing w:before="80" w:after="80"/>
              <w:ind w:right="14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</w:t>
            </w:r>
            <w:r w:rsidRPr="002A6188">
              <w:rPr>
                <w:rFonts w:eastAsia="Times New Roman"/>
                <w:color w:val="000000"/>
              </w:rPr>
              <w:t>ncreased length of stay (</w:t>
            </w:r>
            <w:r w:rsidR="0044260D">
              <w:rPr>
                <w:rFonts w:eastAsia="Times New Roman"/>
                <w:color w:val="000000"/>
              </w:rPr>
              <w:t>more</w:t>
            </w:r>
            <w:r w:rsidR="0044260D" w:rsidRPr="002A6188">
              <w:rPr>
                <w:rFonts w:eastAsia="Times New Roman"/>
                <w:color w:val="000000"/>
              </w:rPr>
              <w:t xml:space="preserve"> </w:t>
            </w:r>
            <w:r w:rsidRPr="002A6188">
              <w:rPr>
                <w:rFonts w:eastAsia="Times New Roman"/>
                <w:color w:val="000000"/>
              </w:rPr>
              <w:t>than one day)</w:t>
            </w:r>
          </w:p>
          <w:p w14:paraId="1D17C4C1" w14:textId="64E92666" w:rsidR="005B1027" w:rsidRPr="00B26EF5" w:rsidRDefault="00D9646E" w:rsidP="00D9646E">
            <w:pPr>
              <w:widowControl/>
              <w:numPr>
                <w:ilvl w:val="1"/>
                <w:numId w:val="2"/>
              </w:numPr>
              <w:autoSpaceDE/>
              <w:autoSpaceDN/>
              <w:spacing w:before="80" w:after="80"/>
              <w:ind w:right="14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 w:rsidRPr="002A6188">
              <w:rPr>
                <w:rFonts w:eastAsia="Times New Roman"/>
                <w:color w:val="000000"/>
              </w:rPr>
              <w:t>urgical or other significant intervention required</w:t>
            </w:r>
          </w:p>
        </w:tc>
        <w:tc>
          <w:tcPr>
            <w:tcW w:w="7706" w:type="dxa"/>
            <w:gridSpan w:val="2"/>
          </w:tcPr>
          <w:p w14:paraId="33E3EF63" w14:textId="7A3403FC" w:rsidR="004B7C1E" w:rsidRPr="004B7C1E" w:rsidRDefault="004B7C1E" w:rsidP="00C717B2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/>
              <w:ind w:left="465" w:right="198" w:hanging="357"/>
              <w:rPr>
                <w:rFonts w:eastAsia="Times New Roman"/>
                <w:color w:val="000000"/>
                <w:lang w:bidi="ar-SA"/>
              </w:rPr>
            </w:pPr>
            <w:r w:rsidRPr="004B7C1E">
              <w:rPr>
                <w:rFonts w:eastAsia="Times New Roman"/>
                <w:color w:val="000000"/>
              </w:rPr>
              <w:t>Near</w:t>
            </w:r>
            <w:r w:rsidR="0044260D">
              <w:rPr>
                <w:rFonts w:eastAsia="Times New Roman"/>
                <w:color w:val="000000"/>
              </w:rPr>
              <w:t>-</w:t>
            </w:r>
            <w:r w:rsidRPr="004B7C1E">
              <w:rPr>
                <w:rFonts w:eastAsia="Times New Roman"/>
                <w:color w:val="000000"/>
              </w:rPr>
              <w:t xml:space="preserve">miss </w:t>
            </w:r>
            <w:r w:rsidR="006D2BAB">
              <w:rPr>
                <w:rFonts w:eastAsia="Times New Roman"/>
                <w:color w:val="000000"/>
              </w:rPr>
              <w:t xml:space="preserve">suicide attempt without injury by </w:t>
            </w:r>
            <w:r w:rsidR="003D4B91">
              <w:rPr>
                <w:rFonts w:eastAsia="Times New Roman"/>
                <w:color w:val="000000"/>
              </w:rPr>
              <w:t>h</w:t>
            </w:r>
            <w:r w:rsidRPr="004B7C1E">
              <w:rPr>
                <w:rFonts w:eastAsia="Times New Roman"/>
                <w:color w:val="000000"/>
              </w:rPr>
              <w:t>igh</w:t>
            </w:r>
            <w:r w:rsidR="0044260D">
              <w:rPr>
                <w:rFonts w:eastAsia="Times New Roman"/>
                <w:color w:val="000000"/>
              </w:rPr>
              <w:t>-</w:t>
            </w:r>
            <w:r w:rsidRPr="004B7C1E">
              <w:rPr>
                <w:rFonts w:eastAsia="Times New Roman"/>
                <w:color w:val="000000"/>
              </w:rPr>
              <w:t xml:space="preserve">lethality </w:t>
            </w:r>
            <w:r w:rsidR="006D2BAB">
              <w:rPr>
                <w:rFonts w:eastAsia="Times New Roman"/>
                <w:color w:val="000000"/>
              </w:rPr>
              <w:t>method</w:t>
            </w:r>
            <w:r w:rsidR="001024B9">
              <w:rPr>
                <w:rFonts w:eastAsia="Times New Roman"/>
                <w:color w:val="000000"/>
              </w:rPr>
              <w:t xml:space="preserve"> </w:t>
            </w:r>
            <w:r w:rsidR="005945A0">
              <w:rPr>
                <w:rFonts w:eastAsia="Times New Roman"/>
                <w:color w:val="000000"/>
              </w:rPr>
              <w:t>(</w:t>
            </w:r>
            <w:proofErr w:type="spellStart"/>
            <w:r w:rsidRPr="004B7C1E">
              <w:rPr>
                <w:rFonts w:eastAsia="Times New Roman"/>
                <w:color w:val="000000"/>
              </w:rPr>
              <w:t>eg</w:t>
            </w:r>
            <w:proofErr w:type="spellEnd"/>
            <w:r w:rsidR="00820D28">
              <w:rPr>
                <w:rFonts w:eastAsia="Times New Roman"/>
                <w:color w:val="000000"/>
              </w:rPr>
              <w:t>,</w:t>
            </w:r>
            <w:r w:rsidRPr="004B7C1E">
              <w:rPr>
                <w:rFonts w:eastAsia="Times New Roman"/>
                <w:color w:val="000000"/>
              </w:rPr>
              <w:t xml:space="preserve"> attempted hanging</w:t>
            </w:r>
            <w:r w:rsidR="005945A0">
              <w:rPr>
                <w:rFonts w:eastAsia="Times New Roman"/>
                <w:color w:val="000000"/>
              </w:rPr>
              <w:t>)</w:t>
            </w:r>
          </w:p>
          <w:p w14:paraId="4A63898C" w14:textId="17560932" w:rsidR="004B7C1E" w:rsidRPr="004B7C1E" w:rsidRDefault="004B7C1E" w:rsidP="00C717B2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/>
              <w:ind w:left="465" w:right="198" w:hanging="357"/>
              <w:rPr>
                <w:rFonts w:eastAsia="Times New Roman"/>
                <w:color w:val="000000"/>
              </w:rPr>
            </w:pPr>
            <w:r w:rsidRPr="004B7C1E">
              <w:rPr>
                <w:rFonts w:eastAsia="Times New Roman"/>
                <w:color w:val="000000"/>
              </w:rPr>
              <w:t>Medication error with no resulting harm</w:t>
            </w:r>
          </w:p>
          <w:p w14:paraId="67A09EDE" w14:textId="0A21A71D" w:rsidR="004B7C1E" w:rsidRPr="004B7C1E" w:rsidRDefault="004B7C1E" w:rsidP="00C717B2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/>
              <w:ind w:left="465" w:right="198" w:hanging="357"/>
              <w:rPr>
                <w:rFonts w:eastAsia="Times New Roman"/>
                <w:color w:val="000000"/>
              </w:rPr>
            </w:pPr>
            <w:r w:rsidRPr="004B7C1E">
              <w:rPr>
                <w:rFonts w:eastAsia="Times New Roman"/>
                <w:color w:val="000000"/>
              </w:rPr>
              <w:t>Missing</w:t>
            </w:r>
            <w:r w:rsidR="00BA2590">
              <w:rPr>
                <w:rFonts w:eastAsia="Times New Roman"/>
                <w:color w:val="000000"/>
              </w:rPr>
              <w:t xml:space="preserve"> </w:t>
            </w:r>
            <w:r w:rsidR="00C03FC6">
              <w:rPr>
                <w:rFonts w:eastAsia="Times New Roman"/>
                <w:color w:val="000000"/>
              </w:rPr>
              <w:t>consumer</w:t>
            </w:r>
            <w:r w:rsidRPr="004B7C1E">
              <w:rPr>
                <w:rFonts w:eastAsia="Times New Roman"/>
                <w:color w:val="000000"/>
              </w:rPr>
              <w:t xml:space="preserve"> with a risk of serious harm to self or others</w:t>
            </w:r>
          </w:p>
          <w:p w14:paraId="17FB90C7" w14:textId="3889C193" w:rsidR="004B7C1E" w:rsidRPr="004B7C1E" w:rsidRDefault="004B7C1E" w:rsidP="00C717B2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/>
              <w:ind w:left="465" w:right="198" w:hanging="357"/>
              <w:rPr>
                <w:rFonts w:eastAsia="Times New Roman"/>
                <w:color w:val="000000"/>
              </w:rPr>
            </w:pPr>
            <w:r w:rsidRPr="004B7C1E">
              <w:rPr>
                <w:rFonts w:eastAsia="Times New Roman"/>
                <w:color w:val="000000"/>
              </w:rPr>
              <w:t xml:space="preserve">Additional monitoring, </w:t>
            </w:r>
            <w:r w:rsidR="00C16A9D" w:rsidRPr="004B7C1E">
              <w:rPr>
                <w:rFonts w:eastAsia="Times New Roman"/>
                <w:color w:val="000000"/>
              </w:rPr>
              <w:t>investigations</w:t>
            </w:r>
            <w:r w:rsidRPr="004B7C1E">
              <w:rPr>
                <w:rFonts w:eastAsia="Times New Roman"/>
                <w:color w:val="000000"/>
              </w:rPr>
              <w:t xml:space="preserve"> or minor interventions </w:t>
            </w:r>
            <w:r w:rsidR="004C241A" w:rsidRPr="004B7C1E">
              <w:rPr>
                <w:rFonts w:eastAsia="Times New Roman"/>
                <w:color w:val="000000"/>
              </w:rPr>
              <w:t>because of</w:t>
            </w:r>
            <w:r w:rsidRPr="004B7C1E">
              <w:rPr>
                <w:rFonts w:eastAsia="Times New Roman"/>
                <w:color w:val="000000"/>
              </w:rPr>
              <w:t xml:space="preserve"> the event</w:t>
            </w:r>
          </w:p>
          <w:p w14:paraId="4A7EB216" w14:textId="31034818" w:rsidR="005B1027" w:rsidRPr="00833941" w:rsidRDefault="07F79FB9" w:rsidP="00C717B2">
            <w:pPr>
              <w:widowControl/>
              <w:numPr>
                <w:ilvl w:val="0"/>
                <w:numId w:val="2"/>
              </w:numPr>
              <w:autoSpaceDE/>
              <w:autoSpaceDN/>
              <w:spacing w:before="80" w:after="80"/>
              <w:ind w:left="465" w:right="198" w:hanging="357"/>
              <w:rPr>
                <w:rFonts w:eastAsia="Times New Roman"/>
                <w:color w:val="000000"/>
              </w:rPr>
            </w:pPr>
            <w:r w:rsidRPr="0C75DC85">
              <w:rPr>
                <w:rFonts w:eastAsia="Times New Roman"/>
                <w:color w:val="000000" w:themeColor="text1"/>
              </w:rPr>
              <w:t>Bre</w:t>
            </w:r>
            <w:r w:rsidR="002C4152">
              <w:rPr>
                <w:rFonts w:eastAsia="Times New Roman"/>
                <w:color w:val="000000" w:themeColor="text1"/>
              </w:rPr>
              <w:t xml:space="preserve">aking </w:t>
            </w:r>
            <w:r w:rsidRPr="0C75DC85">
              <w:rPr>
                <w:rFonts w:eastAsia="Times New Roman"/>
                <w:color w:val="000000" w:themeColor="text1"/>
              </w:rPr>
              <w:t>of confidentiality</w:t>
            </w:r>
            <w:r w:rsidR="002C4152">
              <w:rPr>
                <w:rFonts w:eastAsia="Times New Roman"/>
                <w:color w:val="000000" w:themeColor="text1"/>
              </w:rPr>
              <w:t xml:space="preserve"> </w:t>
            </w:r>
            <w:r w:rsidR="00E359B2">
              <w:rPr>
                <w:rFonts w:eastAsia="Times New Roman"/>
                <w:color w:val="000000" w:themeColor="text1"/>
              </w:rPr>
              <w:t xml:space="preserve">involving </w:t>
            </w:r>
            <w:r w:rsidRPr="0C75DC85">
              <w:rPr>
                <w:rFonts w:eastAsia="Times New Roman"/>
                <w:color w:val="000000" w:themeColor="text1"/>
              </w:rPr>
              <w:t>disclosure of violence</w:t>
            </w:r>
            <w:r w:rsidR="0044260D">
              <w:rPr>
                <w:rFonts w:eastAsia="Times New Roman"/>
                <w:color w:val="000000" w:themeColor="text1"/>
              </w:rPr>
              <w:t>,</w:t>
            </w:r>
            <w:r w:rsidRPr="0C75DC85">
              <w:rPr>
                <w:rFonts w:eastAsia="Times New Roman"/>
                <w:color w:val="000000" w:themeColor="text1"/>
              </w:rPr>
              <w:t xml:space="preserve"> </w:t>
            </w:r>
            <w:r w:rsidR="002C4152">
              <w:rPr>
                <w:rFonts w:eastAsia="Times New Roman"/>
                <w:color w:val="000000" w:themeColor="text1"/>
              </w:rPr>
              <w:t xml:space="preserve">resulting in </w:t>
            </w:r>
            <w:r w:rsidR="00630DA9">
              <w:rPr>
                <w:rFonts w:eastAsia="Times New Roman"/>
                <w:color w:val="000000" w:themeColor="text1"/>
              </w:rPr>
              <w:t xml:space="preserve">increased </w:t>
            </w:r>
            <w:r w:rsidR="002C4152">
              <w:rPr>
                <w:rFonts w:eastAsia="Times New Roman"/>
                <w:color w:val="000000" w:themeColor="text1"/>
              </w:rPr>
              <w:t>r</w:t>
            </w:r>
            <w:r w:rsidRPr="0C75DC85">
              <w:rPr>
                <w:rFonts w:eastAsia="Times New Roman"/>
                <w:color w:val="000000" w:themeColor="text1"/>
              </w:rPr>
              <w:t xml:space="preserve">isk to </w:t>
            </w:r>
            <w:r w:rsidR="0044260D">
              <w:rPr>
                <w:rFonts w:eastAsia="Times New Roman"/>
                <w:color w:val="000000" w:themeColor="text1"/>
              </w:rPr>
              <w:t xml:space="preserve">the </w:t>
            </w:r>
            <w:r w:rsidRPr="0C75DC85">
              <w:rPr>
                <w:rFonts w:eastAsia="Times New Roman"/>
                <w:color w:val="000000" w:themeColor="text1"/>
              </w:rPr>
              <w:t>consumer</w:t>
            </w:r>
            <w:r w:rsidR="0035775F">
              <w:rPr>
                <w:rFonts w:eastAsia="Times New Roman"/>
                <w:color w:val="000000" w:themeColor="text1"/>
              </w:rPr>
              <w:t xml:space="preserve"> and/or </w:t>
            </w:r>
            <w:r w:rsidR="0044260D">
              <w:rPr>
                <w:rFonts w:eastAsia="Times New Roman"/>
                <w:color w:val="000000" w:themeColor="text1"/>
              </w:rPr>
              <w:t xml:space="preserve">their </w:t>
            </w:r>
            <w:proofErr w:type="spellStart"/>
            <w:r w:rsidR="0035775F">
              <w:rPr>
                <w:rFonts w:eastAsia="Times New Roman"/>
                <w:color w:val="000000" w:themeColor="text1"/>
              </w:rPr>
              <w:t>wh</w:t>
            </w:r>
            <w:proofErr w:type="spellEnd"/>
            <w:r w:rsidR="0035775F">
              <w:rPr>
                <w:rFonts w:eastAsia="Times New Roman"/>
                <w:color w:val="000000" w:themeColor="text1"/>
                <w:lang w:val="mi-NZ"/>
              </w:rPr>
              <w:t>ānau</w:t>
            </w:r>
          </w:p>
        </w:tc>
      </w:tr>
    </w:tbl>
    <w:p w14:paraId="2C23BC44" w14:textId="64DD975E" w:rsidR="00340681" w:rsidRDefault="000A6D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2C32BE" wp14:editId="2404DE8C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9840595" cy="1404620"/>
                <wp:effectExtent l="0" t="0" r="825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0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A58C5" w14:textId="77EF678A" w:rsidR="000A6D91" w:rsidRDefault="000A6D91">
                            <w:r>
                              <w:t>Published in February 2022 by the Health Quality &amp; Safety Commission, PO Bo</w:t>
                            </w:r>
                            <w:r w:rsidRPr="000A6D91">
                              <w:t>x 25496, Wellington 6146, New Zealand.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2C3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3.65pt;margin-top:25.7pt;width:774.8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2JYDQIAAPcDAAAOAAAAZHJzL2Uyb0RvYy54bWysU8Fu2zAMvQ/YPwi6L3aCpEuMOEWXLsOA&#10;rhvQ7QNkWY6FyaJGKbGzrx8lp2nQ3YbpIJAi9UQ+Pq1vh86wo0KvwZZ8Osk5U1ZCre2+5D++794t&#10;OfNB2FoYsKrkJ+X57ebtm3XvCjWDFkytkBGI9UXvSt6G4Ios87JVnfATcMpSsAHsRCAX91mNoif0&#10;zmSzPL/JesDaIUjlPZ3ej0G+SfhNo2T42jReBWZKTrWFtGPaq7hnm7Uo9ihcq+W5DPEPVXRCW3r0&#10;AnUvgmAH1H9BdVoieGjCREKXQdNoqVIP1M00f9XNUyucSr0QOd5daPL/D1Y+Hp/cN2Rh+AADDTA1&#10;4d0DyJ+eWdi2wu7VHSL0rRI1PTyNlGW988X5aqTaFz6CVP0XqGnI4hAgAQ0NdpEV6pMROg3gdCFd&#10;DYFJOlwt5/liteBMUmw6z+c3szSWTBTP1x368ElBx6JRcqSpJnhxfPAhliOK55T4mgej6502Jjm4&#10;r7YG2VGQAnZppQ5epRnLeqplMVskZAvxfhJHpwMp1Oiu5Ms8rlEzkY6Ptk4pQWgz2lSJsWd+IiUj&#10;OWGoBkqMPFVQn4gphFGJ9HPIaAF/c9aTCkvufx0EKs7MZ0tsr6bzeZRtcuaL90QNw+tIdR0RVhJU&#10;yQNno7kNSeqJB3dHU9npxNdLJedaSV2JxvNPiPK99lPWy3/d/AEAAP//AwBQSwMEFAAGAAgAAAAh&#10;AAM4eKbdAAAACAEAAA8AAABkcnMvZG93bnJldi54bWxMjzFPwzAUhHck/oP1kNio06hpIeSlqqhY&#10;GJAoSDC6sRNH2M+W7abh3+NOMJ7udPdds52tYZMKcXSEsFwUwBR1To40IHy8P9/dA4tJkBTGkUL4&#10;URG27fVVI2rpzvSmpkMaWC6hWAsEnZKvOY+dVlbEhfOKste7YEXKMgxcBnHO5dbwsijW3IqR8oIW&#10;Xj1p1X0fThbh0+pR7sPrVy/NtH/pd5Wfg0e8vZl3j8CSmtNfGC74GR3azHR0J5KRGYR8JCFUyxWw&#10;i1utHjbAjgjlplwDbxv+/0D7CwAA//8DAFBLAQItABQABgAIAAAAIQC2gziS/gAAAOEBAAATAAAA&#10;AAAAAAAAAAAAAAAAAABbQ29udGVudF9UeXBlc10ueG1sUEsBAi0AFAAGAAgAAAAhADj9If/WAAAA&#10;lAEAAAsAAAAAAAAAAAAAAAAALwEAAF9yZWxzLy5yZWxzUEsBAi0AFAAGAAgAAAAhAEHbYlgNAgAA&#10;9wMAAA4AAAAAAAAAAAAAAAAALgIAAGRycy9lMm9Eb2MueG1sUEsBAi0AFAAGAAgAAAAhAAM4eKbd&#10;AAAACAEAAA8AAAAAAAAAAAAAAAAAZwQAAGRycy9kb3ducmV2LnhtbFBLBQYAAAAABAAEAPMAAABx&#10;BQAAAAA=&#10;" stroked="f">
                <v:textbox style="mso-fit-shape-to-text:t">
                  <w:txbxContent>
                    <w:p w14:paraId="119A58C5" w14:textId="77EF678A" w:rsidR="000A6D91" w:rsidRDefault="000A6D91">
                      <w:r>
                        <w:t>Published in February 2022 by the Health Quality &amp; Safety Commission, PO Bo</w:t>
                      </w:r>
                      <w:r w:rsidRPr="000A6D91">
                        <w:t>x 25496, Wellington 6146, New Zealand.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FA4575" w14:textId="1ECB99CC" w:rsidR="00E6634A" w:rsidRDefault="00E6634A"/>
    <w:p w14:paraId="294781A8" w14:textId="03A8269A" w:rsidR="00E6634A" w:rsidRDefault="00E6634A"/>
    <w:p w14:paraId="3745D017" w14:textId="6370CD81" w:rsidR="00E6634A" w:rsidRPr="00106847" w:rsidRDefault="000A6D91" w:rsidP="000A6D91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DE0B79" wp14:editId="31C525BB">
            <wp:simplePos x="0" y="0"/>
            <wp:positionH relativeFrom="column">
              <wp:posOffset>134620</wp:posOffset>
            </wp:positionH>
            <wp:positionV relativeFrom="paragraph">
              <wp:posOffset>2322830</wp:posOffset>
            </wp:positionV>
            <wp:extent cx="2987040" cy="883285"/>
            <wp:effectExtent l="0" t="0" r="381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F52EB91" wp14:editId="33D948A8">
            <wp:simplePos x="0" y="0"/>
            <wp:positionH relativeFrom="column">
              <wp:posOffset>7422515</wp:posOffset>
            </wp:positionH>
            <wp:positionV relativeFrom="paragraph">
              <wp:posOffset>2328708</wp:posOffset>
            </wp:positionV>
            <wp:extent cx="2317115" cy="873760"/>
            <wp:effectExtent l="0" t="0" r="0" b="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sectPr w:rsidR="00E6634A" w:rsidRPr="00106847">
      <w:footerReference w:type="default" r:id="rId14"/>
      <w:pgSz w:w="16840" w:h="11910" w:orient="landscape"/>
      <w:pgMar w:top="980" w:right="480" w:bottom="840" w:left="600" w:header="0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B7E1" w14:textId="77777777" w:rsidR="001A57C9" w:rsidRDefault="001A57C9">
      <w:r>
        <w:separator/>
      </w:r>
    </w:p>
  </w:endnote>
  <w:endnote w:type="continuationSeparator" w:id="0">
    <w:p w14:paraId="5F0DAA11" w14:textId="77777777" w:rsidR="001A57C9" w:rsidRDefault="001A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DBDD" w14:textId="600220AC" w:rsidR="005B1027" w:rsidRDefault="005B1027" w:rsidP="000A6D91">
    <w:pPr>
      <w:pStyle w:val="BodyText"/>
      <w:spacing w:line="14" w:lineRule="auto"/>
      <w:ind w:left="284" w:firstLine="284"/>
      <w:rPr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E4C4" w14:textId="77777777" w:rsidR="001A57C9" w:rsidRDefault="001A57C9">
      <w:r>
        <w:separator/>
      </w:r>
    </w:p>
  </w:footnote>
  <w:footnote w:type="continuationSeparator" w:id="0">
    <w:p w14:paraId="45A8ED40" w14:textId="77777777" w:rsidR="001A57C9" w:rsidRDefault="001A57C9">
      <w:r>
        <w:continuationSeparator/>
      </w:r>
    </w:p>
  </w:footnote>
  <w:footnote w:id="1">
    <w:p w14:paraId="54E8AF86" w14:textId="3E5A5D12" w:rsidR="00231417" w:rsidRDefault="00231417" w:rsidP="00644BFF">
      <w:pPr>
        <w:pStyle w:val="FootnoteText"/>
        <w:ind w:firstLine="142"/>
      </w:pPr>
      <w:r>
        <w:rPr>
          <w:rStyle w:val="FootnoteReference"/>
        </w:rPr>
        <w:footnoteRef/>
      </w:r>
      <w:r>
        <w:t xml:space="preserve"> All documents are available here: </w:t>
      </w:r>
      <w:hyperlink r:id="rId1" w:history="1">
        <w:r w:rsidR="00A168F7" w:rsidRPr="00A168F7">
          <w:rPr>
            <w:rStyle w:val="Hyperlink"/>
          </w:rPr>
          <w:t>www.hqsc.govt.nz/our-work/system-safety/adverse-events/national-adverse-events-reporting-policy</w:t>
        </w:r>
      </w:hyperlink>
      <w:r w:rsidR="00A168F7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A2C"/>
    <w:multiLevelType w:val="hybridMultilevel"/>
    <w:tmpl w:val="7B5AB83E"/>
    <w:lvl w:ilvl="0" w:tplc="990AB62E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B20E13E">
      <w:numFmt w:val="bullet"/>
      <w:lvlText w:val="•"/>
      <w:lvlJc w:val="left"/>
      <w:pPr>
        <w:ind w:left="1183" w:hanging="358"/>
      </w:pPr>
      <w:rPr>
        <w:rFonts w:hint="default"/>
        <w:lang w:val="en-US" w:eastAsia="en-US" w:bidi="en-US"/>
      </w:rPr>
    </w:lvl>
    <w:lvl w:ilvl="2" w:tplc="B2784946">
      <w:numFmt w:val="bullet"/>
      <w:lvlText w:val="•"/>
      <w:lvlJc w:val="left"/>
      <w:pPr>
        <w:ind w:left="1907" w:hanging="358"/>
      </w:pPr>
      <w:rPr>
        <w:rFonts w:hint="default"/>
        <w:lang w:val="en-US" w:eastAsia="en-US" w:bidi="en-US"/>
      </w:rPr>
    </w:lvl>
    <w:lvl w:ilvl="3" w:tplc="91AE59D0">
      <w:numFmt w:val="bullet"/>
      <w:lvlText w:val="•"/>
      <w:lvlJc w:val="left"/>
      <w:pPr>
        <w:ind w:left="2630" w:hanging="358"/>
      </w:pPr>
      <w:rPr>
        <w:rFonts w:hint="default"/>
        <w:lang w:val="en-US" w:eastAsia="en-US" w:bidi="en-US"/>
      </w:rPr>
    </w:lvl>
    <w:lvl w:ilvl="4" w:tplc="10306376">
      <w:numFmt w:val="bullet"/>
      <w:lvlText w:val="•"/>
      <w:lvlJc w:val="left"/>
      <w:pPr>
        <w:ind w:left="3354" w:hanging="358"/>
      </w:pPr>
      <w:rPr>
        <w:rFonts w:hint="default"/>
        <w:lang w:val="en-US" w:eastAsia="en-US" w:bidi="en-US"/>
      </w:rPr>
    </w:lvl>
    <w:lvl w:ilvl="5" w:tplc="41304128">
      <w:numFmt w:val="bullet"/>
      <w:lvlText w:val="•"/>
      <w:lvlJc w:val="left"/>
      <w:pPr>
        <w:ind w:left="4078" w:hanging="358"/>
      </w:pPr>
      <w:rPr>
        <w:rFonts w:hint="default"/>
        <w:lang w:val="en-US" w:eastAsia="en-US" w:bidi="en-US"/>
      </w:rPr>
    </w:lvl>
    <w:lvl w:ilvl="6" w:tplc="150E3146">
      <w:numFmt w:val="bullet"/>
      <w:lvlText w:val="•"/>
      <w:lvlJc w:val="left"/>
      <w:pPr>
        <w:ind w:left="4801" w:hanging="358"/>
      </w:pPr>
      <w:rPr>
        <w:rFonts w:hint="default"/>
        <w:lang w:val="en-US" w:eastAsia="en-US" w:bidi="en-US"/>
      </w:rPr>
    </w:lvl>
    <w:lvl w:ilvl="7" w:tplc="DB5C18D0">
      <w:numFmt w:val="bullet"/>
      <w:lvlText w:val="•"/>
      <w:lvlJc w:val="left"/>
      <w:pPr>
        <w:ind w:left="5525" w:hanging="358"/>
      </w:pPr>
      <w:rPr>
        <w:rFonts w:hint="default"/>
        <w:lang w:val="en-US" w:eastAsia="en-US" w:bidi="en-US"/>
      </w:rPr>
    </w:lvl>
    <w:lvl w:ilvl="8" w:tplc="296C7D64">
      <w:numFmt w:val="bullet"/>
      <w:lvlText w:val="•"/>
      <w:lvlJc w:val="left"/>
      <w:pPr>
        <w:ind w:left="6248" w:hanging="358"/>
      </w:pPr>
      <w:rPr>
        <w:rFonts w:hint="default"/>
        <w:lang w:val="en-US" w:eastAsia="en-US" w:bidi="en-US"/>
      </w:rPr>
    </w:lvl>
  </w:abstractNum>
  <w:abstractNum w:abstractNumId="1" w15:restartNumberingAfterBreak="0">
    <w:nsid w:val="18413B21"/>
    <w:multiLevelType w:val="hybridMultilevel"/>
    <w:tmpl w:val="4FAA7D84"/>
    <w:lvl w:ilvl="0" w:tplc="87BA6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14F6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C58CA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56A7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C08F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D2F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1AEC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387E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B2A1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00FED"/>
    <w:multiLevelType w:val="multilevel"/>
    <w:tmpl w:val="4C1E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56E0E"/>
    <w:multiLevelType w:val="multilevel"/>
    <w:tmpl w:val="B472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C61F2"/>
    <w:multiLevelType w:val="multilevel"/>
    <w:tmpl w:val="85D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62042"/>
    <w:multiLevelType w:val="hybridMultilevel"/>
    <w:tmpl w:val="558A19A6"/>
    <w:lvl w:ilvl="0" w:tplc="7EC4B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166A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2480E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E0A2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A6EE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CC1C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F80B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B6F0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783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31BBE"/>
    <w:multiLevelType w:val="hybridMultilevel"/>
    <w:tmpl w:val="BDFC09F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831ED"/>
    <w:multiLevelType w:val="hybridMultilevel"/>
    <w:tmpl w:val="3656DA38"/>
    <w:lvl w:ilvl="0" w:tplc="1150711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F202456">
      <w:numFmt w:val="bullet"/>
      <w:lvlText w:val="•"/>
      <w:lvlJc w:val="left"/>
      <w:pPr>
        <w:ind w:left="1178" w:hanging="358"/>
      </w:pPr>
      <w:rPr>
        <w:rFonts w:hint="default"/>
        <w:lang w:val="en-US" w:eastAsia="en-US" w:bidi="en-US"/>
      </w:rPr>
    </w:lvl>
    <w:lvl w:ilvl="2" w:tplc="6E24C4EC">
      <w:numFmt w:val="bullet"/>
      <w:lvlText w:val="•"/>
      <w:lvlJc w:val="left"/>
      <w:pPr>
        <w:ind w:left="1896" w:hanging="358"/>
      </w:pPr>
      <w:rPr>
        <w:rFonts w:hint="default"/>
        <w:lang w:val="en-US" w:eastAsia="en-US" w:bidi="en-US"/>
      </w:rPr>
    </w:lvl>
    <w:lvl w:ilvl="3" w:tplc="0E508380">
      <w:numFmt w:val="bullet"/>
      <w:lvlText w:val="•"/>
      <w:lvlJc w:val="left"/>
      <w:pPr>
        <w:ind w:left="2615" w:hanging="358"/>
      </w:pPr>
      <w:rPr>
        <w:rFonts w:hint="default"/>
        <w:lang w:val="en-US" w:eastAsia="en-US" w:bidi="en-US"/>
      </w:rPr>
    </w:lvl>
    <w:lvl w:ilvl="4" w:tplc="32F8DF5E">
      <w:numFmt w:val="bullet"/>
      <w:lvlText w:val="•"/>
      <w:lvlJc w:val="left"/>
      <w:pPr>
        <w:ind w:left="3333" w:hanging="358"/>
      </w:pPr>
      <w:rPr>
        <w:rFonts w:hint="default"/>
        <w:lang w:val="en-US" w:eastAsia="en-US" w:bidi="en-US"/>
      </w:rPr>
    </w:lvl>
    <w:lvl w:ilvl="5" w:tplc="97980CD4">
      <w:numFmt w:val="bullet"/>
      <w:lvlText w:val="•"/>
      <w:lvlJc w:val="left"/>
      <w:pPr>
        <w:ind w:left="4052" w:hanging="358"/>
      </w:pPr>
      <w:rPr>
        <w:rFonts w:hint="default"/>
        <w:lang w:val="en-US" w:eastAsia="en-US" w:bidi="en-US"/>
      </w:rPr>
    </w:lvl>
    <w:lvl w:ilvl="6" w:tplc="979A5E68">
      <w:numFmt w:val="bullet"/>
      <w:lvlText w:val="•"/>
      <w:lvlJc w:val="left"/>
      <w:pPr>
        <w:ind w:left="4770" w:hanging="358"/>
      </w:pPr>
      <w:rPr>
        <w:rFonts w:hint="default"/>
        <w:lang w:val="en-US" w:eastAsia="en-US" w:bidi="en-US"/>
      </w:rPr>
    </w:lvl>
    <w:lvl w:ilvl="7" w:tplc="1E8A1EAC">
      <w:numFmt w:val="bullet"/>
      <w:lvlText w:val="•"/>
      <w:lvlJc w:val="left"/>
      <w:pPr>
        <w:ind w:left="5488" w:hanging="358"/>
      </w:pPr>
      <w:rPr>
        <w:rFonts w:hint="default"/>
        <w:lang w:val="en-US" w:eastAsia="en-US" w:bidi="en-US"/>
      </w:rPr>
    </w:lvl>
    <w:lvl w:ilvl="8" w:tplc="F9885C3C">
      <w:numFmt w:val="bullet"/>
      <w:lvlText w:val="•"/>
      <w:lvlJc w:val="left"/>
      <w:pPr>
        <w:ind w:left="6207" w:hanging="358"/>
      </w:pPr>
      <w:rPr>
        <w:rFonts w:hint="default"/>
        <w:lang w:val="en-US" w:eastAsia="en-US" w:bidi="en-US"/>
      </w:rPr>
    </w:lvl>
  </w:abstractNum>
  <w:abstractNum w:abstractNumId="8" w15:restartNumberingAfterBreak="0">
    <w:nsid w:val="6AA61F19"/>
    <w:multiLevelType w:val="hybridMultilevel"/>
    <w:tmpl w:val="6D6AE682"/>
    <w:lvl w:ilvl="0" w:tplc="CBD4FC50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1949C6A">
      <w:numFmt w:val="bullet"/>
      <w:lvlText w:val="•"/>
      <w:lvlJc w:val="left"/>
      <w:pPr>
        <w:ind w:left="1189" w:hanging="358"/>
      </w:pPr>
      <w:rPr>
        <w:rFonts w:hint="default"/>
        <w:lang w:val="en-US" w:eastAsia="en-US" w:bidi="en-US"/>
      </w:rPr>
    </w:lvl>
    <w:lvl w:ilvl="2" w:tplc="20EECE6C">
      <w:numFmt w:val="bullet"/>
      <w:lvlText w:val="•"/>
      <w:lvlJc w:val="left"/>
      <w:pPr>
        <w:ind w:left="1919" w:hanging="358"/>
      </w:pPr>
      <w:rPr>
        <w:rFonts w:hint="default"/>
        <w:lang w:val="en-US" w:eastAsia="en-US" w:bidi="en-US"/>
      </w:rPr>
    </w:lvl>
    <w:lvl w:ilvl="3" w:tplc="805A82A6">
      <w:numFmt w:val="bullet"/>
      <w:lvlText w:val="•"/>
      <w:lvlJc w:val="left"/>
      <w:pPr>
        <w:ind w:left="2649" w:hanging="358"/>
      </w:pPr>
      <w:rPr>
        <w:rFonts w:hint="default"/>
        <w:lang w:val="en-US" w:eastAsia="en-US" w:bidi="en-US"/>
      </w:rPr>
    </w:lvl>
    <w:lvl w:ilvl="4" w:tplc="B0368EFE">
      <w:numFmt w:val="bullet"/>
      <w:lvlText w:val="•"/>
      <w:lvlJc w:val="left"/>
      <w:pPr>
        <w:ind w:left="3379" w:hanging="358"/>
      </w:pPr>
      <w:rPr>
        <w:rFonts w:hint="default"/>
        <w:lang w:val="en-US" w:eastAsia="en-US" w:bidi="en-US"/>
      </w:rPr>
    </w:lvl>
    <w:lvl w:ilvl="5" w:tplc="51AA788A">
      <w:numFmt w:val="bullet"/>
      <w:lvlText w:val="•"/>
      <w:lvlJc w:val="left"/>
      <w:pPr>
        <w:ind w:left="4109" w:hanging="358"/>
      </w:pPr>
      <w:rPr>
        <w:rFonts w:hint="default"/>
        <w:lang w:val="en-US" w:eastAsia="en-US" w:bidi="en-US"/>
      </w:rPr>
    </w:lvl>
    <w:lvl w:ilvl="6" w:tplc="A704F4F0">
      <w:numFmt w:val="bullet"/>
      <w:lvlText w:val="•"/>
      <w:lvlJc w:val="left"/>
      <w:pPr>
        <w:ind w:left="4839" w:hanging="358"/>
      </w:pPr>
      <w:rPr>
        <w:rFonts w:hint="default"/>
        <w:lang w:val="en-US" w:eastAsia="en-US" w:bidi="en-US"/>
      </w:rPr>
    </w:lvl>
    <w:lvl w:ilvl="7" w:tplc="3F54E312">
      <w:numFmt w:val="bullet"/>
      <w:lvlText w:val="•"/>
      <w:lvlJc w:val="left"/>
      <w:pPr>
        <w:ind w:left="5569" w:hanging="358"/>
      </w:pPr>
      <w:rPr>
        <w:rFonts w:hint="default"/>
        <w:lang w:val="en-US" w:eastAsia="en-US" w:bidi="en-US"/>
      </w:rPr>
    </w:lvl>
    <w:lvl w:ilvl="8" w:tplc="E10056A6">
      <w:numFmt w:val="bullet"/>
      <w:lvlText w:val="•"/>
      <w:lvlJc w:val="left"/>
      <w:pPr>
        <w:ind w:left="6299" w:hanging="358"/>
      </w:pPr>
      <w:rPr>
        <w:rFonts w:hint="default"/>
        <w:lang w:val="en-US" w:eastAsia="en-US" w:bidi="en-US"/>
      </w:rPr>
    </w:lvl>
  </w:abstractNum>
  <w:abstractNum w:abstractNumId="9" w15:restartNumberingAfterBreak="0">
    <w:nsid w:val="6F891F82"/>
    <w:multiLevelType w:val="hybridMultilevel"/>
    <w:tmpl w:val="DE445462"/>
    <w:lvl w:ilvl="0" w:tplc="BAEEB328">
      <w:numFmt w:val="bullet"/>
      <w:lvlText w:val=""/>
      <w:lvlJc w:val="left"/>
      <w:pPr>
        <w:ind w:left="467" w:hanging="35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DA8BA36">
      <w:numFmt w:val="bullet"/>
      <w:lvlText w:val="o"/>
      <w:lvlJc w:val="left"/>
      <w:pPr>
        <w:ind w:left="731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3606DB90">
      <w:numFmt w:val="bullet"/>
      <w:lvlText w:val="•"/>
      <w:lvlJc w:val="left"/>
      <w:pPr>
        <w:ind w:left="1512" w:hanging="284"/>
      </w:pPr>
      <w:rPr>
        <w:rFonts w:hint="default"/>
        <w:lang w:val="en-US" w:eastAsia="en-US" w:bidi="en-US"/>
      </w:rPr>
    </w:lvl>
    <w:lvl w:ilvl="3" w:tplc="E306FED8">
      <w:numFmt w:val="bullet"/>
      <w:lvlText w:val="•"/>
      <w:lvlJc w:val="left"/>
      <w:pPr>
        <w:ind w:left="2285" w:hanging="284"/>
      </w:pPr>
      <w:rPr>
        <w:rFonts w:hint="default"/>
        <w:lang w:val="en-US" w:eastAsia="en-US" w:bidi="en-US"/>
      </w:rPr>
    </w:lvl>
    <w:lvl w:ilvl="4" w:tplc="3B6062A6">
      <w:numFmt w:val="bullet"/>
      <w:lvlText w:val="•"/>
      <w:lvlJc w:val="left"/>
      <w:pPr>
        <w:ind w:left="3058" w:hanging="284"/>
      </w:pPr>
      <w:rPr>
        <w:rFonts w:hint="default"/>
        <w:lang w:val="en-US" w:eastAsia="en-US" w:bidi="en-US"/>
      </w:rPr>
    </w:lvl>
    <w:lvl w:ilvl="5" w:tplc="D7F2E73A">
      <w:numFmt w:val="bullet"/>
      <w:lvlText w:val="•"/>
      <w:lvlJc w:val="left"/>
      <w:pPr>
        <w:ind w:left="3831" w:hanging="284"/>
      </w:pPr>
      <w:rPr>
        <w:rFonts w:hint="default"/>
        <w:lang w:val="en-US" w:eastAsia="en-US" w:bidi="en-US"/>
      </w:rPr>
    </w:lvl>
    <w:lvl w:ilvl="6" w:tplc="3BBE4B5A">
      <w:numFmt w:val="bullet"/>
      <w:lvlText w:val="•"/>
      <w:lvlJc w:val="left"/>
      <w:pPr>
        <w:ind w:left="4604" w:hanging="284"/>
      </w:pPr>
      <w:rPr>
        <w:rFonts w:hint="default"/>
        <w:lang w:val="en-US" w:eastAsia="en-US" w:bidi="en-US"/>
      </w:rPr>
    </w:lvl>
    <w:lvl w:ilvl="7" w:tplc="291C79E4">
      <w:numFmt w:val="bullet"/>
      <w:lvlText w:val="•"/>
      <w:lvlJc w:val="left"/>
      <w:pPr>
        <w:ind w:left="5377" w:hanging="284"/>
      </w:pPr>
      <w:rPr>
        <w:rFonts w:hint="default"/>
        <w:lang w:val="en-US" w:eastAsia="en-US" w:bidi="en-US"/>
      </w:rPr>
    </w:lvl>
    <w:lvl w:ilvl="8" w:tplc="B102286A">
      <w:numFmt w:val="bullet"/>
      <w:lvlText w:val="•"/>
      <w:lvlJc w:val="left"/>
      <w:pPr>
        <w:ind w:left="6150" w:hanging="28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27"/>
    <w:rsid w:val="00013646"/>
    <w:rsid w:val="00013DD2"/>
    <w:rsid w:val="000207C8"/>
    <w:rsid w:val="00023A20"/>
    <w:rsid w:val="00030F8D"/>
    <w:rsid w:val="00041155"/>
    <w:rsid w:val="0006549D"/>
    <w:rsid w:val="0007753E"/>
    <w:rsid w:val="00085173"/>
    <w:rsid w:val="000937B5"/>
    <w:rsid w:val="0009531C"/>
    <w:rsid w:val="000A051B"/>
    <w:rsid w:val="000A6D91"/>
    <w:rsid w:val="000D1587"/>
    <w:rsid w:val="000D4F4F"/>
    <w:rsid w:val="000E0EE8"/>
    <w:rsid w:val="000E16E6"/>
    <w:rsid w:val="000E5419"/>
    <w:rsid w:val="000E5FA8"/>
    <w:rsid w:val="000F61D8"/>
    <w:rsid w:val="001024B9"/>
    <w:rsid w:val="00106847"/>
    <w:rsid w:val="00106929"/>
    <w:rsid w:val="00106FC3"/>
    <w:rsid w:val="001137D9"/>
    <w:rsid w:val="00117223"/>
    <w:rsid w:val="0013426D"/>
    <w:rsid w:val="00134CC9"/>
    <w:rsid w:val="001409E2"/>
    <w:rsid w:val="00142549"/>
    <w:rsid w:val="00157FD9"/>
    <w:rsid w:val="00160D9D"/>
    <w:rsid w:val="00163E59"/>
    <w:rsid w:val="00171AED"/>
    <w:rsid w:val="001852D3"/>
    <w:rsid w:val="00191669"/>
    <w:rsid w:val="001A0728"/>
    <w:rsid w:val="001A4594"/>
    <w:rsid w:val="001A57C9"/>
    <w:rsid w:val="001B0CF8"/>
    <w:rsid w:val="001B14A6"/>
    <w:rsid w:val="001B4186"/>
    <w:rsid w:val="001C0948"/>
    <w:rsid w:val="001C43A2"/>
    <w:rsid w:val="001C4E12"/>
    <w:rsid w:val="001D1238"/>
    <w:rsid w:val="001D3EF5"/>
    <w:rsid w:val="001F6C15"/>
    <w:rsid w:val="002027C6"/>
    <w:rsid w:val="00204000"/>
    <w:rsid w:val="00206299"/>
    <w:rsid w:val="00231417"/>
    <w:rsid w:val="0023283A"/>
    <w:rsid w:val="002464D6"/>
    <w:rsid w:val="00263A50"/>
    <w:rsid w:val="00265739"/>
    <w:rsid w:val="00270714"/>
    <w:rsid w:val="002775F7"/>
    <w:rsid w:val="00281224"/>
    <w:rsid w:val="002836B0"/>
    <w:rsid w:val="00283BC6"/>
    <w:rsid w:val="0029462D"/>
    <w:rsid w:val="002947C1"/>
    <w:rsid w:val="00296DA7"/>
    <w:rsid w:val="002A03FB"/>
    <w:rsid w:val="002A38D1"/>
    <w:rsid w:val="002A6188"/>
    <w:rsid w:val="002C4152"/>
    <w:rsid w:val="002C76F7"/>
    <w:rsid w:val="002D08B2"/>
    <w:rsid w:val="002D70E5"/>
    <w:rsid w:val="002E212A"/>
    <w:rsid w:val="002E3E16"/>
    <w:rsid w:val="002F1515"/>
    <w:rsid w:val="003101C4"/>
    <w:rsid w:val="00312414"/>
    <w:rsid w:val="0031627A"/>
    <w:rsid w:val="00340681"/>
    <w:rsid w:val="00341C0B"/>
    <w:rsid w:val="00346A04"/>
    <w:rsid w:val="00347376"/>
    <w:rsid w:val="00354594"/>
    <w:rsid w:val="003550E1"/>
    <w:rsid w:val="00357168"/>
    <w:rsid w:val="0035775F"/>
    <w:rsid w:val="00364C50"/>
    <w:rsid w:val="003671AA"/>
    <w:rsid w:val="003725D7"/>
    <w:rsid w:val="00385609"/>
    <w:rsid w:val="003930B8"/>
    <w:rsid w:val="003A62A6"/>
    <w:rsid w:val="003A7AAA"/>
    <w:rsid w:val="003B2709"/>
    <w:rsid w:val="003B2F01"/>
    <w:rsid w:val="003B554F"/>
    <w:rsid w:val="003C1F0D"/>
    <w:rsid w:val="003C4C03"/>
    <w:rsid w:val="003D4B91"/>
    <w:rsid w:val="003D7046"/>
    <w:rsid w:val="003E58DA"/>
    <w:rsid w:val="0042398A"/>
    <w:rsid w:val="004248E7"/>
    <w:rsid w:val="0043549E"/>
    <w:rsid w:val="0044149A"/>
    <w:rsid w:val="0044260D"/>
    <w:rsid w:val="00461F23"/>
    <w:rsid w:val="00476610"/>
    <w:rsid w:val="00477F1D"/>
    <w:rsid w:val="004814CC"/>
    <w:rsid w:val="00484527"/>
    <w:rsid w:val="00487C63"/>
    <w:rsid w:val="0049444B"/>
    <w:rsid w:val="004A2488"/>
    <w:rsid w:val="004A57D0"/>
    <w:rsid w:val="004B7C1E"/>
    <w:rsid w:val="004C241A"/>
    <w:rsid w:val="004D1DC0"/>
    <w:rsid w:val="004D37F3"/>
    <w:rsid w:val="004E260E"/>
    <w:rsid w:val="004E58CE"/>
    <w:rsid w:val="004E7997"/>
    <w:rsid w:val="00515C08"/>
    <w:rsid w:val="00537BD6"/>
    <w:rsid w:val="00542171"/>
    <w:rsid w:val="00547ED2"/>
    <w:rsid w:val="00551BDF"/>
    <w:rsid w:val="00577E2D"/>
    <w:rsid w:val="00577FE8"/>
    <w:rsid w:val="00581FCB"/>
    <w:rsid w:val="005945A0"/>
    <w:rsid w:val="005A5967"/>
    <w:rsid w:val="005B1027"/>
    <w:rsid w:val="005C30CC"/>
    <w:rsid w:val="005D4A9C"/>
    <w:rsid w:val="005F76EA"/>
    <w:rsid w:val="00604E79"/>
    <w:rsid w:val="0062096C"/>
    <w:rsid w:val="00626413"/>
    <w:rsid w:val="00630DA9"/>
    <w:rsid w:val="00644BFF"/>
    <w:rsid w:val="00662820"/>
    <w:rsid w:val="00670792"/>
    <w:rsid w:val="00673670"/>
    <w:rsid w:val="0068400B"/>
    <w:rsid w:val="00685287"/>
    <w:rsid w:val="00685DFE"/>
    <w:rsid w:val="00695291"/>
    <w:rsid w:val="006A2B67"/>
    <w:rsid w:val="006A3574"/>
    <w:rsid w:val="006A3963"/>
    <w:rsid w:val="006A75DA"/>
    <w:rsid w:val="006C1E4D"/>
    <w:rsid w:val="006C7169"/>
    <w:rsid w:val="006D2BAB"/>
    <w:rsid w:val="006E58F8"/>
    <w:rsid w:val="006F08A6"/>
    <w:rsid w:val="006F3A48"/>
    <w:rsid w:val="006F6E27"/>
    <w:rsid w:val="0070457A"/>
    <w:rsid w:val="00706450"/>
    <w:rsid w:val="00726ABE"/>
    <w:rsid w:val="00727897"/>
    <w:rsid w:val="00740470"/>
    <w:rsid w:val="00741EC5"/>
    <w:rsid w:val="0075635A"/>
    <w:rsid w:val="00762645"/>
    <w:rsid w:val="00776C51"/>
    <w:rsid w:val="00785397"/>
    <w:rsid w:val="00791D26"/>
    <w:rsid w:val="007A2A71"/>
    <w:rsid w:val="007A7EC4"/>
    <w:rsid w:val="007B1213"/>
    <w:rsid w:val="007B49ED"/>
    <w:rsid w:val="007B6C6D"/>
    <w:rsid w:val="007B748C"/>
    <w:rsid w:val="007B7581"/>
    <w:rsid w:val="007C509B"/>
    <w:rsid w:val="007D785F"/>
    <w:rsid w:val="007E0CE3"/>
    <w:rsid w:val="007E12EC"/>
    <w:rsid w:val="007E7D81"/>
    <w:rsid w:val="007F0884"/>
    <w:rsid w:val="007F3135"/>
    <w:rsid w:val="0080061A"/>
    <w:rsid w:val="00810D8A"/>
    <w:rsid w:val="00814490"/>
    <w:rsid w:val="008174D8"/>
    <w:rsid w:val="00820D28"/>
    <w:rsid w:val="0082597A"/>
    <w:rsid w:val="00833941"/>
    <w:rsid w:val="0083645D"/>
    <w:rsid w:val="0084223F"/>
    <w:rsid w:val="00844C90"/>
    <w:rsid w:val="008504D4"/>
    <w:rsid w:val="0085158A"/>
    <w:rsid w:val="0085299F"/>
    <w:rsid w:val="00853239"/>
    <w:rsid w:val="00861EB0"/>
    <w:rsid w:val="00862B8B"/>
    <w:rsid w:val="00871316"/>
    <w:rsid w:val="008829F0"/>
    <w:rsid w:val="008866D1"/>
    <w:rsid w:val="00887BDD"/>
    <w:rsid w:val="00897360"/>
    <w:rsid w:val="008B7EA8"/>
    <w:rsid w:val="008C0ED2"/>
    <w:rsid w:val="008C5998"/>
    <w:rsid w:val="008C6644"/>
    <w:rsid w:val="008C7DCB"/>
    <w:rsid w:val="0091357D"/>
    <w:rsid w:val="009157A1"/>
    <w:rsid w:val="00916266"/>
    <w:rsid w:val="0092051D"/>
    <w:rsid w:val="0092515B"/>
    <w:rsid w:val="009307EF"/>
    <w:rsid w:val="0095108E"/>
    <w:rsid w:val="00955BE2"/>
    <w:rsid w:val="00956BEE"/>
    <w:rsid w:val="0095777D"/>
    <w:rsid w:val="00972D2B"/>
    <w:rsid w:val="00973278"/>
    <w:rsid w:val="00975D41"/>
    <w:rsid w:val="00981764"/>
    <w:rsid w:val="009A5D5A"/>
    <w:rsid w:val="009C72D1"/>
    <w:rsid w:val="009D4FDC"/>
    <w:rsid w:val="009E3836"/>
    <w:rsid w:val="009F479F"/>
    <w:rsid w:val="009F7F93"/>
    <w:rsid w:val="00A129B2"/>
    <w:rsid w:val="00A129CC"/>
    <w:rsid w:val="00A168F7"/>
    <w:rsid w:val="00A2655A"/>
    <w:rsid w:val="00A315FE"/>
    <w:rsid w:val="00A34587"/>
    <w:rsid w:val="00A36796"/>
    <w:rsid w:val="00A42CC7"/>
    <w:rsid w:val="00A6074F"/>
    <w:rsid w:val="00A772BD"/>
    <w:rsid w:val="00A9093F"/>
    <w:rsid w:val="00A90B31"/>
    <w:rsid w:val="00A9409F"/>
    <w:rsid w:val="00AA6990"/>
    <w:rsid w:val="00AA75E9"/>
    <w:rsid w:val="00AB02AA"/>
    <w:rsid w:val="00AB4CC4"/>
    <w:rsid w:val="00AB67E8"/>
    <w:rsid w:val="00AC16C3"/>
    <w:rsid w:val="00AC5141"/>
    <w:rsid w:val="00AC6C32"/>
    <w:rsid w:val="00AD22F7"/>
    <w:rsid w:val="00AE2B12"/>
    <w:rsid w:val="00AE5A62"/>
    <w:rsid w:val="00AF4BC3"/>
    <w:rsid w:val="00AF630B"/>
    <w:rsid w:val="00B04CDA"/>
    <w:rsid w:val="00B11674"/>
    <w:rsid w:val="00B16AA5"/>
    <w:rsid w:val="00B223F7"/>
    <w:rsid w:val="00B264E8"/>
    <w:rsid w:val="00B26EF5"/>
    <w:rsid w:val="00B35856"/>
    <w:rsid w:val="00B364D4"/>
    <w:rsid w:val="00B44651"/>
    <w:rsid w:val="00B462B7"/>
    <w:rsid w:val="00B631AF"/>
    <w:rsid w:val="00B641B2"/>
    <w:rsid w:val="00B662C6"/>
    <w:rsid w:val="00B865DD"/>
    <w:rsid w:val="00BA0165"/>
    <w:rsid w:val="00BA1918"/>
    <w:rsid w:val="00BA2590"/>
    <w:rsid w:val="00BA3D51"/>
    <w:rsid w:val="00BA699B"/>
    <w:rsid w:val="00BA7AC6"/>
    <w:rsid w:val="00BB09BE"/>
    <w:rsid w:val="00BC5253"/>
    <w:rsid w:val="00BD0A17"/>
    <w:rsid w:val="00BD0CCC"/>
    <w:rsid w:val="00BD0CE5"/>
    <w:rsid w:val="00BD3FF3"/>
    <w:rsid w:val="00BE4F09"/>
    <w:rsid w:val="00BE599E"/>
    <w:rsid w:val="00BF3B85"/>
    <w:rsid w:val="00C00151"/>
    <w:rsid w:val="00C00FBC"/>
    <w:rsid w:val="00C03FC6"/>
    <w:rsid w:val="00C0601B"/>
    <w:rsid w:val="00C10CEF"/>
    <w:rsid w:val="00C1282A"/>
    <w:rsid w:val="00C15217"/>
    <w:rsid w:val="00C16A9D"/>
    <w:rsid w:val="00C27EC1"/>
    <w:rsid w:val="00C3221F"/>
    <w:rsid w:val="00C37088"/>
    <w:rsid w:val="00C3713E"/>
    <w:rsid w:val="00C4015B"/>
    <w:rsid w:val="00C43E0A"/>
    <w:rsid w:val="00C4544E"/>
    <w:rsid w:val="00C659E4"/>
    <w:rsid w:val="00C717B2"/>
    <w:rsid w:val="00C771E8"/>
    <w:rsid w:val="00C82246"/>
    <w:rsid w:val="00C84DD4"/>
    <w:rsid w:val="00C852EC"/>
    <w:rsid w:val="00C92C1F"/>
    <w:rsid w:val="00C934F1"/>
    <w:rsid w:val="00C937F5"/>
    <w:rsid w:val="00C953AD"/>
    <w:rsid w:val="00C9656B"/>
    <w:rsid w:val="00C9744A"/>
    <w:rsid w:val="00CA1A1F"/>
    <w:rsid w:val="00CA39DF"/>
    <w:rsid w:val="00CA5C47"/>
    <w:rsid w:val="00CB44BD"/>
    <w:rsid w:val="00CC2C5D"/>
    <w:rsid w:val="00CC39FB"/>
    <w:rsid w:val="00CC3ED8"/>
    <w:rsid w:val="00CD27FC"/>
    <w:rsid w:val="00CD2CCA"/>
    <w:rsid w:val="00CE4D69"/>
    <w:rsid w:val="00CF6A29"/>
    <w:rsid w:val="00D00D12"/>
    <w:rsid w:val="00D0451A"/>
    <w:rsid w:val="00D0660A"/>
    <w:rsid w:val="00D1747C"/>
    <w:rsid w:val="00D346C1"/>
    <w:rsid w:val="00D36C67"/>
    <w:rsid w:val="00D47491"/>
    <w:rsid w:val="00D734E9"/>
    <w:rsid w:val="00D7500E"/>
    <w:rsid w:val="00D9646E"/>
    <w:rsid w:val="00DB3C04"/>
    <w:rsid w:val="00DD29D1"/>
    <w:rsid w:val="00DD7B14"/>
    <w:rsid w:val="00DE2BCB"/>
    <w:rsid w:val="00DE2D65"/>
    <w:rsid w:val="00DE303A"/>
    <w:rsid w:val="00DE7875"/>
    <w:rsid w:val="00E207B0"/>
    <w:rsid w:val="00E233D0"/>
    <w:rsid w:val="00E359B2"/>
    <w:rsid w:val="00E3703F"/>
    <w:rsid w:val="00E45E74"/>
    <w:rsid w:val="00E653BE"/>
    <w:rsid w:val="00E66347"/>
    <w:rsid w:val="00E6634A"/>
    <w:rsid w:val="00E71F66"/>
    <w:rsid w:val="00E71F96"/>
    <w:rsid w:val="00E80239"/>
    <w:rsid w:val="00E84054"/>
    <w:rsid w:val="00EA1C6D"/>
    <w:rsid w:val="00EA5492"/>
    <w:rsid w:val="00EB08B8"/>
    <w:rsid w:val="00EC39B1"/>
    <w:rsid w:val="00EC47C1"/>
    <w:rsid w:val="00EE12C9"/>
    <w:rsid w:val="00EF6D4E"/>
    <w:rsid w:val="00F0301E"/>
    <w:rsid w:val="00F040A7"/>
    <w:rsid w:val="00F10CFC"/>
    <w:rsid w:val="00F1475F"/>
    <w:rsid w:val="00F2311D"/>
    <w:rsid w:val="00F30017"/>
    <w:rsid w:val="00F44DC9"/>
    <w:rsid w:val="00F51961"/>
    <w:rsid w:val="00F52B28"/>
    <w:rsid w:val="00F638DC"/>
    <w:rsid w:val="00F71366"/>
    <w:rsid w:val="00F717E2"/>
    <w:rsid w:val="00F71E55"/>
    <w:rsid w:val="00F75303"/>
    <w:rsid w:val="00F82724"/>
    <w:rsid w:val="00F87969"/>
    <w:rsid w:val="00F94EA8"/>
    <w:rsid w:val="00F97BFD"/>
    <w:rsid w:val="00FA75FC"/>
    <w:rsid w:val="00FB3A93"/>
    <w:rsid w:val="00FC5948"/>
    <w:rsid w:val="00FC66A9"/>
    <w:rsid w:val="00FE1DAE"/>
    <w:rsid w:val="00FF00E6"/>
    <w:rsid w:val="00FF1CD2"/>
    <w:rsid w:val="00FF227D"/>
    <w:rsid w:val="020D1348"/>
    <w:rsid w:val="02476083"/>
    <w:rsid w:val="033BF47D"/>
    <w:rsid w:val="036BE65C"/>
    <w:rsid w:val="04D7C4DE"/>
    <w:rsid w:val="04F2B2F4"/>
    <w:rsid w:val="07F79FB9"/>
    <w:rsid w:val="095A3DB5"/>
    <w:rsid w:val="098753FA"/>
    <w:rsid w:val="0C75DC85"/>
    <w:rsid w:val="0D4318EF"/>
    <w:rsid w:val="0D8DC131"/>
    <w:rsid w:val="0DE5933D"/>
    <w:rsid w:val="0E91AF68"/>
    <w:rsid w:val="0EC89846"/>
    <w:rsid w:val="10058EB8"/>
    <w:rsid w:val="107BF3AF"/>
    <w:rsid w:val="10C9428E"/>
    <w:rsid w:val="1180BF73"/>
    <w:rsid w:val="124CF6EF"/>
    <w:rsid w:val="13B39471"/>
    <w:rsid w:val="13F9A774"/>
    <w:rsid w:val="1400E350"/>
    <w:rsid w:val="149BE6CC"/>
    <w:rsid w:val="14BB681D"/>
    <w:rsid w:val="159CB3B1"/>
    <w:rsid w:val="15A9594C"/>
    <w:rsid w:val="1669D764"/>
    <w:rsid w:val="18B1B2DC"/>
    <w:rsid w:val="19E0682B"/>
    <w:rsid w:val="1C579176"/>
    <w:rsid w:val="1CA0688C"/>
    <w:rsid w:val="1CAAB552"/>
    <w:rsid w:val="1E038702"/>
    <w:rsid w:val="1E4156DD"/>
    <w:rsid w:val="1E75A3A0"/>
    <w:rsid w:val="1F325B20"/>
    <w:rsid w:val="1F4D7742"/>
    <w:rsid w:val="1FE25614"/>
    <w:rsid w:val="20823FD9"/>
    <w:rsid w:val="20CE2B81"/>
    <w:rsid w:val="22B380C4"/>
    <w:rsid w:val="2453895E"/>
    <w:rsid w:val="24BD7B2E"/>
    <w:rsid w:val="25C57EAB"/>
    <w:rsid w:val="260FBB73"/>
    <w:rsid w:val="27F39231"/>
    <w:rsid w:val="296ABF1F"/>
    <w:rsid w:val="297FE636"/>
    <w:rsid w:val="2A5AF3EC"/>
    <w:rsid w:val="2A98EFCE"/>
    <w:rsid w:val="2AEFEDFB"/>
    <w:rsid w:val="2B00E6D9"/>
    <w:rsid w:val="2BE7A789"/>
    <w:rsid w:val="2D0CE6CC"/>
    <w:rsid w:val="2E43E6C2"/>
    <w:rsid w:val="2F859701"/>
    <w:rsid w:val="30EC3CD1"/>
    <w:rsid w:val="314B0848"/>
    <w:rsid w:val="315DD4E2"/>
    <w:rsid w:val="3186573A"/>
    <w:rsid w:val="3340EA8C"/>
    <w:rsid w:val="33E923C0"/>
    <w:rsid w:val="351142C0"/>
    <w:rsid w:val="358598E8"/>
    <w:rsid w:val="3672453B"/>
    <w:rsid w:val="369CB307"/>
    <w:rsid w:val="3768BB7C"/>
    <w:rsid w:val="3857852B"/>
    <w:rsid w:val="3A0CEACF"/>
    <w:rsid w:val="3A24BA55"/>
    <w:rsid w:val="3A73391F"/>
    <w:rsid w:val="3AE93108"/>
    <w:rsid w:val="3C2574F6"/>
    <w:rsid w:val="3CDB629E"/>
    <w:rsid w:val="3D05CD6D"/>
    <w:rsid w:val="3D1AC4E5"/>
    <w:rsid w:val="3D6E2F50"/>
    <w:rsid w:val="403BFF71"/>
    <w:rsid w:val="405265A7"/>
    <w:rsid w:val="40C530FE"/>
    <w:rsid w:val="4102609B"/>
    <w:rsid w:val="417901DF"/>
    <w:rsid w:val="424AE128"/>
    <w:rsid w:val="4261015F"/>
    <w:rsid w:val="43849C45"/>
    <w:rsid w:val="45878EA1"/>
    <w:rsid w:val="46140A17"/>
    <w:rsid w:val="46A295D5"/>
    <w:rsid w:val="471986AE"/>
    <w:rsid w:val="475CAAA7"/>
    <w:rsid w:val="47A44FBC"/>
    <w:rsid w:val="48B645BE"/>
    <w:rsid w:val="49698B44"/>
    <w:rsid w:val="4A92D934"/>
    <w:rsid w:val="4BECA5FD"/>
    <w:rsid w:val="4C33D86B"/>
    <w:rsid w:val="4CE598CC"/>
    <w:rsid w:val="4EB6CDD0"/>
    <w:rsid w:val="50EE2131"/>
    <w:rsid w:val="516AD4FA"/>
    <w:rsid w:val="53B2A192"/>
    <w:rsid w:val="5425C1F3"/>
    <w:rsid w:val="5556D0E2"/>
    <w:rsid w:val="55DF7019"/>
    <w:rsid w:val="567352B5"/>
    <w:rsid w:val="5812B823"/>
    <w:rsid w:val="582481FD"/>
    <w:rsid w:val="5862607F"/>
    <w:rsid w:val="58A9C1EB"/>
    <w:rsid w:val="5C3887CF"/>
    <w:rsid w:val="5C47A9F6"/>
    <w:rsid w:val="5C9ADCE1"/>
    <w:rsid w:val="5F702891"/>
    <w:rsid w:val="61B5093D"/>
    <w:rsid w:val="61F01A68"/>
    <w:rsid w:val="6405F473"/>
    <w:rsid w:val="642A7157"/>
    <w:rsid w:val="6545493F"/>
    <w:rsid w:val="6588CCE2"/>
    <w:rsid w:val="6B85C1D7"/>
    <w:rsid w:val="6B9EEA34"/>
    <w:rsid w:val="6BB1CBFD"/>
    <w:rsid w:val="6C1A69E7"/>
    <w:rsid w:val="6C90451C"/>
    <w:rsid w:val="6CDDCA39"/>
    <w:rsid w:val="6DA88086"/>
    <w:rsid w:val="6FB54363"/>
    <w:rsid w:val="6FC3F023"/>
    <w:rsid w:val="7019C119"/>
    <w:rsid w:val="70A13573"/>
    <w:rsid w:val="70E79C78"/>
    <w:rsid w:val="72186261"/>
    <w:rsid w:val="72F7A1E5"/>
    <w:rsid w:val="73AE2CFE"/>
    <w:rsid w:val="75B0F506"/>
    <w:rsid w:val="7601BBCA"/>
    <w:rsid w:val="764B3DD8"/>
    <w:rsid w:val="768DBAAB"/>
    <w:rsid w:val="795EBD76"/>
    <w:rsid w:val="7981007B"/>
    <w:rsid w:val="79A77B02"/>
    <w:rsid w:val="7A07C937"/>
    <w:rsid w:val="7ADCDDC2"/>
    <w:rsid w:val="7B594039"/>
    <w:rsid w:val="7D5E6151"/>
    <w:rsid w:val="7E6C5982"/>
    <w:rsid w:val="7E87B39B"/>
    <w:rsid w:val="7EE0E4A2"/>
    <w:rsid w:val="7F12E05D"/>
    <w:rsid w:val="7F21A665"/>
    <w:rsid w:val="7F4C0785"/>
    <w:rsid w:val="7F6B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3DBF5"/>
  <w15:docId w15:val="{BFE03A45-5442-4A9C-851B-2098C19E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 w:bidi="en-US"/>
    </w:rPr>
  </w:style>
  <w:style w:type="paragraph" w:styleId="Heading1">
    <w:name w:val="heading 1"/>
    <w:basedOn w:val="Normal"/>
    <w:uiPriority w:val="9"/>
    <w:qFormat/>
    <w:pPr>
      <w:spacing w:before="37"/>
      <w:ind w:left="120" w:hanging="1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465" w:hanging="358"/>
    </w:pPr>
  </w:style>
  <w:style w:type="character" w:styleId="CommentReference">
    <w:name w:val="annotation reference"/>
    <w:basedOn w:val="DefaultParagraphFont"/>
    <w:uiPriority w:val="99"/>
    <w:semiHidden/>
    <w:unhideWhenUsed/>
    <w:rsid w:val="00E2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7B0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7B0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B0"/>
    <w:rPr>
      <w:rFonts w:ascii="Segoe UI" w:eastAsia="Arial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BA1918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628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82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62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820"/>
    <w:rPr>
      <w:rFonts w:ascii="Arial" w:eastAsia="Arial" w:hAnsi="Arial" w:cs="Arial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44BD"/>
    <w:rPr>
      <w:vertAlign w:val="superscript"/>
    </w:rPr>
  </w:style>
  <w:style w:type="paragraph" w:customStyle="1" w:styleId="Default">
    <w:name w:val="Default"/>
    <w:rsid w:val="00B223F7"/>
    <w:pPr>
      <w:widowControl/>
      <w:adjustRightInd w:val="0"/>
    </w:pPr>
    <w:rPr>
      <w:rFonts w:ascii="Arial" w:hAnsi="Arial" w:cs="Arial"/>
      <w:color w:val="000000"/>
      <w:sz w:val="24"/>
      <w:szCs w:val="24"/>
      <w:lang w:val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4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417"/>
    <w:rPr>
      <w:rFonts w:ascii="Arial" w:eastAsia="Arial" w:hAnsi="Arial" w:cs="Arial"/>
      <w:sz w:val="20"/>
      <w:szCs w:val="20"/>
      <w:lang w:val="en-NZ" w:bidi="en-US"/>
    </w:rPr>
  </w:style>
  <w:style w:type="character" w:styleId="Hyperlink">
    <w:name w:val="Hyperlink"/>
    <w:basedOn w:val="DefaultParagraphFont"/>
    <w:uiPriority w:val="99"/>
    <w:unhideWhenUsed/>
    <w:rsid w:val="00A168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8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17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qsc.govt.nz/our-work/system-safety/adverse-events/national-adverse-events-reporting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3" ma:contentTypeDescription="Use this content type to classify and store documents on HQSC DMS website" ma:contentTypeScope="" ma:versionID="1b8fcf131e7e62a8f0ae95eeb274ad3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3588c449afa08da4e3430215d84244b1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Props1.xml><?xml version="1.0" encoding="utf-8"?>
<ds:datastoreItem xmlns:ds="http://schemas.openxmlformats.org/officeDocument/2006/customXml" ds:itemID="{F0B23B6B-4AF1-4D54-8B99-4B7D60217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C4524A-6D23-4842-A890-907008B8D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22ECB-FBCE-4524-A336-10625E8427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96E3D3-9D30-47BD-A3F6-32D35E08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38E0A4-C257-4337-B992-B1320449C21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Severity assessment criteria (SAC) examples</vt:lpstr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Severity assessment criteria (SAC) examples</dc:title>
  <dc:creator>Health Quality &amp; Safety Commission</dc:creator>
  <cp:lastModifiedBy>Jocasta Whittingham</cp:lastModifiedBy>
  <cp:revision>4</cp:revision>
  <cp:lastPrinted>2021-08-11T23:38:00Z</cp:lastPrinted>
  <dcterms:created xsi:type="dcterms:W3CDTF">2022-02-16T03:16:00Z</dcterms:created>
  <dcterms:modified xsi:type="dcterms:W3CDTF">2022-02-16T03:38:00Z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2020-12-03T00:00:00Z</vt:filetime>
  </property>
  <property fmtid="{D5CDD505-2E9C-101B-9397-08002B2CF9AE}" pid="5" name="ContentTypeId">
    <vt:lpwstr>0x010100464BB556B3337A48846236E9064FB9CC010016069D414DDC6B4999640F73160C6405</vt:lpwstr>
  </property>
</Properties>
</file>