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A4F5" w14:textId="3C33F3E9" w:rsidR="00FC07A7" w:rsidRPr="00626E18" w:rsidRDefault="00A557E2" w:rsidP="004547D0">
      <w:pPr>
        <w:spacing w:before="120" w:after="60"/>
        <w:rPr>
          <w:rFonts w:ascii="Arial" w:hAnsi="Arial" w:cs="Arial"/>
          <w:b/>
          <w:noProof/>
          <w:sz w:val="28"/>
          <w:szCs w:val="28"/>
          <w:lang w:val="en-NZ" w:eastAsia="en-NZ"/>
        </w:rPr>
      </w:pPr>
      <w:r w:rsidRPr="00626E18">
        <w:rPr>
          <w:rFonts w:ascii="Arial" w:hAnsi="Arial" w:cs="Arial"/>
          <w:b/>
          <w:noProof/>
          <w:sz w:val="28"/>
          <w:szCs w:val="28"/>
          <w:lang w:val="en-NZ" w:eastAsia="en-NZ"/>
        </w:rPr>
        <w:t xml:space="preserve">Principles </w:t>
      </w:r>
      <w:r w:rsidR="00525097" w:rsidRPr="00626E18">
        <w:rPr>
          <w:rFonts w:ascii="Arial" w:hAnsi="Arial" w:cs="Arial"/>
          <w:b/>
          <w:noProof/>
          <w:sz w:val="28"/>
          <w:szCs w:val="28"/>
          <w:lang w:val="en-NZ" w:eastAsia="en-NZ"/>
        </w:rPr>
        <w:t xml:space="preserve">for </w:t>
      </w:r>
      <w:r w:rsidR="00E95FB2" w:rsidRPr="00626E18">
        <w:rPr>
          <w:rFonts w:ascii="Arial" w:hAnsi="Arial" w:cs="Arial"/>
          <w:b/>
          <w:noProof/>
          <w:sz w:val="28"/>
          <w:szCs w:val="28"/>
          <w:lang w:val="en-NZ" w:eastAsia="en-NZ"/>
        </w:rPr>
        <w:t>engaging consumers and whānau in mental health and addiction adverse event</w:t>
      </w:r>
      <w:r w:rsidR="00A5390B">
        <w:rPr>
          <w:rFonts w:ascii="Arial" w:hAnsi="Arial" w:cs="Arial"/>
          <w:b/>
          <w:noProof/>
          <w:sz w:val="28"/>
          <w:szCs w:val="28"/>
          <w:lang w:val="en-NZ" w:eastAsia="en-NZ"/>
        </w:rPr>
        <w:t xml:space="preserve"> reviews</w:t>
      </w:r>
      <w:r w:rsidR="00E95FB2" w:rsidRPr="00626E18">
        <w:rPr>
          <w:rFonts w:ascii="Arial" w:hAnsi="Arial" w:cs="Arial"/>
          <w:b/>
          <w:noProof/>
          <w:sz w:val="28"/>
          <w:szCs w:val="28"/>
          <w:lang w:val="en-NZ" w:eastAsia="en-NZ"/>
        </w:rPr>
        <w:t xml:space="preserve"> </w:t>
      </w:r>
    </w:p>
    <w:p w14:paraId="4AE4ACF0" w14:textId="54769FC7" w:rsidR="00FC07A7" w:rsidRPr="00381A85" w:rsidRDefault="00FC07A7" w:rsidP="004547D0">
      <w:pPr>
        <w:spacing w:line="276" w:lineRule="auto"/>
        <w:rPr>
          <w:rFonts w:ascii="Arial" w:hAnsi="Arial" w:cs="Arial"/>
          <w:noProof/>
          <w:sz w:val="22"/>
          <w:szCs w:val="22"/>
          <w:lang w:val="en-NZ" w:eastAsia="en-NZ"/>
        </w:rPr>
      </w:pPr>
      <w:r w:rsidRPr="00381A85">
        <w:rPr>
          <w:rFonts w:ascii="Arial" w:hAnsi="Arial" w:cs="Arial"/>
          <w:noProof/>
          <w:sz w:val="22"/>
          <w:szCs w:val="22"/>
          <w:lang w:val="en-NZ" w:eastAsia="en-NZ"/>
        </w:rPr>
        <w:t xml:space="preserve">This information is provided </w:t>
      </w:r>
      <w:r w:rsidR="007C720B" w:rsidRPr="00381A85">
        <w:rPr>
          <w:rFonts w:ascii="Arial" w:hAnsi="Arial" w:cs="Arial"/>
          <w:noProof/>
          <w:sz w:val="22"/>
          <w:szCs w:val="22"/>
          <w:lang w:val="en-NZ" w:eastAsia="en-NZ"/>
        </w:rPr>
        <w:t xml:space="preserve">for </w:t>
      </w:r>
      <w:r w:rsidR="008E211B" w:rsidRPr="00381A85">
        <w:rPr>
          <w:rFonts w:ascii="Arial" w:hAnsi="Arial" w:cs="Arial"/>
          <w:noProof/>
          <w:sz w:val="22"/>
          <w:szCs w:val="22"/>
          <w:lang w:val="en-NZ" w:eastAsia="en-NZ"/>
        </w:rPr>
        <w:t>mental health and addiction</w:t>
      </w:r>
      <w:r w:rsidR="00197737" w:rsidRPr="00381A85">
        <w:rPr>
          <w:rFonts w:ascii="Arial" w:hAnsi="Arial" w:cs="Arial"/>
          <w:noProof/>
          <w:sz w:val="22"/>
          <w:szCs w:val="22"/>
          <w:lang w:val="en-NZ" w:eastAsia="en-NZ"/>
        </w:rPr>
        <w:t xml:space="preserve"> </w:t>
      </w:r>
      <w:r w:rsidR="00C330B8" w:rsidRPr="00381A85">
        <w:rPr>
          <w:rFonts w:ascii="Arial" w:hAnsi="Arial" w:cs="Arial"/>
          <w:noProof/>
          <w:sz w:val="22"/>
          <w:szCs w:val="22"/>
          <w:lang w:val="en-NZ" w:eastAsia="en-NZ"/>
        </w:rPr>
        <w:t xml:space="preserve">(MHA) </w:t>
      </w:r>
      <w:r w:rsidR="008E211B" w:rsidRPr="00381A85">
        <w:rPr>
          <w:rFonts w:ascii="Arial" w:hAnsi="Arial" w:cs="Arial"/>
          <w:noProof/>
          <w:sz w:val="22"/>
          <w:szCs w:val="22"/>
          <w:lang w:val="en-NZ" w:eastAsia="en-NZ"/>
        </w:rPr>
        <w:t>services. It is intended to</w:t>
      </w:r>
      <w:r w:rsidR="007C720B" w:rsidRPr="00381A85">
        <w:rPr>
          <w:rFonts w:ascii="Arial" w:hAnsi="Arial" w:cs="Arial"/>
          <w:noProof/>
          <w:sz w:val="22"/>
          <w:szCs w:val="22"/>
          <w:lang w:val="en-NZ" w:eastAsia="en-NZ"/>
        </w:rPr>
        <w:t xml:space="preserve"> guide</w:t>
      </w:r>
      <w:r w:rsidR="001F333C" w:rsidRPr="00381A85">
        <w:rPr>
          <w:rFonts w:ascii="Arial" w:hAnsi="Arial" w:cs="Arial"/>
          <w:noProof/>
          <w:sz w:val="22"/>
          <w:szCs w:val="22"/>
          <w:lang w:val="en-NZ" w:eastAsia="en-NZ"/>
        </w:rPr>
        <w:t xml:space="preserve"> </w:t>
      </w:r>
      <w:r w:rsidR="00847EE6" w:rsidRPr="00381A85">
        <w:rPr>
          <w:rFonts w:ascii="Arial" w:hAnsi="Arial" w:cs="Arial"/>
          <w:noProof/>
          <w:sz w:val="22"/>
          <w:szCs w:val="22"/>
          <w:lang w:val="en-NZ" w:eastAsia="en-NZ"/>
        </w:rPr>
        <w:t xml:space="preserve">adverse </w:t>
      </w:r>
      <w:r w:rsidR="00662B41" w:rsidRPr="00381A85">
        <w:rPr>
          <w:rFonts w:ascii="Arial" w:hAnsi="Arial" w:cs="Arial"/>
          <w:noProof/>
          <w:sz w:val="22"/>
          <w:szCs w:val="22"/>
          <w:lang w:val="en-NZ" w:eastAsia="en-NZ"/>
        </w:rPr>
        <w:t>e</w:t>
      </w:r>
      <w:r w:rsidR="001F333C" w:rsidRPr="00381A85">
        <w:rPr>
          <w:rFonts w:ascii="Arial" w:hAnsi="Arial" w:cs="Arial"/>
          <w:noProof/>
          <w:sz w:val="22"/>
          <w:szCs w:val="22"/>
          <w:lang w:val="en-NZ" w:eastAsia="en-NZ"/>
        </w:rPr>
        <w:t>vent</w:t>
      </w:r>
      <w:r w:rsidR="00BB533D" w:rsidRPr="00381A85">
        <w:rPr>
          <w:rStyle w:val="FootnoteReference"/>
          <w:rFonts w:ascii="Arial" w:hAnsi="Arial" w:cs="Arial"/>
          <w:noProof/>
          <w:sz w:val="22"/>
          <w:szCs w:val="22"/>
          <w:lang w:val="en-NZ" w:eastAsia="en-NZ"/>
        </w:rPr>
        <w:footnoteReference w:id="1"/>
      </w:r>
      <w:r w:rsidRPr="00381A85">
        <w:rPr>
          <w:rFonts w:ascii="Arial" w:hAnsi="Arial" w:cs="Arial"/>
          <w:noProof/>
          <w:sz w:val="22"/>
          <w:szCs w:val="22"/>
          <w:vertAlign w:val="superscript"/>
          <w:lang w:val="en-NZ" w:eastAsia="en-NZ"/>
        </w:rPr>
        <w:t xml:space="preserve"> </w:t>
      </w:r>
      <w:r w:rsidR="00662B41" w:rsidRPr="00381A85">
        <w:rPr>
          <w:rFonts w:ascii="Arial" w:hAnsi="Arial" w:cs="Arial"/>
          <w:noProof/>
          <w:sz w:val="22"/>
          <w:szCs w:val="22"/>
          <w:lang w:val="en-NZ" w:eastAsia="en-NZ"/>
        </w:rPr>
        <w:t>re</w:t>
      </w:r>
      <w:r w:rsidRPr="00381A85">
        <w:rPr>
          <w:rFonts w:ascii="Arial" w:hAnsi="Arial" w:cs="Arial"/>
          <w:noProof/>
          <w:sz w:val="22"/>
          <w:szCs w:val="22"/>
          <w:lang w:val="en-NZ" w:eastAsia="en-NZ"/>
        </w:rPr>
        <w:t xml:space="preserve">view </w:t>
      </w:r>
      <w:r w:rsidR="004970F2" w:rsidRPr="00381A85">
        <w:rPr>
          <w:rFonts w:ascii="Arial" w:hAnsi="Arial" w:cs="Arial"/>
          <w:noProof/>
          <w:sz w:val="22"/>
          <w:szCs w:val="22"/>
          <w:lang w:val="en-NZ" w:eastAsia="en-NZ"/>
        </w:rPr>
        <w:t>facilitators</w:t>
      </w:r>
      <w:r w:rsidR="00A557E2" w:rsidRPr="00381A85">
        <w:rPr>
          <w:rFonts w:ascii="Arial" w:hAnsi="Arial" w:cs="Arial"/>
          <w:noProof/>
          <w:sz w:val="22"/>
          <w:szCs w:val="22"/>
          <w:lang w:val="en-NZ" w:eastAsia="en-NZ"/>
        </w:rPr>
        <w:t xml:space="preserve"> on the principles</w:t>
      </w:r>
      <w:r w:rsidRPr="00381A85">
        <w:rPr>
          <w:rFonts w:ascii="Arial" w:hAnsi="Arial" w:cs="Arial"/>
          <w:noProof/>
          <w:sz w:val="22"/>
          <w:szCs w:val="22"/>
          <w:lang w:val="en-NZ" w:eastAsia="en-NZ"/>
        </w:rPr>
        <w:t xml:space="preserve"> of engaging with consumers and their wh</w:t>
      </w:r>
      <w:r w:rsidR="00FB3F97" w:rsidRPr="00381A85">
        <w:rPr>
          <w:rFonts w:ascii="Arial" w:hAnsi="Arial" w:cs="Arial"/>
          <w:noProof/>
          <w:sz w:val="22"/>
          <w:szCs w:val="22"/>
          <w:lang w:val="en-NZ" w:eastAsia="en-NZ"/>
        </w:rPr>
        <w:t>ā</w:t>
      </w:r>
      <w:r w:rsidRPr="00381A85">
        <w:rPr>
          <w:rFonts w:ascii="Arial" w:hAnsi="Arial" w:cs="Arial"/>
          <w:noProof/>
          <w:sz w:val="22"/>
          <w:szCs w:val="22"/>
          <w:lang w:val="en-NZ" w:eastAsia="en-NZ"/>
        </w:rPr>
        <w:t>n</w:t>
      </w:r>
      <w:r w:rsidR="008E211B" w:rsidRPr="00381A85">
        <w:rPr>
          <w:rFonts w:ascii="Arial" w:hAnsi="Arial" w:cs="Arial"/>
          <w:noProof/>
          <w:sz w:val="22"/>
          <w:szCs w:val="22"/>
          <w:lang w:val="en-NZ" w:eastAsia="en-NZ"/>
        </w:rPr>
        <w:t>a</w:t>
      </w:r>
      <w:r w:rsidRPr="00381A85">
        <w:rPr>
          <w:rFonts w:ascii="Arial" w:hAnsi="Arial" w:cs="Arial"/>
          <w:noProof/>
          <w:sz w:val="22"/>
          <w:szCs w:val="22"/>
          <w:lang w:val="en-NZ" w:eastAsia="en-NZ"/>
        </w:rPr>
        <w:t>u</w:t>
      </w:r>
      <w:r w:rsidR="00E260E6" w:rsidRPr="00381A85">
        <w:rPr>
          <w:rStyle w:val="FootnoteReference"/>
          <w:rFonts w:ascii="Arial" w:hAnsi="Arial" w:cs="Arial"/>
          <w:noProof/>
          <w:sz w:val="22"/>
          <w:szCs w:val="22"/>
          <w:lang w:val="en-NZ" w:eastAsia="en-NZ"/>
        </w:rPr>
        <w:footnoteReference w:id="2"/>
      </w:r>
      <w:r w:rsidRPr="00381A85">
        <w:rPr>
          <w:rFonts w:ascii="Arial" w:hAnsi="Arial" w:cs="Arial"/>
          <w:noProof/>
          <w:sz w:val="22"/>
          <w:szCs w:val="22"/>
          <w:lang w:val="en-NZ" w:eastAsia="en-NZ"/>
        </w:rPr>
        <w:t xml:space="preserve"> affected by </w:t>
      </w:r>
      <w:r w:rsidR="00847EE6" w:rsidRPr="00381A85">
        <w:rPr>
          <w:rFonts w:ascii="Arial" w:hAnsi="Arial" w:cs="Arial"/>
          <w:noProof/>
          <w:sz w:val="22"/>
          <w:szCs w:val="22"/>
          <w:lang w:val="en-NZ" w:eastAsia="en-NZ"/>
        </w:rPr>
        <w:t>an adverse</w:t>
      </w:r>
      <w:r w:rsidRPr="00381A85">
        <w:rPr>
          <w:rFonts w:ascii="Arial" w:hAnsi="Arial" w:cs="Arial"/>
          <w:noProof/>
          <w:sz w:val="22"/>
          <w:szCs w:val="22"/>
          <w:lang w:val="en-NZ" w:eastAsia="en-NZ"/>
        </w:rPr>
        <w:t xml:space="preserve"> event</w:t>
      </w:r>
      <w:r w:rsidR="00A557E2" w:rsidRPr="00381A85">
        <w:rPr>
          <w:rFonts w:ascii="Arial" w:hAnsi="Arial" w:cs="Arial"/>
          <w:noProof/>
          <w:sz w:val="22"/>
          <w:szCs w:val="22"/>
          <w:lang w:val="en-NZ" w:eastAsia="en-NZ"/>
        </w:rPr>
        <w:t xml:space="preserve"> and to complement the </w:t>
      </w:r>
      <w:r w:rsidR="00C038B8" w:rsidRPr="00381A85">
        <w:rPr>
          <w:rFonts w:ascii="Arial" w:hAnsi="Arial" w:cs="Arial"/>
          <w:noProof/>
          <w:sz w:val="22"/>
          <w:szCs w:val="22"/>
          <w:lang w:val="en-NZ" w:eastAsia="en-NZ"/>
        </w:rPr>
        <w:t xml:space="preserve">Health Quality &amp; Safety </w:t>
      </w:r>
      <w:r w:rsidR="00197737" w:rsidRPr="00381A85">
        <w:rPr>
          <w:rFonts w:ascii="Arial" w:hAnsi="Arial" w:cs="Arial"/>
          <w:noProof/>
          <w:sz w:val="22"/>
          <w:szCs w:val="22"/>
          <w:lang w:val="en-NZ" w:eastAsia="en-NZ"/>
        </w:rPr>
        <w:t xml:space="preserve">Commission </w:t>
      </w:r>
      <w:r w:rsidR="00503850" w:rsidRPr="00381A85">
        <w:rPr>
          <w:rFonts w:ascii="Arial" w:hAnsi="Arial" w:cs="Arial"/>
          <w:noProof/>
          <w:sz w:val="22"/>
          <w:szCs w:val="22"/>
          <w:lang w:val="en-NZ" w:eastAsia="en-NZ"/>
        </w:rPr>
        <w:t>resources</w:t>
      </w:r>
      <w:r w:rsidR="00EC215F" w:rsidRPr="00381A85">
        <w:rPr>
          <w:rFonts w:ascii="Arial" w:hAnsi="Arial" w:cs="Arial"/>
          <w:noProof/>
          <w:sz w:val="22"/>
          <w:szCs w:val="22"/>
          <w:lang w:val="en-NZ" w:eastAsia="en-NZ"/>
        </w:rPr>
        <w:t xml:space="preserve"> </w:t>
      </w:r>
      <w:r w:rsidR="00E775E0" w:rsidRPr="00381A85">
        <w:rPr>
          <w:rFonts w:ascii="Arial" w:hAnsi="Arial" w:cs="Arial"/>
          <w:noProof/>
          <w:sz w:val="22"/>
          <w:szCs w:val="22"/>
          <w:lang w:val="en-NZ" w:eastAsia="en-NZ"/>
        </w:rPr>
        <w:t>Engaging with consumers following an adverse event</w:t>
      </w:r>
      <w:r w:rsidR="00E775E0" w:rsidRPr="00381A85">
        <w:rPr>
          <w:rStyle w:val="FootnoteReference"/>
          <w:rFonts w:ascii="Arial" w:hAnsi="Arial" w:cs="Arial"/>
          <w:noProof/>
          <w:sz w:val="22"/>
          <w:szCs w:val="22"/>
          <w:lang w:val="en-NZ" w:eastAsia="en-NZ"/>
        </w:rPr>
        <w:footnoteReference w:id="3"/>
      </w:r>
      <w:r w:rsidR="00C038B8" w:rsidRPr="00381A85">
        <w:rPr>
          <w:rFonts w:ascii="Arial" w:hAnsi="Arial" w:cs="Arial"/>
          <w:noProof/>
          <w:sz w:val="22"/>
          <w:szCs w:val="22"/>
          <w:lang w:val="en-NZ" w:eastAsia="en-NZ"/>
        </w:rPr>
        <w:t xml:space="preserve"> and</w:t>
      </w:r>
      <w:r w:rsidR="00E441B6" w:rsidRPr="00381A85">
        <w:rPr>
          <w:rFonts w:ascii="Arial" w:hAnsi="Arial" w:cs="Arial"/>
          <w:noProof/>
          <w:sz w:val="22"/>
          <w:szCs w:val="22"/>
          <w:lang w:val="en-NZ" w:eastAsia="en-NZ"/>
        </w:rPr>
        <w:t xml:space="preserve"> </w:t>
      </w:r>
      <w:r w:rsidR="00E775E0" w:rsidRPr="00381A85">
        <w:rPr>
          <w:rFonts w:ascii="Arial" w:hAnsi="Arial" w:cs="Arial"/>
          <w:sz w:val="22"/>
          <w:szCs w:val="22"/>
        </w:rPr>
        <w:t xml:space="preserve">Guide to </w:t>
      </w:r>
      <w:r w:rsidR="00E775E0" w:rsidRPr="00381A85">
        <w:rPr>
          <w:rFonts w:ascii="Arial" w:hAnsi="Arial" w:cs="Arial"/>
          <w:noProof/>
          <w:sz w:val="22"/>
          <w:szCs w:val="22"/>
          <w:lang w:val="en-NZ" w:eastAsia="en-NZ"/>
        </w:rPr>
        <w:t>partnering with whānau following an adverse event</w:t>
      </w:r>
      <w:r w:rsidR="00C038B8" w:rsidRPr="00381A85">
        <w:rPr>
          <w:rFonts w:ascii="Arial" w:hAnsi="Arial" w:cs="Arial"/>
          <w:noProof/>
          <w:sz w:val="22"/>
          <w:szCs w:val="22"/>
          <w:lang w:val="en-NZ" w:eastAsia="en-NZ"/>
        </w:rPr>
        <w:t>.</w:t>
      </w:r>
      <w:r w:rsidR="00E775E0" w:rsidRPr="00381A85">
        <w:rPr>
          <w:rStyle w:val="FootnoteReference"/>
          <w:rFonts w:ascii="Arial" w:hAnsi="Arial" w:cs="Arial"/>
          <w:noProof/>
          <w:sz w:val="22"/>
          <w:szCs w:val="22"/>
          <w:lang w:val="en-NZ" w:eastAsia="en-NZ"/>
        </w:rPr>
        <w:footnoteReference w:id="4"/>
      </w:r>
    </w:p>
    <w:p w14:paraId="31C6D3B7" w14:textId="77777777" w:rsidR="009F08D3" w:rsidRPr="00626E18" w:rsidRDefault="009F08D3">
      <w:pPr>
        <w:rPr>
          <w:rFonts w:ascii="Arial" w:hAnsi="Arial" w:cs="Arial"/>
          <w:noProof/>
          <w:sz w:val="22"/>
          <w:szCs w:val="22"/>
          <w:lang w:val="en-NZ" w:eastAsia="en-NZ"/>
        </w:rPr>
      </w:pPr>
    </w:p>
    <w:tbl>
      <w:tblPr>
        <w:tblStyle w:val="TableGrid"/>
        <w:tblW w:w="0" w:type="auto"/>
        <w:tblLook w:val="04A0" w:firstRow="1" w:lastRow="0" w:firstColumn="1" w:lastColumn="0" w:noHBand="0" w:noVBand="1"/>
      </w:tblPr>
      <w:tblGrid>
        <w:gridCol w:w="5027"/>
        <w:gridCol w:w="5027"/>
        <w:gridCol w:w="5028"/>
      </w:tblGrid>
      <w:tr w:rsidR="009F08D3" w:rsidRPr="009F08D3" w14:paraId="135D1D36" w14:textId="77777777" w:rsidTr="004547D0">
        <w:trPr>
          <w:trHeight w:val="454"/>
        </w:trPr>
        <w:tc>
          <w:tcPr>
            <w:tcW w:w="5027" w:type="dxa"/>
            <w:shd w:val="clear" w:color="auto" w:fill="E5B8B7" w:themeFill="accent2" w:themeFillTint="66"/>
            <w:vAlign w:val="center"/>
          </w:tcPr>
          <w:p w14:paraId="5476120D" w14:textId="5A4DA4E9" w:rsidR="009F08D3" w:rsidRPr="00626E18" w:rsidRDefault="009F08D3" w:rsidP="004547D0">
            <w:pPr>
              <w:spacing w:before="60" w:after="60"/>
              <w:rPr>
                <w:rFonts w:ascii="Arial" w:hAnsi="Arial" w:cs="Arial"/>
                <w:b/>
                <w:bCs/>
                <w:sz w:val="22"/>
                <w:szCs w:val="22"/>
              </w:rPr>
            </w:pPr>
            <w:r w:rsidRPr="00626E18">
              <w:rPr>
                <w:rFonts w:ascii="Arial" w:hAnsi="Arial" w:cs="Arial"/>
                <w:b/>
                <w:bCs/>
                <w:sz w:val="22"/>
                <w:szCs w:val="22"/>
              </w:rPr>
              <w:t>Cultural needs</w:t>
            </w:r>
          </w:p>
        </w:tc>
        <w:tc>
          <w:tcPr>
            <w:tcW w:w="5027" w:type="dxa"/>
            <w:shd w:val="clear" w:color="auto" w:fill="D6E3BC" w:themeFill="accent3" w:themeFillTint="66"/>
            <w:vAlign w:val="center"/>
          </w:tcPr>
          <w:p w14:paraId="509F6206" w14:textId="2FAEC51E" w:rsidR="009F08D3" w:rsidRPr="00626E18" w:rsidRDefault="009F08D3" w:rsidP="004547D0">
            <w:pPr>
              <w:spacing w:before="60" w:after="60"/>
              <w:rPr>
                <w:rFonts w:ascii="Arial" w:hAnsi="Arial" w:cs="Arial"/>
                <w:b/>
                <w:bCs/>
                <w:noProof/>
                <w:sz w:val="22"/>
                <w:szCs w:val="22"/>
                <w:lang w:val="en-NZ" w:eastAsia="en-NZ"/>
              </w:rPr>
            </w:pPr>
            <w:r w:rsidRPr="00626E18">
              <w:rPr>
                <w:rFonts w:ascii="Arial" w:hAnsi="Arial" w:cs="Arial"/>
                <w:b/>
                <w:bCs/>
                <w:noProof/>
                <w:sz w:val="22"/>
                <w:szCs w:val="22"/>
                <w:lang w:val="en-NZ" w:eastAsia="en-NZ"/>
              </w:rPr>
              <w:t>Consumer</w:t>
            </w:r>
          </w:p>
        </w:tc>
        <w:tc>
          <w:tcPr>
            <w:tcW w:w="5028" w:type="dxa"/>
            <w:shd w:val="clear" w:color="auto" w:fill="CCC0D9" w:themeFill="accent4" w:themeFillTint="66"/>
            <w:vAlign w:val="center"/>
          </w:tcPr>
          <w:p w14:paraId="0D807033" w14:textId="1ABF8CDC" w:rsidR="009F08D3" w:rsidRPr="00626E18" w:rsidRDefault="009F08D3" w:rsidP="004547D0">
            <w:pPr>
              <w:spacing w:before="60" w:after="60"/>
              <w:rPr>
                <w:rFonts w:ascii="Arial" w:hAnsi="Arial" w:cs="Arial"/>
                <w:b/>
                <w:bCs/>
                <w:noProof/>
                <w:sz w:val="22"/>
                <w:szCs w:val="22"/>
                <w:lang w:val="en-NZ" w:eastAsia="en-NZ"/>
              </w:rPr>
            </w:pPr>
            <w:r w:rsidRPr="00626E18">
              <w:rPr>
                <w:rFonts w:ascii="Arial" w:hAnsi="Arial" w:cs="Arial"/>
                <w:b/>
                <w:bCs/>
                <w:noProof/>
                <w:sz w:val="22"/>
                <w:szCs w:val="22"/>
                <w:lang w:val="en-NZ" w:eastAsia="en-NZ"/>
              </w:rPr>
              <w:t>Whānau</w:t>
            </w:r>
          </w:p>
        </w:tc>
      </w:tr>
      <w:tr w:rsidR="009F08D3" w:rsidRPr="009F08D3" w14:paraId="49EE53F1" w14:textId="77777777" w:rsidTr="00F62149">
        <w:trPr>
          <w:trHeight w:val="454"/>
        </w:trPr>
        <w:tc>
          <w:tcPr>
            <w:tcW w:w="5027" w:type="dxa"/>
            <w:shd w:val="clear" w:color="auto" w:fill="auto"/>
          </w:tcPr>
          <w:p w14:paraId="1C571079" w14:textId="1D2B95F5" w:rsidR="009F08D3" w:rsidRPr="00626E18" w:rsidRDefault="009F08D3" w:rsidP="004547D0">
            <w:pPr>
              <w:numPr>
                <w:ilvl w:val="0"/>
                <w:numId w:val="4"/>
              </w:numPr>
              <w:tabs>
                <w:tab w:val="num" w:pos="720"/>
              </w:tabs>
              <w:spacing w:before="60" w:after="60" w:line="276" w:lineRule="auto"/>
              <w:ind w:left="357" w:hanging="357"/>
              <w:rPr>
                <w:rFonts w:ascii="Arial" w:hAnsi="Arial" w:cs="Arial"/>
                <w:sz w:val="22"/>
                <w:szCs w:val="22"/>
                <w:lang w:val="en-NZ"/>
              </w:rPr>
            </w:pPr>
            <w:r w:rsidRPr="00626E18">
              <w:rPr>
                <w:rFonts w:ascii="Arial" w:hAnsi="Arial" w:cs="Arial"/>
                <w:sz w:val="22"/>
                <w:szCs w:val="22"/>
                <w:lang w:val="en-NZ"/>
              </w:rPr>
              <w:t>Ensure psychological safety</w:t>
            </w:r>
            <w:r>
              <w:rPr>
                <w:rStyle w:val="FootnoteReference"/>
                <w:rFonts w:ascii="Arial" w:hAnsi="Arial" w:cs="Arial"/>
                <w:sz w:val="22"/>
                <w:szCs w:val="22"/>
                <w:lang w:val="en-NZ"/>
              </w:rPr>
              <w:footnoteReference w:id="5"/>
            </w:r>
            <w:r w:rsidRPr="00626E18">
              <w:rPr>
                <w:rFonts w:ascii="Arial" w:hAnsi="Arial" w:cs="Arial"/>
                <w:sz w:val="22"/>
                <w:szCs w:val="22"/>
                <w:lang w:val="en-NZ"/>
              </w:rPr>
              <w:t xml:space="preserve"> for all involved in the adverse event review process.</w:t>
            </w:r>
          </w:p>
          <w:p w14:paraId="531FBFA8" w14:textId="77777777"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t xml:space="preserve">Seek cultural advice and support throughout the review process. </w:t>
            </w:r>
          </w:p>
          <w:p w14:paraId="040877BC" w14:textId="2308E25F"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t xml:space="preserve">Be led by the principles of </w:t>
            </w:r>
            <w:proofErr w:type="spellStart"/>
            <w:r w:rsidRPr="00626E18">
              <w:rPr>
                <w:rFonts w:ascii="Arial" w:hAnsi="Arial" w:cs="Arial"/>
                <w:sz w:val="22"/>
                <w:szCs w:val="22"/>
                <w:lang w:val="en-NZ"/>
              </w:rPr>
              <w:t>whakawhanaungatang</w:t>
            </w:r>
            <w:r>
              <w:rPr>
                <w:rFonts w:ascii="Arial" w:hAnsi="Arial" w:cs="Arial"/>
                <w:sz w:val="22"/>
                <w:szCs w:val="22"/>
                <w:lang w:val="en-NZ"/>
              </w:rPr>
              <w:t>a</w:t>
            </w:r>
            <w:proofErr w:type="spellEnd"/>
            <w:r>
              <w:rPr>
                <w:rStyle w:val="FootnoteReference"/>
                <w:rFonts w:ascii="Arial" w:hAnsi="Arial" w:cs="Arial"/>
                <w:sz w:val="22"/>
                <w:szCs w:val="22"/>
                <w:lang w:val="en-NZ"/>
              </w:rPr>
              <w:footnoteReference w:id="6"/>
            </w:r>
            <w:r w:rsidRPr="00626E18">
              <w:rPr>
                <w:rFonts w:ascii="Arial" w:hAnsi="Arial" w:cs="Arial"/>
                <w:sz w:val="22"/>
                <w:szCs w:val="22"/>
                <w:lang w:val="en-NZ"/>
              </w:rPr>
              <w:t xml:space="preserve"> and </w:t>
            </w:r>
            <w:proofErr w:type="spellStart"/>
            <w:r w:rsidRPr="00626E18">
              <w:rPr>
                <w:rFonts w:ascii="Arial" w:hAnsi="Arial" w:cs="Arial"/>
                <w:sz w:val="22"/>
                <w:szCs w:val="22"/>
                <w:lang w:val="en-NZ"/>
              </w:rPr>
              <w:t>kotahitanga</w:t>
            </w:r>
            <w:proofErr w:type="spellEnd"/>
            <w:r w:rsidRPr="00626E18">
              <w:rPr>
                <w:rFonts w:ascii="Arial" w:hAnsi="Arial" w:cs="Arial"/>
                <w:sz w:val="22"/>
                <w:szCs w:val="22"/>
                <w:lang w:val="en-NZ"/>
              </w:rPr>
              <w:t>.</w:t>
            </w:r>
            <w:r>
              <w:rPr>
                <w:rStyle w:val="FootnoteReference"/>
                <w:rFonts w:ascii="Arial" w:hAnsi="Arial" w:cs="Arial"/>
                <w:sz w:val="22"/>
                <w:szCs w:val="22"/>
                <w:lang w:val="en-NZ"/>
              </w:rPr>
              <w:footnoteReference w:id="7"/>
            </w:r>
          </w:p>
          <w:p w14:paraId="53E629C2" w14:textId="77777777"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t>Ensure everyone understands the purpose of each part of the process.</w:t>
            </w:r>
          </w:p>
          <w:p w14:paraId="3FDCD5BD" w14:textId="77777777"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t>Be clear about the parameters and limitations of the process.</w:t>
            </w:r>
          </w:p>
          <w:p w14:paraId="16007A78" w14:textId="77777777"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t>Clarify the expectations of those involved in the process.</w:t>
            </w:r>
          </w:p>
          <w:p w14:paraId="2B671A06" w14:textId="2EBD98C2"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t>Follow tikanga</w:t>
            </w:r>
            <w:r>
              <w:rPr>
                <w:rStyle w:val="FootnoteReference"/>
                <w:rFonts w:ascii="Arial" w:hAnsi="Arial" w:cs="Arial"/>
                <w:sz w:val="22"/>
                <w:szCs w:val="22"/>
                <w:lang w:val="en-NZ"/>
              </w:rPr>
              <w:footnoteReference w:id="8"/>
            </w:r>
            <w:r w:rsidRPr="00626E18">
              <w:rPr>
                <w:rFonts w:ascii="Arial" w:hAnsi="Arial" w:cs="Arial"/>
                <w:sz w:val="22"/>
                <w:szCs w:val="22"/>
                <w:lang w:val="en-NZ"/>
              </w:rPr>
              <w:t xml:space="preserve"> practices. </w:t>
            </w:r>
          </w:p>
          <w:p w14:paraId="2D5E1626" w14:textId="77777777"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lastRenderedPageBreak/>
              <w:t>Have processes in place to support staff resilience so staff can respond when and where needed after an adverse event.</w:t>
            </w:r>
          </w:p>
          <w:p w14:paraId="0D846B9A" w14:textId="77777777" w:rsidR="009F08D3" w:rsidRPr="00626E18" w:rsidRDefault="009F08D3" w:rsidP="004547D0">
            <w:pPr>
              <w:numPr>
                <w:ilvl w:val="0"/>
                <w:numId w:val="4"/>
              </w:numPr>
              <w:tabs>
                <w:tab w:val="num" w:pos="720"/>
              </w:tabs>
              <w:spacing w:after="60" w:line="276" w:lineRule="auto"/>
              <w:rPr>
                <w:rFonts w:ascii="Arial" w:hAnsi="Arial" w:cs="Arial"/>
                <w:sz w:val="22"/>
                <w:szCs w:val="22"/>
                <w:lang w:val="en-NZ"/>
              </w:rPr>
            </w:pPr>
            <w:r w:rsidRPr="00626E18">
              <w:rPr>
                <w:rFonts w:ascii="Arial" w:hAnsi="Arial" w:cs="Arial"/>
                <w:sz w:val="22"/>
                <w:szCs w:val="22"/>
                <w:lang w:val="en-NZ"/>
              </w:rPr>
              <w:t xml:space="preserve">Encourage staff to demonstrate flexibility and adaptability when working with consumers and </w:t>
            </w:r>
            <w:proofErr w:type="spellStart"/>
            <w:r w:rsidRPr="00626E18">
              <w:rPr>
                <w:rFonts w:ascii="Arial" w:hAnsi="Arial" w:cs="Arial"/>
                <w:sz w:val="22"/>
                <w:szCs w:val="22"/>
                <w:lang w:val="en-NZ"/>
              </w:rPr>
              <w:t>wh</w:t>
            </w:r>
            <w:proofErr w:type="spellEnd"/>
            <w:r w:rsidRPr="00626E18">
              <w:rPr>
                <w:rFonts w:ascii="Arial" w:hAnsi="Arial" w:cs="Arial"/>
                <w:sz w:val="22"/>
                <w:szCs w:val="22"/>
                <w:lang w:val="mi-NZ"/>
              </w:rPr>
              <w:t>ā</w:t>
            </w:r>
            <w:proofErr w:type="spellStart"/>
            <w:r w:rsidRPr="00626E18">
              <w:rPr>
                <w:rFonts w:ascii="Arial" w:hAnsi="Arial" w:cs="Arial"/>
                <w:sz w:val="22"/>
                <w:szCs w:val="22"/>
                <w:lang w:val="en-NZ"/>
              </w:rPr>
              <w:t>nau</w:t>
            </w:r>
            <w:proofErr w:type="spellEnd"/>
            <w:r w:rsidRPr="00626E18">
              <w:rPr>
                <w:rFonts w:ascii="Arial" w:hAnsi="Arial" w:cs="Arial"/>
                <w:sz w:val="22"/>
                <w:szCs w:val="22"/>
                <w:lang w:val="en-NZ"/>
              </w:rPr>
              <w:t>, both during and after a serious event review.</w:t>
            </w:r>
          </w:p>
          <w:p w14:paraId="76365B6F" w14:textId="13B5B729" w:rsidR="009F08D3" w:rsidRPr="00626E18" w:rsidRDefault="009F08D3" w:rsidP="004547D0">
            <w:pPr>
              <w:numPr>
                <w:ilvl w:val="0"/>
                <w:numId w:val="4"/>
              </w:numPr>
              <w:spacing w:after="60" w:line="276" w:lineRule="auto"/>
              <w:rPr>
                <w:rFonts w:ascii="Arial" w:hAnsi="Arial" w:cs="Arial"/>
                <w:sz w:val="22"/>
                <w:szCs w:val="22"/>
                <w:lang w:val="en-NZ"/>
              </w:rPr>
            </w:pPr>
            <w:r w:rsidRPr="00626E18">
              <w:rPr>
                <w:rFonts w:ascii="Arial" w:hAnsi="Arial" w:cs="Arial"/>
                <w:sz w:val="22"/>
                <w:szCs w:val="22"/>
                <w:lang w:val="en-NZ"/>
              </w:rPr>
              <w:t xml:space="preserve">Be compassionate – listen to understand. </w:t>
            </w:r>
          </w:p>
        </w:tc>
        <w:tc>
          <w:tcPr>
            <w:tcW w:w="5027" w:type="dxa"/>
            <w:shd w:val="clear" w:color="auto" w:fill="auto"/>
          </w:tcPr>
          <w:p w14:paraId="42F9B0AC" w14:textId="77777777" w:rsidR="009F08D3" w:rsidRPr="00626E18" w:rsidRDefault="009F08D3" w:rsidP="004547D0">
            <w:pPr>
              <w:numPr>
                <w:ilvl w:val="0"/>
                <w:numId w:val="4"/>
              </w:numPr>
              <w:spacing w:before="60" w:after="60" w:line="276" w:lineRule="auto"/>
              <w:ind w:left="357" w:hanging="357"/>
              <w:rPr>
                <w:rFonts w:ascii="Arial" w:hAnsi="Arial" w:cs="Arial"/>
                <w:sz w:val="22"/>
                <w:szCs w:val="22"/>
                <w:lang w:val="en-NZ"/>
              </w:rPr>
            </w:pPr>
            <w:r w:rsidRPr="00626E18">
              <w:rPr>
                <w:rFonts w:ascii="Arial" w:hAnsi="Arial" w:cs="Arial"/>
                <w:sz w:val="22"/>
                <w:szCs w:val="22"/>
                <w:lang w:val="en-NZ"/>
              </w:rPr>
              <w:lastRenderedPageBreak/>
              <w:t xml:space="preserve">Keep stories of the consumer experience at the heart of your work.  </w:t>
            </w:r>
          </w:p>
          <w:p w14:paraId="7FFB999C" w14:textId="77777777" w:rsidR="009F08D3" w:rsidRPr="00626E18" w:rsidRDefault="009F08D3" w:rsidP="004547D0">
            <w:pPr>
              <w:numPr>
                <w:ilvl w:val="0"/>
                <w:numId w:val="4"/>
              </w:numPr>
              <w:spacing w:after="60" w:line="276" w:lineRule="auto"/>
              <w:rPr>
                <w:rFonts w:ascii="Arial" w:hAnsi="Arial" w:cs="Arial"/>
                <w:sz w:val="22"/>
                <w:szCs w:val="22"/>
                <w:lang w:val="en-NZ"/>
              </w:rPr>
            </w:pPr>
            <w:r w:rsidRPr="00626E18">
              <w:rPr>
                <w:rFonts w:ascii="Arial" w:hAnsi="Arial" w:cs="Arial"/>
                <w:sz w:val="22"/>
                <w:szCs w:val="22"/>
                <w:lang w:val="en-NZ"/>
              </w:rPr>
              <w:t xml:space="preserve">Provide training in the adverse event review process to your consumer leaders, consumer advisors and </w:t>
            </w:r>
            <w:proofErr w:type="spellStart"/>
            <w:r w:rsidRPr="00626E18">
              <w:rPr>
                <w:rFonts w:ascii="Arial" w:hAnsi="Arial" w:cs="Arial"/>
                <w:sz w:val="22"/>
                <w:szCs w:val="22"/>
                <w:lang w:val="en-NZ"/>
              </w:rPr>
              <w:t>whānau</w:t>
            </w:r>
            <w:proofErr w:type="spellEnd"/>
            <w:r w:rsidRPr="00626E18">
              <w:rPr>
                <w:rFonts w:ascii="Arial" w:hAnsi="Arial" w:cs="Arial"/>
                <w:sz w:val="22"/>
                <w:szCs w:val="22"/>
                <w:lang w:val="en-NZ"/>
              </w:rPr>
              <w:t xml:space="preserve"> advisors.</w:t>
            </w:r>
          </w:p>
          <w:p w14:paraId="724101C9" w14:textId="77777777" w:rsidR="009F08D3" w:rsidRPr="00626E18" w:rsidRDefault="009F08D3" w:rsidP="004547D0">
            <w:pPr>
              <w:numPr>
                <w:ilvl w:val="0"/>
                <w:numId w:val="4"/>
              </w:numPr>
              <w:spacing w:after="60" w:line="276" w:lineRule="auto"/>
              <w:rPr>
                <w:rFonts w:ascii="Arial" w:hAnsi="Arial" w:cs="Arial"/>
                <w:sz w:val="22"/>
                <w:szCs w:val="22"/>
                <w:lang w:val="en-NZ"/>
              </w:rPr>
            </w:pPr>
            <w:r w:rsidRPr="00626E18">
              <w:rPr>
                <w:rFonts w:ascii="Arial" w:hAnsi="Arial" w:cs="Arial"/>
                <w:sz w:val="22"/>
                <w:szCs w:val="22"/>
                <w:lang w:val="en-NZ"/>
              </w:rPr>
              <w:t>Understand and work to address the power dynamics that exist in health systems and between consumer and clinical roles.</w:t>
            </w:r>
          </w:p>
          <w:p w14:paraId="42EE6FA2" w14:textId="77777777" w:rsidR="009F08D3" w:rsidRPr="00626E18" w:rsidRDefault="009F08D3" w:rsidP="004547D0">
            <w:pPr>
              <w:numPr>
                <w:ilvl w:val="0"/>
                <w:numId w:val="4"/>
              </w:numPr>
              <w:spacing w:after="60" w:line="276" w:lineRule="auto"/>
              <w:rPr>
                <w:rFonts w:ascii="Arial" w:hAnsi="Arial" w:cs="Arial"/>
                <w:sz w:val="22"/>
                <w:szCs w:val="22"/>
                <w:lang w:val="en-NZ"/>
              </w:rPr>
            </w:pPr>
            <w:r w:rsidRPr="00626E18">
              <w:rPr>
                <w:rFonts w:ascii="Arial" w:hAnsi="Arial" w:cs="Arial"/>
                <w:sz w:val="22"/>
                <w:szCs w:val="22"/>
                <w:lang w:val="en-NZ"/>
              </w:rPr>
              <w:t>When involving consumers (both the consumer, staff and/or those affected by the adverse event) be clear what you are asking people to do. Clarify roles, responsibilities and expectations – from both perspectives.</w:t>
            </w:r>
          </w:p>
          <w:p w14:paraId="503D7E2E" w14:textId="77777777" w:rsidR="009F08D3" w:rsidRPr="00626E18" w:rsidRDefault="009F08D3" w:rsidP="004547D0">
            <w:pPr>
              <w:numPr>
                <w:ilvl w:val="0"/>
                <w:numId w:val="4"/>
              </w:numPr>
              <w:spacing w:after="60" w:line="276" w:lineRule="auto"/>
              <w:rPr>
                <w:rFonts w:ascii="Arial" w:hAnsi="Arial" w:cs="Arial"/>
                <w:sz w:val="22"/>
                <w:szCs w:val="22"/>
                <w:lang w:val="en-NZ"/>
              </w:rPr>
            </w:pPr>
            <w:r w:rsidRPr="00626E18">
              <w:rPr>
                <w:rFonts w:ascii="Arial" w:hAnsi="Arial" w:cs="Arial"/>
                <w:sz w:val="22"/>
                <w:szCs w:val="22"/>
                <w:lang w:val="en-NZ"/>
              </w:rPr>
              <w:lastRenderedPageBreak/>
              <w:t xml:space="preserve">Offer coaching and mentoring to consumers involved in the review process/team, especially if they are at the early stage in their experience of adverse event reviews. </w:t>
            </w:r>
          </w:p>
          <w:p w14:paraId="1E5EA1B8" w14:textId="77777777" w:rsidR="009F08D3" w:rsidRPr="00626E18" w:rsidRDefault="009F08D3" w:rsidP="004547D0">
            <w:pPr>
              <w:spacing w:after="60" w:line="276" w:lineRule="auto"/>
              <w:rPr>
                <w:rFonts w:ascii="Arial" w:hAnsi="Arial" w:cs="Arial"/>
                <w:sz w:val="22"/>
                <w:szCs w:val="22"/>
              </w:rPr>
            </w:pPr>
          </w:p>
        </w:tc>
        <w:tc>
          <w:tcPr>
            <w:tcW w:w="5028" w:type="dxa"/>
            <w:shd w:val="clear" w:color="auto" w:fill="auto"/>
          </w:tcPr>
          <w:p w14:paraId="0AE95004" w14:textId="77777777" w:rsidR="009F08D3" w:rsidRPr="009F08D3" w:rsidRDefault="009F08D3" w:rsidP="004547D0">
            <w:pPr>
              <w:numPr>
                <w:ilvl w:val="0"/>
                <w:numId w:val="6"/>
              </w:numPr>
              <w:tabs>
                <w:tab w:val="num" w:pos="720"/>
              </w:tabs>
              <w:spacing w:before="60" w:after="60" w:line="276" w:lineRule="auto"/>
              <w:ind w:left="357" w:hanging="357"/>
              <w:rPr>
                <w:rFonts w:ascii="Arial" w:hAnsi="Arial" w:cs="Arial"/>
                <w:noProof/>
                <w:sz w:val="22"/>
                <w:szCs w:val="22"/>
                <w:lang w:val="en-NZ" w:eastAsia="en-NZ"/>
              </w:rPr>
            </w:pPr>
            <w:r w:rsidRPr="009F08D3">
              <w:rPr>
                <w:rFonts w:ascii="Arial" w:hAnsi="Arial" w:cs="Arial"/>
                <w:noProof/>
                <w:sz w:val="22"/>
                <w:szCs w:val="22"/>
                <w:lang w:val="en-NZ" w:eastAsia="en-NZ"/>
              </w:rPr>
              <w:lastRenderedPageBreak/>
              <w:t>Timelines for reviews are to be developed in consultation with the affected whānau.</w:t>
            </w:r>
          </w:p>
          <w:p w14:paraId="33AF57AF" w14:textId="77777777" w:rsidR="009F08D3" w:rsidRPr="009F08D3" w:rsidRDefault="009F08D3" w:rsidP="004547D0">
            <w:pPr>
              <w:numPr>
                <w:ilvl w:val="0"/>
                <w:numId w:val="6"/>
              </w:numPr>
              <w:tabs>
                <w:tab w:val="num" w:pos="720"/>
              </w:tabs>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t>Aim to complete everything that happens in partnership with the affected whānau.</w:t>
            </w:r>
          </w:p>
          <w:p w14:paraId="68C3B12F" w14:textId="77777777" w:rsidR="009F08D3" w:rsidRPr="009F08D3" w:rsidRDefault="009F08D3" w:rsidP="004547D0">
            <w:pPr>
              <w:numPr>
                <w:ilvl w:val="0"/>
                <w:numId w:val="6"/>
              </w:numPr>
              <w:tabs>
                <w:tab w:val="num" w:pos="720"/>
              </w:tabs>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t>Appoint a 'connector' from your team, who stays involved and provides ongoing information on the process (eg, wh</w:t>
            </w:r>
            <w:r w:rsidRPr="009F08D3">
              <w:rPr>
                <w:rFonts w:ascii="Arial" w:hAnsi="Arial" w:cs="Arial"/>
                <w:noProof/>
                <w:sz w:val="22"/>
                <w:szCs w:val="22"/>
                <w:lang w:val="mi-NZ" w:eastAsia="en-NZ"/>
              </w:rPr>
              <w:t>ānau liaison)</w:t>
            </w:r>
            <w:r w:rsidRPr="009F08D3">
              <w:rPr>
                <w:rFonts w:ascii="Arial" w:hAnsi="Arial" w:cs="Arial"/>
                <w:noProof/>
                <w:sz w:val="22"/>
                <w:szCs w:val="22"/>
                <w:lang w:val="en-NZ" w:eastAsia="en-NZ"/>
              </w:rPr>
              <w:t>.</w:t>
            </w:r>
          </w:p>
          <w:p w14:paraId="36714565" w14:textId="77777777" w:rsidR="009F08D3" w:rsidRPr="009F08D3" w:rsidRDefault="009F08D3" w:rsidP="004547D0">
            <w:pPr>
              <w:numPr>
                <w:ilvl w:val="0"/>
                <w:numId w:val="6"/>
              </w:numPr>
              <w:tabs>
                <w:tab w:val="num" w:pos="720"/>
              </w:tabs>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t>Ask whānau if they want to nominate a spokesperson to stay connected, if the whānau themselves are not ready to be involved.</w:t>
            </w:r>
          </w:p>
          <w:p w14:paraId="32800E0E" w14:textId="77777777" w:rsidR="009F08D3" w:rsidRPr="009F08D3" w:rsidRDefault="009F08D3" w:rsidP="004547D0">
            <w:pPr>
              <w:numPr>
                <w:ilvl w:val="0"/>
                <w:numId w:val="6"/>
              </w:numPr>
              <w:tabs>
                <w:tab w:val="num" w:pos="720"/>
              </w:tabs>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lastRenderedPageBreak/>
              <w:t>Be clear that you are speaking to the nominated spokesperson - as designated by the whānau.</w:t>
            </w:r>
          </w:p>
          <w:p w14:paraId="75A80B2B" w14:textId="77777777" w:rsidR="009F08D3" w:rsidRPr="009F08D3" w:rsidRDefault="009F08D3" w:rsidP="004547D0">
            <w:pPr>
              <w:numPr>
                <w:ilvl w:val="0"/>
                <w:numId w:val="6"/>
              </w:numPr>
              <w:tabs>
                <w:tab w:val="num" w:pos="720"/>
              </w:tabs>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t>Ask whānau what their preferences are for cultural and other support required.</w:t>
            </w:r>
          </w:p>
          <w:p w14:paraId="4AC179E4" w14:textId="77777777" w:rsidR="009F08D3" w:rsidRPr="009F08D3" w:rsidRDefault="009F08D3" w:rsidP="004547D0">
            <w:pPr>
              <w:numPr>
                <w:ilvl w:val="0"/>
                <w:numId w:val="6"/>
              </w:numPr>
              <w:tabs>
                <w:tab w:val="num" w:pos="720"/>
              </w:tabs>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t>Whānau are unique – respect and honour this.</w:t>
            </w:r>
          </w:p>
          <w:p w14:paraId="7B6DF0AC" w14:textId="77777777" w:rsidR="009F08D3" w:rsidRPr="009F08D3" w:rsidRDefault="009F08D3" w:rsidP="004547D0">
            <w:pPr>
              <w:numPr>
                <w:ilvl w:val="0"/>
                <w:numId w:val="6"/>
              </w:numPr>
              <w:tabs>
                <w:tab w:val="num" w:pos="720"/>
              </w:tabs>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t>Establish a centralised log of all whānau contacts: by who, when, actions and next steps. Summarise outcomes.</w:t>
            </w:r>
          </w:p>
          <w:p w14:paraId="2F6ED501" w14:textId="054476EC" w:rsidR="009F08D3" w:rsidRPr="00626E18" w:rsidRDefault="009F08D3" w:rsidP="004547D0">
            <w:pPr>
              <w:numPr>
                <w:ilvl w:val="0"/>
                <w:numId w:val="6"/>
              </w:numPr>
              <w:spacing w:after="60" w:line="276" w:lineRule="auto"/>
              <w:rPr>
                <w:rFonts w:ascii="Arial" w:hAnsi="Arial" w:cs="Arial"/>
                <w:noProof/>
                <w:sz w:val="22"/>
                <w:szCs w:val="22"/>
                <w:lang w:val="en-NZ" w:eastAsia="en-NZ"/>
              </w:rPr>
            </w:pPr>
            <w:r w:rsidRPr="009F08D3">
              <w:rPr>
                <w:rFonts w:ascii="Arial" w:hAnsi="Arial" w:cs="Arial"/>
                <w:noProof/>
                <w:sz w:val="22"/>
                <w:szCs w:val="22"/>
                <w:lang w:val="en-NZ" w:eastAsia="en-NZ"/>
              </w:rPr>
              <w:t>Meet with whānau at places and times that are convenient and safe for them.</w:t>
            </w:r>
          </w:p>
        </w:tc>
      </w:tr>
    </w:tbl>
    <w:p w14:paraId="41CB46A8" w14:textId="77777777" w:rsidR="00FC07A7" w:rsidRPr="00626E18" w:rsidRDefault="00FC07A7">
      <w:pPr>
        <w:rPr>
          <w:rFonts w:ascii="Arial" w:hAnsi="Arial" w:cs="Arial"/>
          <w:noProof/>
          <w:sz w:val="8"/>
          <w:szCs w:val="8"/>
          <w:lang w:val="en-NZ" w:eastAsia="en-NZ"/>
        </w:rPr>
      </w:pPr>
    </w:p>
    <w:p w14:paraId="2E628235" w14:textId="69DBFDDD" w:rsidR="00FC07A7" w:rsidRPr="00626E18" w:rsidRDefault="00FC07A7">
      <w:pPr>
        <w:rPr>
          <w:rFonts w:ascii="Arial" w:hAnsi="Arial" w:cs="Arial"/>
          <w:noProof/>
          <w:lang w:val="en-NZ" w:eastAsia="en-NZ"/>
        </w:rPr>
      </w:pPr>
    </w:p>
    <w:p w14:paraId="59F81FE9" w14:textId="55F85A86" w:rsidR="00A07688" w:rsidRPr="00626E18" w:rsidRDefault="00216196" w:rsidP="007D443B">
      <w:pPr>
        <w:rPr>
          <w:rFonts w:ascii="Arial" w:hAnsi="Arial" w:cs="Arial"/>
          <w:sz w:val="19"/>
          <w:szCs w:val="19"/>
        </w:rPr>
      </w:pPr>
      <w:r w:rsidRPr="00216196">
        <w:rPr>
          <w:rFonts w:ascii="Arial" w:hAnsi="Arial" w:cs="Arial"/>
          <w:sz w:val="19"/>
          <w:szCs w:val="19"/>
        </w:rPr>
        <w:drawing>
          <wp:anchor distT="0" distB="0" distL="114300" distR="114300" simplePos="0" relativeHeight="251662336" behindDoc="0" locked="0" layoutInCell="1" allowOverlap="1" wp14:anchorId="69DE35D2" wp14:editId="5743C72D">
            <wp:simplePos x="0" y="0"/>
            <wp:positionH relativeFrom="column">
              <wp:posOffset>0</wp:posOffset>
            </wp:positionH>
            <wp:positionV relativeFrom="paragraph">
              <wp:posOffset>3206115</wp:posOffset>
            </wp:positionV>
            <wp:extent cx="2987040" cy="883285"/>
            <wp:effectExtent l="0" t="0" r="381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7040" cy="883285"/>
                    </a:xfrm>
                    <a:prstGeom prst="rect">
                      <a:avLst/>
                    </a:prstGeom>
                  </pic:spPr>
                </pic:pic>
              </a:graphicData>
            </a:graphic>
            <wp14:sizeRelH relativeFrom="margin">
              <wp14:pctWidth>0</wp14:pctWidth>
            </wp14:sizeRelH>
            <wp14:sizeRelV relativeFrom="margin">
              <wp14:pctHeight>0</wp14:pctHeight>
            </wp14:sizeRelV>
          </wp:anchor>
        </w:drawing>
      </w:r>
      <w:r w:rsidRPr="00216196">
        <w:rPr>
          <w:rFonts w:ascii="Arial" w:hAnsi="Arial" w:cs="Arial"/>
          <w:sz w:val="19"/>
          <w:szCs w:val="19"/>
        </w:rPr>
        <w:drawing>
          <wp:anchor distT="0" distB="0" distL="114300" distR="114300" simplePos="0" relativeHeight="251661312" behindDoc="0" locked="0" layoutInCell="1" allowOverlap="1" wp14:anchorId="7CF0DE6F" wp14:editId="2A86739E">
            <wp:simplePos x="0" y="0"/>
            <wp:positionH relativeFrom="column">
              <wp:posOffset>7287895</wp:posOffset>
            </wp:positionH>
            <wp:positionV relativeFrom="paragraph">
              <wp:posOffset>3212302</wp:posOffset>
            </wp:positionV>
            <wp:extent cx="2317115" cy="873760"/>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115" cy="873760"/>
                    </a:xfrm>
                    <a:prstGeom prst="rect">
                      <a:avLst/>
                    </a:prstGeom>
                    <a:noFill/>
                    <a:ln>
                      <a:noFill/>
                    </a:ln>
                  </pic:spPr>
                </pic:pic>
              </a:graphicData>
            </a:graphic>
          </wp:anchor>
        </w:drawing>
      </w:r>
      <w:r w:rsidR="00EF7342" w:rsidRPr="00EF7342">
        <w:rPr>
          <w:rFonts w:ascii="Arial" w:eastAsia="Arial" w:hAnsi="Arial" w:cs="Arial"/>
          <w:noProof/>
          <w:sz w:val="22"/>
          <w:szCs w:val="22"/>
          <w:lang w:val="en-NZ" w:eastAsia="en-US" w:bidi="en-US"/>
        </w:rPr>
        <mc:AlternateContent>
          <mc:Choice Requires="wps">
            <w:drawing>
              <wp:anchor distT="45720" distB="45720" distL="114300" distR="114300" simplePos="0" relativeHeight="251659264" behindDoc="0" locked="0" layoutInCell="1" allowOverlap="1" wp14:anchorId="23CF9E13" wp14:editId="0D7DD44E">
                <wp:simplePos x="0" y="0"/>
                <wp:positionH relativeFrom="margin">
                  <wp:align>left</wp:align>
                </wp:positionH>
                <wp:positionV relativeFrom="paragraph">
                  <wp:posOffset>174034</wp:posOffset>
                </wp:positionV>
                <wp:extent cx="98405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0595" cy="1404620"/>
                        </a:xfrm>
                        <a:prstGeom prst="rect">
                          <a:avLst/>
                        </a:prstGeom>
                        <a:solidFill>
                          <a:srgbClr val="FFFFFF"/>
                        </a:solidFill>
                        <a:ln w="9525">
                          <a:noFill/>
                          <a:miter lim="800000"/>
                          <a:headEnd/>
                          <a:tailEnd/>
                        </a:ln>
                      </wps:spPr>
                      <wps:txbx>
                        <w:txbxContent>
                          <w:p w14:paraId="7D354334" w14:textId="77777777" w:rsidR="00EF7342" w:rsidRPr="00EF7342" w:rsidRDefault="00EF7342" w:rsidP="00EF7342">
                            <w:pPr>
                              <w:rPr>
                                <w:rFonts w:ascii="Arial" w:hAnsi="Arial" w:cs="Arial"/>
                                <w:sz w:val="22"/>
                                <w:szCs w:val="22"/>
                              </w:rPr>
                            </w:pPr>
                            <w:r w:rsidRPr="00EF7342">
                              <w:rPr>
                                <w:rFonts w:ascii="Arial" w:hAnsi="Arial" w:cs="Arial"/>
                                <w:sz w:val="22"/>
                                <w:szCs w:val="22"/>
                              </w:rPr>
                              <w:t>Published in February 2022 by the Health Quality &amp; Safety Commission, PO Box 25496, Wellington 6146, New Zealand.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F9E13" id="_x0000_t202" coordsize="21600,21600" o:spt="202" path="m,l,21600r21600,l21600,xe">
                <v:stroke joinstyle="miter"/>
                <v:path gradientshapeok="t" o:connecttype="rect"/>
              </v:shapetype>
              <v:shape id="Text Box 2" o:spid="_x0000_s1026" type="#_x0000_t202" style="position:absolute;margin-left:0;margin-top:13.7pt;width:774.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" stroked="f">
                <v:textbox style="mso-fit-shape-to-text:t">
                  <w:txbxContent>
                    <w:p w14:paraId="7D354334" w14:textId="77777777" w:rsidR="00EF7342" w:rsidRPr="00EF7342" w:rsidRDefault="00EF7342" w:rsidP="00EF7342">
                      <w:pPr>
                        <w:rPr>
                          <w:rFonts w:ascii="Arial" w:hAnsi="Arial" w:cs="Arial"/>
                          <w:sz w:val="22"/>
                          <w:szCs w:val="22"/>
                        </w:rPr>
                      </w:pPr>
                      <w:r w:rsidRPr="00EF7342">
                        <w:rPr>
                          <w:rFonts w:ascii="Arial" w:hAnsi="Arial" w:cs="Arial"/>
                          <w:sz w:val="22"/>
                          <w:szCs w:val="22"/>
                        </w:rPr>
                        <w:t>Published in February 2022 by the Health Quality &amp; Safety Commission, PO Box 25496, Wellington 6146, New Zealand.</w:t>
                      </w:r>
                    </w:p>
                  </w:txbxContent>
                </v:textbox>
                <w10:wrap type="square" anchorx="margin"/>
              </v:shape>
            </w:pict>
          </mc:Fallback>
        </mc:AlternateContent>
      </w:r>
    </w:p>
    <w:sectPr w:rsidR="00A07688" w:rsidRPr="00626E18" w:rsidSect="007724E2">
      <w:headerReference w:type="default" r:id="rId13"/>
      <w:pgSz w:w="16838" w:h="11906" w:orient="landscape"/>
      <w:pgMar w:top="340" w:right="873" w:bottom="663" w:left="873" w:header="27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3A98" w14:textId="77777777" w:rsidR="00157F18" w:rsidRDefault="00157F18" w:rsidP="00263437">
      <w:r>
        <w:separator/>
      </w:r>
    </w:p>
  </w:endnote>
  <w:endnote w:type="continuationSeparator" w:id="0">
    <w:p w14:paraId="01CC42D8" w14:textId="77777777" w:rsidR="00157F18" w:rsidRDefault="00157F18" w:rsidP="0026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9204" w14:textId="77777777" w:rsidR="00157F18" w:rsidRDefault="00157F18" w:rsidP="00263437">
      <w:r>
        <w:separator/>
      </w:r>
    </w:p>
  </w:footnote>
  <w:footnote w:type="continuationSeparator" w:id="0">
    <w:p w14:paraId="408FFC76" w14:textId="77777777" w:rsidR="00157F18" w:rsidRDefault="00157F18" w:rsidP="00263437">
      <w:r>
        <w:continuationSeparator/>
      </w:r>
    </w:p>
  </w:footnote>
  <w:footnote w:id="1">
    <w:p w14:paraId="39BDF1FC" w14:textId="720F02C1" w:rsidR="00BB533D" w:rsidRPr="00626E18" w:rsidRDefault="00BB533D">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An adverse event is ‘an event with negative or unfavourable reactions or results that are unintended, unexpected or unplanned (also referred to as ‘incident’ or ‘reportable event’). In practice this is most often understood as an event which results in harm or has the potential to result in harm to a consumer’. See page 7 of: Health Quality &amp; Safety Commission. 2017. National Adverse Events Reporting Policy. Wellington: Health Quality &amp; Safety Commission. URL</w:t>
      </w:r>
      <w:r w:rsidR="00595ECF" w:rsidRPr="00626E18">
        <w:rPr>
          <w:rFonts w:ascii="Arial" w:hAnsi="Arial" w:cs="Arial"/>
        </w:rPr>
        <w:t xml:space="preserve">: </w:t>
      </w:r>
      <w:hyperlink r:id="rId1" w:history="1">
        <w:r w:rsidR="00595ECF" w:rsidRPr="00626E18">
          <w:rPr>
            <w:rStyle w:val="Hyperlink"/>
            <w:rFonts w:ascii="Arial" w:hAnsi="Arial" w:cs="Arial"/>
          </w:rPr>
          <w:t>www.hqsc.govt.nz/resources/resource-library/learning-from-adverse-events-report-201617</w:t>
        </w:r>
      </w:hyperlink>
      <w:r w:rsidR="00595ECF" w:rsidRPr="00626E18">
        <w:rPr>
          <w:rFonts w:ascii="Arial" w:hAnsi="Arial" w:cs="Arial"/>
        </w:rPr>
        <w:t>.</w:t>
      </w:r>
    </w:p>
  </w:footnote>
  <w:footnote w:id="2">
    <w:p w14:paraId="304A78C7" w14:textId="390E35FA" w:rsidR="00E260E6" w:rsidRPr="00626E18" w:rsidRDefault="00E260E6">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w:t>
      </w:r>
      <w:proofErr w:type="spellStart"/>
      <w:r w:rsidRPr="00626E18">
        <w:rPr>
          <w:rFonts w:ascii="Arial" w:hAnsi="Arial" w:cs="Arial"/>
        </w:rPr>
        <w:t>Whānau</w:t>
      </w:r>
      <w:proofErr w:type="spellEnd"/>
      <w:r w:rsidRPr="00626E18">
        <w:rPr>
          <w:rFonts w:ascii="Arial" w:hAnsi="Arial" w:cs="Arial"/>
        </w:rPr>
        <w:t xml:space="preserve">’ means a set of relationships a consumer or proposed consumer recognises as their closest connections, whether those connections are with a collective or an individual. The relationships are not limited to those based on blood ties and may include any of the following: the spouse or partner of the consumer or proposed consumer; relatives of the consumer or proposed consumer; a mixture of relatives, friends and others in a support network; only non-relatives of the consumer or proposed consumer. RANZCP. 2000. </w:t>
      </w:r>
      <w:r w:rsidRPr="00626E18">
        <w:rPr>
          <w:rFonts w:ascii="Arial" w:hAnsi="Arial" w:cs="Arial"/>
          <w:i/>
          <w:iCs/>
        </w:rPr>
        <w:t xml:space="preserve">Involving Families: Guidance notes: Guidance for involving families and </w:t>
      </w:r>
      <w:proofErr w:type="spellStart"/>
      <w:r w:rsidRPr="00626E18">
        <w:rPr>
          <w:rFonts w:ascii="Arial" w:hAnsi="Arial" w:cs="Arial"/>
          <w:i/>
          <w:iCs/>
        </w:rPr>
        <w:t>whānau</w:t>
      </w:r>
      <w:proofErr w:type="spellEnd"/>
      <w:r w:rsidRPr="00626E18">
        <w:rPr>
          <w:rFonts w:ascii="Arial" w:hAnsi="Arial" w:cs="Arial"/>
          <w:i/>
          <w:iCs/>
        </w:rPr>
        <w:t xml:space="preserve"> of mental health consumers/</w:t>
      </w:r>
      <w:proofErr w:type="spellStart"/>
      <w:r w:rsidRPr="00626E18">
        <w:rPr>
          <w:rFonts w:ascii="Arial" w:hAnsi="Arial" w:cs="Arial"/>
          <w:i/>
          <w:iCs/>
        </w:rPr>
        <w:t>tangata</w:t>
      </w:r>
      <w:proofErr w:type="spellEnd"/>
      <w:r w:rsidRPr="00626E18">
        <w:rPr>
          <w:rFonts w:ascii="Arial" w:hAnsi="Arial" w:cs="Arial"/>
          <w:i/>
          <w:iCs/>
        </w:rPr>
        <w:t xml:space="preserve"> </w:t>
      </w:r>
      <w:proofErr w:type="spellStart"/>
      <w:r w:rsidRPr="00626E18">
        <w:rPr>
          <w:rFonts w:ascii="Arial" w:hAnsi="Arial" w:cs="Arial"/>
          <w:i/>
          <w:iCs/>
        </w:rPr>
        <w:t>whai</w:t>
      </w:r>
      <w:proofErr w:type="spellEnd"/>
      <w:r w:rsidRPr="00626E18">
        <w:rPr>
          <w:rFonts w:ascii="Arial" w:hAnsi="Arial" w:cs="Arial"/>
          <w:i/>
          <w:iCs/>
        </w:rPr>
        <w:t xml:space="preserve"> </w:t>
      </w:r>
      <w:proofErr w:type="spellStart"/>
      <w:r w:rsidRPr="00626E18">
        <w:rPr>
          <w:rFonts w:ascii="Arial" w:hAnsi="Arial" w:cs="Arial"/>
          <w:i/>
          <w:iCs/>
        </w:rPr>
        <w:t>ora</w:t>
      </w:r>
      <w:proofErr w:type="spellEnd"/>
      <w:r w:rsidRPr="00626E18">
        <w:rPr>
          <w:rFonts w:ascii="Arial" w:hAnsi="Arial" w:cs="Arial"/>
          <w:i/>
          <w:iCs/>
        </w:rPr>
        <w:t xml:space="preserve"> in care, assessment and treatment processes</w:t>
      </w:r>
      <w:r w:rsidRPr="00626E18">
        <w:rPr>
          <w:rFonts w:ascii="Arial" w:hAnsi="Arial" w:cs="Arial"/>
        </w:rPr>
        <w:t>. Wellington: Ministry of Health.</w:t>
      </w:r>
    </w:p>
  </w:footnote>
  <w:footnote w:id="3">
    <w:p w14:paraId="2B7E9739" w14:textId="72B8A118" w:rsidR="00E775E0" w:rsidRPr="00626E18" w:rsidRDefault="00E775E0">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w:t>
      </w:r>
      <w:hyperlink r:id="rId2" w:history="1">
        <w:r w:rsidR="00595ECF" w:rsidRPr="00626E18">
          <w:rPr>
            <w:rStyle w:val="Hyperlink"/>
            <w:rFonts w:ascii="Arial" w:hAnsi="Arial" w:cs="Arial"/>
          </w:rPr>
          <w:t>www.hqsc.govt.nz/our-work/system-safety/adverse-events/education/how-to-engage-with-consumers-following-an-adverse-event</w:t>
        </w:r>
      </w:hyperlink>
      <w:r w:rsidR="00595ECF" w:rsidRPr="00626E18">
        <w:rPr>
          <w:rFonts w:ascii="Arial" w:hAnsi="Arial" w:cs="Arial"/>
        </w:rPr>
        <w:t xml:space="preserve"> </w:t>
      </w:r>
    </w:p>
  </w:footnote>
  <w:footnote w:id="4">
    <w:p w14:paraId="0B7AF9AA" w14:textId="2665D84D" w:rsidR="00E775E0" w:rsidRPr="00626E18" w:rsidRDefault="00E775E0">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w:t>
      </w:r>
      <w:hyperlink r:id="rId3" w:history="1">
        <w:r w:rsidR="00595ECF" w:rsidRPr="00626E18">
          <w:rPr>
            <w:rStyle w:val="Hyperlink"/>
            <w:rFonts w:ascii="Arial" w:hAnsi="Arial" w:cs="Arial"/>
          </w:rPr>
          <w:t>www.hqsc.govt.nz/resources/resource-library/guide-to-partnering-with-whanau-following-an-adverse-event</w:t>
        </w:r>
      </w:hyperlink>
      <w:r w:rsidR="00595ECF" w:rsidRPr="00626E18">
        <w:rPr>
          <w:rFonts w:ascii="Arial" w:hAnsi="Arial" w:cs="Arial"/>
        </w:rPr>
        <w:t xml:space="preserve"> </w:t>
      </w:r>
    </w:p>
  </w:footnote>
  <w:footnote w:id="5">
    <w:p w14:paraId="2C24AC13" w14:textId="286AE10B" w:rsidR="009F08D3" w:rsidRPr="00626E18" w:rsidRDefault="009F08D3">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Psychological safety </w:t>
      </w:r>
      <w:r w:rsidRPr="009F08D3">
        <w:rPr>
          <w:rFonts w:ascii="Arial" w:hAnsi="Arial" w:cs="Arial"/>
        </w:rPr>
        <w:t>–</w:t>
      </w:r>
      <w:r w:rsidRPr="00626E18">
        <w:rPr>
          <w:rFonts w:ascii="Arial" w:hAnsi="Arial" w:cs="Arial"/>
        </w:rPr>
        <w:t xml:space="preserve"> a belief that one will not be punished or humiliated for speaking up with ideas, questions, concerns or mistakes. Edmondson A. 2018. </w:t>
      </w:r>
      <w:r w:rsidRPr="00626E18">
        <w:rPr>
          <w:rFonts w:ascii="Arial" w:hAnsi="Arial" w:cs="Arial"/>
          <w:i/>
          <w:iCs/>
        </w:rPr>
        <w:t>The Fearless Organization: Creating psychological safety in the workplace for learning, innovation, and growth</w:t>
      </w:r>
      <w:r w:rsidRPr="00626E18">
        <w:rPr>
          <w:rFonts w:ascii="Arial" w:hAnsi="Arial" w:cs="Arial"/>
        </w:rPr>
        <w:t>. New Jersey: John Wiley &amp; Sons.</w:t>
      </w:r>
    </w:p>
  </w:footnote>
  <w:footnote w:id="6">
    <w:p w14:paraId="104F6AB6" w14:textId="1730A485" w:rsidR="009F08D3" w:rsidRPr="00626E18" w:rsidRDefault="009F08D3">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w:t>
      </w:r>
      <w:proofErr w:type="spellStart"/>
      <w:r w:rsidRPr="00626E18">
        <w:rPr>
          <w:rFonts w:ascii="Arial" w:hAnsi="Arial" w:cs="Arial"/>
        </w:rPr>
        <w:t>Whakawhanaungatanga</w:t>
      </w:r>
      <w:proofErr w:type="spellEnd"/>
      <w:r w:rsidRPr="00626E18">
        <w:rPr>
          <w:rFonts w:ascii="Arial" w:hAnsi="Arial" w:cs="Arial"/>
        </w:rPr>
        <w:t xml:space="preserve"> – process of establishing relationships, relating well to others (https://maoridictionary.co.nz).</w:t>
      </w:r>
    </w:p>
  </w:footnote>
  <w:footnote w:id="7">
    <w:p w14:paraId="26E115FA" w14:textId="6A1BC03A" w:rsidR="009F08D3" w:rsidRPr="00626E18" w:rsidRDefault="009F08D3">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Kotahitanga – </w:t>
      </w:r>
      <w:r w:rsidRPr="00626E18">
        <w:rPr>
          <w:rFonts w:ascii="Arial" w:hAnsi="Arial" w:cs="Arial"/>
          <w:color w:val="333333"/>
          <w:shd w:val="clear" w:color="auto" w:fill="FFFFFF"/>
        </w:rPr>
        <w:t>unity, togetherness, solidarity, collective action (https://maoridictionary.co.nz).</w:t>
      </w:r>
    </w:p>
  </w:footnote>
  <w:footnote w:id="8">
    <w:p w14:paraId="3A9A2777" w14:textId="6535AB3C" w:rsidR="009F08D3" w:rsidRPr="00626E18" w:rsidRDefault="009F08D3">
      <w:pPr>
        <w:pStyle w:val="FootnoteText"/>
        <w:rPr>
          <w:rFonts w:ascii="Arial" w:hAnsi="Arial" w:cs="Arial"/>
          <w:lang w:val="en-NZ"/>
        </w:rPr>
      </w:pPr>
      <w:r w:rsidRPr="00626E18">
        <w:rPr>
          <w:rStyle w:val="FootnoteReference"/>
          <w:rFonts w:ascii="Arial" w:hAnsi="Arial" w:cs="Arial"/>
        </w:rPr>
        <w:footnoteRef/>
      </w:r>
      <w:r w:rsidRPr="00626E18">
        <w:rPr>
          <w:rFonts w:ascii="Arial" w:hAnsi="Arial" w:cs="Arial"/>
        </w:rPr>
        <w:t xml:space="preserve"> Tikanga </w:t>
      </w:r>
      <w:r w:rsidRPr="009F08D3">
        <w:rPr>
          <w:rFonts w:ascii="Arial" w:hAnsi="Arial" w:cs="Arial"/>
        </w:rPr>
        <w:t>–</w:t>
      </w:r>
      <w:r w:rsidRPr="00626E18">
        <w:rPr>
          <w:rFonts w:ascii="Arial" w:hAnsi="Arial" w:cs="Arial"/>
        </w:rPr>
        <w:t xml:space="preserve"> … the customary system of values and practices that have developed over time and are deeply embedded in the social context (https://maoridictionary.co.nz).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AC30" w14:textId="0532634D" w:rsidR="001A6191" w:rsidRDefault="001A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80371"/>
    <w:multiLevelType w:val="hybridMultilevel"/>
    <w:tmpl w:val="750CC874"/>
    <w:lvl w:ilvl="0" w:tplc="9918CB56">
      <w:start w:val="1"/>
      <w:numFmt w:val="bullet"/>
      <w:lvlText w:val="•"/>
      <w:lvlJc w:val="left"/>
      <w:pPr>
        <w:tabs>
          <w:tab w:val="num" w:pos="720"/>
        </w:tabs>
        <w:ind w:left="720" w:hanging="360"/>
      </w:pPr>
      <w:rPr>
        <w:rFonts w:ascii="Times New Roman" w:hAnsi="Times New Roman" w:hint="default"/>
      </w:rPr>
    </w:lvl>
    <w:lvl w:ilvl="1" w:tplc="31AC0FD0" w:tentative="1">
      <w:start w:val="1"/>
      <w:numFmt w:val="bullet"/>
      <w:lvlText w:val="•"/>
      <w:lvlJc w:val="left"/>
      <w:pPr>
        <w:tabs>
          <w:tab w:val="num" w:pos="1440"/>
        </w:tabs>
        <w:ind w:left="1440" w:hanging="360"/>
      </w:pPr>
      <w:rPr>
        <w:rFonts w:ascii="Times New Roman" w:hAnsi="Times New Roman" w:hint="default"/>
      </w:rPr>
    </w:lvl>
    <w:lvl w:ilvl="2" w:tplc="F1A02F7C" w:tentative="1">
      <w:start w:val="1"/>
      <w:numFmt w:val="bullet"/>
      <w:lvlText w:val="•"/>
      <w:lvlJc w:val="left"/>
      <w:pPr>
        <w:tabs>
          <w:tab w:val="num" w:pos="2160"/>
        </w:tabs>
        <w:ind w:left="2160" w:hanging="360"/>
      </w:pPr>
      <w:rPr>
        <w:rFonts w:ascii="Times New Roman" w:hAnsi="Times New Roman" w:hint="default"/>
      </w:rPr>
    </w:lvl>
    <w:lvl w:ilvl="3" w:tplc="236AFF6E" w:tentative="1">
      <w:start w:val="1"/>
      <w:numFmt w:val="bullet"/>
      <w:lvlText w:val="•"/>
      <w:lvlJc w:val="left"/>
      <w:pPr>
        <w:tabs>
          <w:tab w:val="num" w:pos="2880"/>
        </w:tabs>
        <w:ind w:left="2880" w:hanging="360"/>
      </w:pPr>
      <w:rPr>
        <w:rFonts w:ascii="Times New Roman" w:hAnsi="Times New Roman" w:hint="default"/>
      </w:rPr>
    </w:lvl>
    <w:lvl w:ilvl="4" w:tplc="D0C48FC2" w:tentative="1">
      <w:start w:val="1"/>
      <w:numFmt w:val="bullet"/>
      <w:lvlText w:val="•"/>
      <w:lvlJc w:val="left"/>
      <w:pPr>
        <w:tabs>
          <w:tab w:val="num" w:pos="3600"/>
        </w:tabs>
        <w:ind w:left="3600" w:hanging="360"/>
      </w:pPr>
      <w:rPr>
        <w:rFonts w:ascii="Times New Roman" w:hAnsi="Times New Roman" w:hint="default"/>
      </w:rPr>
    </w:lvl>
    <w:lvl w:ilvl="5" w:tplc="9FF61EC6" w:tentative="1">
      <w:start w:val="1"/>
      <w:numFmt w:val="bullet"/>
      <w:lvlText w:val="•"/>
      <w:lvlJc w:val="left"/>
      <w:pPr>
        <w:tabs>
          <w:tab w:val="num" w:pos="4320"/>
        </w:tabs>
        <w:ind w:left="4320" w:hanging="360"/>
      </w:pPr>
      <w:rPr>
        <w:rFonts w:ascii="Times New Roman" w:hAnsi="Times New Roman" w:hint="default"/>
      </w:rPr>
    </w:lvl>
    <w:lvl w:ilvl="6" w:tplc="DED8C1D0" w:tentative="1">
      <w:start w:val="1"/>
      <w:numFmt w:val="bullet"/>
      <w:lvlText w:val="•"/>
      <w:lvlJc w:val="left"/>
      <w:pPr>
        <w:tabs>
          <w:tab w:val="num" w:pos="5040"/>
        </w:tabs>
        <w:ind w:left="5040" w:hanging="360"/>
      </w:pPr>
      <w:rPr>
        <w:rFonts w:ascii="Times New Roman" w:hAnsi="Times New Roman" w:hint="default"/>
      </w:rPr>
    </w:lvl>
    <w:lvl w:ilvl="7" w:tplc="CE60EADE" w:tentative="1">
      <w:start w:val="1"/>
      <w:numFmt w:val="bullet"/>
      <w:lvlText w:val="•"/>
      <w:lvlJc w:val="left"/>
      <w:pPr>
        <w:tabs>
          <w:tab w:val="num" w:pos="5760"/>
        </w:tabs>
        <w:ind w:left="5760" w:hanging="360"/>
      </w:pPr>
      <w:rPr>
        <w:rFonts w:ascii="Times New Roman" w:hAnsi="Times New Roman" w:hint="default"/>
      </w:rPr>
    </w:lvl>
    <w:lvl w:ilvl="8" w:tplc="EF7ADD4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F627E24"/>
    <w:multiLevelType w:val="hybridMultilevel"/>
    <w:tmpl w:val="F1A25EAA"/>
    <w:lvl w:ilvl="0" w:tplc="3152A062">
      <w:start w:val="1"/>
      <w:numFmt w:val="bullet"/>
      <w:lvlText w:val="•"/>
      <w:lvlJc w:val="left"/>
      <w:pPr>
        <w:tabs>
          <w:tab w:val="num" w:pos="360"/>
        </w:tabs>
        <w:ind w:left="360" w:hanging="360"/>
      </w:pPr>
      <w:rPr>
        <w:rFonts w:ascii="Times New Roman" w:hAnsi="Times New Roman" w:hint="default"/>
      </w:rPr>
    </w:lvl>
    <w:lvl w:ilvl="1" w:tplc="7958A1FC" w:tentative="1">
      <w:start w:val="1"/>
      <w:numFmt w:val="bullet"/>
      <w:lvlText w:val="•"/>
      <w:lvlJc w:val="left"/>
      <w:pPr>
        <w:tabs>
          <w:tab w:val="num" w:pos="1080"/>
        </w:tabs>
        <w:ind w:left="1080" w:hanging="360"/>
      </w:pPr>
      <w:rPr>
        <w:rFonts w:ascii="Times New Roman" w:hAnsi="Times New Roman" w:hint="default"/>
      </w:rPr>
    </w:lvl>
    <w:lvl w:ilvl="2" w:tplc="F03A8210" w:tentative="1">
      <w:start w:val="1"/>
      <w:numFmt w:val="bullet"/>
      <w:lvlText w:val="•"/>
      <w:lvlJc w:val="left"/>
      <w:pPr>
        <w:tabs>
          <w:tab w:val="num" w:pos="1800"/>
        </w:tabs>
        <w:ind w:left="1800" w:hanging="360"/>
      </w:pPr>
      <w:rPr>
        <w:rFonts w:ascii="Times New Roman" w:hAnsi="Times New Roman" w:hint="default"/>
      </w:rPr>
    </w:lvl>
    <w:lvl w:ilvl="3" w:tplc="10EC7E28" w:tentative="1">
      <w:start w:val="1"/>
      <w:numFmt w:val="bullet"/>
      <w:lvlText w:val="•"/>
      <w:lvlJc w:val="left"/>
      <w:pPr>
        <w:tabs>
          <w:tab w:val="num" w:pos="2520"/>
        </w:tabs>
        <w:ind w:left="2520" w:hanging="360"/>
      </w:pPr>
      <w:rPr>
        <w:rFonts w:ascii="Times New Roman" w:hAnsi="Times New Roman" w:hint="default"/>
      </w:rPr>
    </w:lvl>
    <w:lvl w:ilvl="4" w:tplc="26FCE368" w:tentative="1">
      <w:start w:val="1"/>
      <w:numFmt w:val="bullet"/>
      <w:lvlText w:val="•"/>
      <w:lvlJc w:val="left"/>
      <w:pPr>
        <w:tabs>
          <w:tab w:val="num" w:pos="3240"/>
        </w:tabs>
        <w:ind w:left="3240" w:hanging="360"/>
      </w:pPr>
      <w:rPr>
        <w:rFonts w:ascii="Times New Roman" w:hAnsi="Times New Roman" w:hint="default"/>
      </w:rPr>
    </w:lvl>
    <w:lvl w:ilvl="5" w:tplc="A3C433A4" w:tentative="1">
      <w:start w:val="1"/>
      <w:numFmt w:val="bullet"/>
      <w:lvlText w:val="•"/>
      <w:lvlJc w:val="left"/>
      <w:pPr>
        <w:tabs>
          <w:tab w:val="num" w:pos="3960"/>
        </w:tabs>
        <w:ind w:left="3960" w:hanging="360"/>
      </w:pPr>
      <w:rPr>
        <w:rFonts w:ascii="Times New Roman" w:hAnsi="Times New Roman" w:hint="default"/>
      </w:rPr>
    </w:lvl>
    <w:lvl w:ilvl="6" w:tplc="87F64EBC" w:tentative="1">
      <w:start w:val="1"/>
      <w:numFmt w:val="bullet"/>
      <w:lvlText w:val="•"/>
      <w:lvlJc w:val="left"/>
      <w:pPr>
        <w:tabs>
          <w:tab w:val="num" w:pos="4680"/>
        </w:tabs>
        <w:ind w:left="4680" w:hanging="360"/>
      </w:pPr>
      <w:rPr>
        <w:rFonts w:ascii="Times New Roman" w:hAnsi="Times New Roman" w:hint="default"/>
      </w:rPr>
    </w:lvl>
    <w:lvl w:ilvl="7" w:tplc="05D29FC6" w:tentative="1">
      <w:start w:val="1"/>
      <w:numFmt w:val="bullet"/>
      <w:lvlText w:val="•"/>
      <w:lvlJc w:val="left"/>
      <w:pPr>
        <w:tabs>
          <w:tab w:val="num" w:pos="5400"/>
        </w:tabs>
        <w:ind w:left="5400" w:hanging="360"/>
      </w:pPr>
      <w:rPr>
        <w:rFonts w:ascii="Times New Roman" w:hAnsi="Times New Roman" w:hint="default"/>
      </w:rPr>
    </w:lvl>
    <w:lvl w:ilvl="8" w:tplc="D6900E82"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39CC1447"/>
    <w:multiLevelType w:val="hybridMultilevel"/>
    <w:tmpl w:val="2FAEA138"/>
    <w:lvl w:ilvl="0" w:tplc="747E74B8">
      <w:start w:val="1"/>
      <w:numFmt w:val="bullet"/>
      <w:lvlText w:val="•"/>
      <w:lvlJc w:val="left"/>
      <w:pPr>
        <w:tabs>
          <w:tab w:val="num" w:pos="720"/>
        </w:tabs>
        <w:ind w:left="720" w:hanging="360"/>
      </w:pPr>
      <w:rPr>
        <w:rFonts w:ascii="Times New Roman" w:hAnsi="Times New Roman" w:hint="default"/>
      </w:rPr>
    </w:lvl>
    <w:lvl w:ilvl="1" w:tplc="2E865100" w:tentative="1">
      <w:start w:val="1"/>
      <w:numFmt w:val="bullet"/>
      <w:lvlText w:val="•"/>
      <w:lvlJc w:val="left"/>
      <w:pPr>
        <w:tabs>
          <w:tab w:val="num" w:pos="1440"/>
        </w:tabs>
        <w:ind w:left="1440" w:hanging="360"/>
      </w:pPr>
      <w:rPr>
        <w:rFonts w:ascii="Times New Roman" w:hAnsi="Times New Roman" w:hint="default"/>
      </w:rPr>
    </w:lvl>
    <w:lvl w:ilvl="2" w:tplc="D728965A" w:tentative="1">
      <w:start w:val="1"/>
      <w:numFmt w:val="bullet"/>
      <w:lvlText w:val="•"/>
      <w:lvlJc w:val="left"/>
      <w:pPr>
        <w:tabs>
          <w:tab w:val="num" w:pos="2160"/>
        </w:tabs>
        <w:ind w:left="2160" w:hanging="360"/>
      </w:pPr>
      <w:rPr>
        <w:rFonts w:ascii="Times New Roman" w:hAnsi="Times New Roman" w:hint="default"/>
      </w:rPr>
    </w:lvl>
    <w:lvl w:ilvl="3" w:tplc="979A8BE8" w:tentative="1">
      <w:start w:val="1"/>
      <w:numFmt w:val="bullet"/>
      <w:lvlText w:val="•"/>
      <w:lvlJc w:val="left"/>
      <w:pPr>
        <w:tabs>
          <w:tab w:val="num" w:pos="2880"/>
        </w:tabs>
        <w:ind w:left="2880" w:hanging="360"/>
      </w:pPr>
      <w:rPr>
        <w:rFonts w:ascii="Times New Roman" w:hAnsi="Times New Roman" w:hint="default"/>
      </w:rPr>
    </w:lvl>
    <w:lvl w:ilvl="4" w:tplc="D3A4BDA0" w:tentative="1">
      <w:start w:val="1"/>
      <w:numFmt w:val="bullet"/>
      <w:lvlText w:val="•"/>
      <w:lvlJc w:val="left"/>
      <w:pPr>
        <w:tabs>
          <w:tab w:val="num" w:pos="3600"/>
        </w:tabs>
        <w:ind w:left="3600" w:hanging="360"/>
      </w:pPr>
      <w:rPr>
        <w:rFonts w:ascii="Times New Roman" w:hAnsi="Times New Roman" w:hint="default"/>
      </w:rPr>
    </w:lvl>
    <w:lvl w:ilvl="5" w:tplc="4914D892" w:tentative="1">
      <w:start w:val="1"/>
      <w:numFmt w:val="bullet"/>
      <w:lvlText w:val="•"/>
      <w:lvlJc w:val="left"/>
      <w:pPr>
        <w:tabs>
          <w:tab w:val="num" w:pos="4320"/>
        </w:tabs>
        <w:ind w:left="4320" w:hanging="360"/>
      </w:pPr>
      <w:rPr>
        <w:rFonts w:ascii="Times New Roman" w:hAnsi="Times New Roman" w:hint="default"/>
      </w:rPr>
    </w:lvl>
    <w:lvl w:ilvl="6" w:tplc="0A8860F4" w:tentative="1">
      <w:start w:val="1"/>
      <w:numFmt w:val="bullet"/>
      <w:lvlText w:val="•"/>
      <w:lvlJc w:val="left"/>
      <w:pPr>
        <w:tabs>
          <w:tab w:val="num" w:pos="5040"/>
        </w:tabs>
        <w:ind w:left="5040" w:hanging="360"/>
      </w:pPr>
      <w:rPr>
        <w:rFonts w:ascii="Times New Roman" w:hAnsi="Times New Roman" w:hint="default"/>
      </w:rPr>
    </w:lvl>
    <w:lvl w:ilvl="7" w:tplc="E862A75C" w:tentative="1">
      <w:start w:val="1"/>
      <w:numFmt w:val="bullet"/>
      <w:lvlText w:val="•"/>
      <w:lvlJc w:val="left"/>
      <w:pPr>
        <w:tabs>
          <w:tab w:val="num" w:pos="5760"/>
        </w:tabs>
        <w:ind w:left="5760" w:hanging="360"/>
      </w:pPr>
      <w:rPr>
        <w:rFonts w:ascii="Times New Roman" w:hAnsi="Times New Roman" w:hint="default"/>
      </w:rPr>
    </w:lvl>
    <w:lvl w:ilvl="8" w:tplc="DF5667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BD3749D"/>
    <w:multiLevelType w:val="hybridMultilevel"/>
    <w:tmpl w:val="71D8D280"/>
    <w:lvl w:ilvl="0" w:tplc="1409000F">
      <w:start w:val="1"/>
      <w:numFmt w:val="decimal"/>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5E0B1ABE"/>
    <w:multiLevelType w:val="hybridMultilevel"/>
    <w:tmpl w:val="2FF41BBE"/>
    <w:lvl w:ilvl="0" w:tplc="C284EA6C">
      <w:start w:val="1"/>
      <w:numFmt w:val="bullet"/>
      <w:lvlText w:val="•"/>
      <w:lvlJc w:val="left"/>
      <w:pPr>
        <w:tabs>
          <w:tab w:val="num" w:pos="360"/>
        </w:tabs>
        <w:ind w:left="360" w:hanging="360"/>
      </w:pPr>
      <w:rPr>
        <w:rFonts w:ascii="Times New Roman" w:hAnsi="Times New Roman" w:hint="default"/>
      </w:rPr>
    </w:lvl>
    <w:lvl w:ilvl="1" w:tplc="D4CE99CC" w:tentative="1">
      <w:start w:val="1"/>
      <w:numFmt w:val="bullet"/>
      <w:lvlText w:val="•"/>
      <w:lvlJc w:val="left"/>
      <w:pPr>
        <w:tabs>
          <w:tab w:val="num" w:pos="1080"/>
        </w:tabs>
        <w:ind w:left="1080" w:hanging="360"/>
      </w:pPr>
      <w:rPr>
        <w:rFonts w:ascii="Times New Roman" w:hAnsi="Times New Roman" w:hint="default"/>
      </w:rPr>
    </w:lvl>
    <w:lvl w:ilvl="2" w:tplc="D57EDFB0" w:tentative="1">
      <w:start w:val="1"/>
      <w:numFmt w:val="bullet"/>
      <w:lvlText w:val="•"/>
      <w:lvlJc w:val="left"/>
      <w:pPr>
        <w:tabs>
          <w:tab w:val="num" w:pos="1800"/>
        </w:tabs>
        <w:ind w:left="1800" w:hanging="360"/>
      </w:pPr>
      <w:rPr>
        <w:rFonts w:ascii="Times New Roman" w:hAnsi="Times New Roman" w:hint="default"/>
      </w:rPr>
    </w:lvl>
    <w:lvl w:ilvl="3" w:tplc="0C3243F8" w:tentative="1">
      <w:start w:val="1"/>
      <w:numFmt w:val="bullet"/>
      <w:lvlText w:val="•"/>
      <w:lvlJc w:val="left"/>
      <w:pPr>
        <w:tabs>
          <w:tab w:val="num" w:pos="2520"/>
        </w:tabs>
        <w:ind w:left="2520" w:hanging="360"/>
      </w:pPr>
      <w:rPr>
        <w:rFonts w:ascii="Times New Roman" w:hAnsi="Times New Roman" w:hint="default"/>
      </w:rPr>
    </w:lvl>
    <w:lvl w:ilvl="4" w:tplc="E9587274" w:tentative="1">
      <w:start w:val="1"/>
      <w:numFmt w:val="bullet"/>
      <w:lvlText w:val="•"/>
      <w:lvlJc w:val="left"/>
      <w:pPr>
        <w:tabs>
          <w:tab w:val="num" w:pos="3240"/>
        </w:tabs>
        <w:ind w:left="3240" w:hanging="360"/>
      </w:pPr>
      <w:rPr>
        <w:rFonts w:ascii="Times New Roman" w:hAnsi="Times New Roman" w:hint="default"/>
      </w:rPr>
    </w:lvl>
    <w:lvl w:ilvl="5" w:tplc="6200FF1E" w:tentative="1">
      <w:start w:val="1"/>
      <w:numFmt w:val="bullet"/>
      <w:lvlText w:val="•"/>
      <w:lvlJc w:val="left"/>
      <w:pPr>
        <w:tabs>
          <w:tab w:val="num" w:pos="3960"/>
        </w:tabs>
        <w:ind w:left="3960" w:hanging="360"/>
      </w:pPr>
      <w:rPr>
        <w:rFonts w:ascii="Times New Roman" w:hAnsi="Times New Roman" w:hint="default"/>
      </w:rPr>
    </w:lvl>
    <w:lvl w:ilvl="6" w:tplc="E096A076" w:tentative="1">
      <w:start w:val="1"/>
      <w:numFmt w:val="bullet"/>
      <w:lvlText w:val="•"/>
      <w:lvlJc w:val="left"/>
      <w:pPr>
        <w:tabs>
          <w:tab w:val="num" w:pos="4680"/>
        </w:tabs>
        <w:ind w:left="4680" w:hanging="360"/>
      </w:pPr>
      <w:rPr>
        <w:rFonts w:ascii="Times New Roman" w:hAnsi="Times New Roman" w:hint="default"/>
      </w:rPr>
    </w:lvl>
    <w:lvl w:ilvl="7" w:tplc="68BED07C" w:tentative="1">
      <w:start w:val="1"/>
      <w:numFmt w:val="bullet"/>
      <w:lvlText w:val="•"/>
      <w:lvlJc w:val="left"/>
      <w:pPr>
        <w:tabs>
          <w:tab w:val="num" w:pos="5400"/>
        </w:tabs>
        <w:ind w:left="5400" w:hanging="360"/>
      </w:pPr>
      <w:rPr>
        <w:rFonts w:ascii="Times New Roman" w:hAnsi="Times New Roman" w:hint="default"/>
      </w:rPr>
    </w:lvl>
    <w:lvl w:ilvl="8" w:tplc="C7CEC832"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A7"/>
    <w:rsid w:val="0001639C"/>
    <w:rsid w:val="000347F3"/>
    <w:rsid w:val="0004416A"/>
    <w:rsid w:val="0005577E"/>
    <w:rsid w:val="00082812"/>
    <w:rsid w:val="000B25B4"/>
    <w:rsid w:val="000C7FBE"/>
    <w:rsid w:val="000D5192"/>
    <w:rsid w:val="000E7647"/>
    <w:rsid w:val="000E7A5A"/>
    <w:rsid w:val="000F1606"/>
    <w:rsid w:val="0011753C"/>
    <w:rsid w:val="00126F08"/>
    <w:rsid w:val="00130AB4"/>
    <w:rsid w:val="00157F18"/>
    <w:rsid w:val="00171556"/>
    <w:rsid w:val="00182164"/>
    <w:rsid w:val="00186622"/>
    <w:rsid w:val="00192096"/>
    <w:rsid w:val="0019243B"/>
    <w:rsid w:val="0019255B"/>
    <w:rsid w:val="00197737"/>
    <w:rsid w:val="001A6191"/>
    <w:rsid w:val="001B42F2"/>
    <w:rsid w:val="001E0AFC"/>
    <w:rsid w:val="001F333C"/>
    <w:rsid w:val="002021BA"/>
    <w:rsid w:val="00206CDD"/>
    <w:rsid w:val="00216196"/>
    <w:rsid w:val="00263437"/>
    <w:rsid w:val="002A1AEA"/>
    <w:rsid w:val="002D44E6"/>
    <w:rsid w:val="002D761B"/>
    <w:rsid w:val="002E18ED"/>
    <w:rsid w:val="002F309B"/>
    <w:rsid w:val="003172D1"/>
    <w:rsid w:val="00334A03"/>
    <w:rsid w:val="00336B73"/>
    <w:rsid w:val="00340F18"/>
    <w:rsid w:val="0035227C"/>
    <w:rsid w:val="00364DAA"/>
    <w:rsid w:val="00381A85"/>
    <w:rsid w:val="00392289"/>
    <w:rsid w:val="003B1C5C"/>
    <w:rsid w:val="003C7D94"/>
    <w:rsid w:val="003E4949"/>
    <w:rsid w:val="003F08D2"/>
    <w:rsid w:val="003F7D90"/>
    <w:rsid w:val="00417E38"/>
    <w:rsid w:val="00442CC1"/>
    <w:rsid w:val="0044468A"/>
    <w:rsid w:val="004547D0"/>
    <w:rsid w:val="00472D97"/>
    <w:rsid w:val="004801F0"/>
    <w:rsid w:val="00480376"/>
    <w:rsid w:val="0048792C"/>
    <w:rsid w:val="004970F2"/>
    <w:rsid w:val="004E6195"/>
    <w:rsid w:val="00503850"/>
    <w:rsid w:val="00507D82"/>
    <w:rsid w:val="00516C1E"/>
    <w:rsid w:val="005171B3"/>
    <w:rsid w:val="00525097"/>
    <w:rsid w:val="00541AE9"/>
    <w:rsid w:val="00542D41"/>
    <w:rsid w:val="005444C3"/>
    <w:rsid w:val="00545243"/>
    <w:rsid w:val="00566DF2"/>
    <w:rsid w:val="005945C6"/>
    <w:rsid w:val="00595ECF"/>
    <w:rsid w:val="005E6682"/>
    <w:rsid w:val="005F036B"/>
    <w:rsid w:val="005F6C7D"/>
    <w:rsid w:val="00607830"/>
    <w:rsid w:val="00610E2B"/>
    <w:rsid w:val="00626E18"/>
    <w:rsid w:val="00662B41"/>
    <w:rsid w:val="00666817"/>
    <w:rsid w:val="00674F39"/>
    <w:rsid w:val="006A2F73"/>
    <w:rsid w:val="006C54AE"/>
    <w:rsid w:val="007032D7"/>
    <w:rsid w:val="00724242"/>
    <w:rsid w:val="00736246"/>
    <w:rsid w:val="007372D3"/>
    <w:rsid w:val="0074641D"/>
    <w:rsid w:val="007724E2"/>
    <w:rsid w:val="00773253"/>
    <w:rsid w:val="00776E99"/>
    <w:rsid w:val="007917AF"/>
    <w:rsid w:val="007A2AE3"/>
    <w:rsid w:val="007A7AC4"/>
    <w:rsid w:val="007A7B8C"/>
    <w:rsid w:val="007B6CD0"/>
    <w:rsid w:val="007C720B"/>
    <w:rsid w:val="007D20E0"/>
    <w:rsid w:val="007D443B"/>
    <w:rsid w:val="007E1F3F"/>
    <w:rsid w:val="007F306D"/>
    <w:rsid w:val="00803B69"/>
    <w:rsid w:val="0080732A"/>
    <w:rsid w:val="008109FA"/>
    <w:rsid w:val="00821309"/>
    <w:rsid w:val="00847EE6"/>
    <w:rsid w:val="008632E8"/>
    <w:rsid w:val="0086643B"/>
    <w:rsid w:val="00893510"/>
    <w:rsid w:val="008E1945"/>
    <w:rsid w:val="008E211B"/>
    <w:rsid w:val="008E638C"/>
    <w:rsid w:val="008F7CC9"/>
    <w:rsid w:val="00944665"/>
    <w:rsid w:val="00973B79"/>
    <w:rsid w:val="00997C72"/>
    <w:rsid w:val="009A1AB6"/>
    <w:rsid w:val="009A62B0"/>
    <w:rsid w:val="009A7871"/>
    <w:rsid w:val="009B1409"/>
    <w:rsid w:val="009D2196"/>
    <w:rsid w:val="009E7142"/>
    <w:rsid w:val="009F08D3"/>
    <w:rsid w:val="009F41B8"/>
    <w:rsid w:val="009F4BAC"/>
    <w:rsid w:val="009F58E1"/>
    <w:rsid w:val="00A07688"/>
    <w:rsid w:val="00A1501C"/>
    <w:rsid w:val="00A336E7"/>
    <w:rsid w:val="00A34258"/>
    <w:rsid w:val="00A3603E"/>
    <w:rsid w:val="00A374CF"/>
    <w:rsid w:val="00A5390B"/>
    <w:rsid w:val="00A557E2"/>
    <w:rsid w:val="00A56037"/>
    <w:rsid w:val="00A62F3C"/>
    <w:rsid w:val="00A63CD2"/>
    <w:rsid w:val="00A65B34"/>
    <w:rsid w:val="00A67FAB"/>
    <w:rsid w:val="00A70365"/>
    <w:rsid w:val="00A80555"/>
    <w:rsid w:val="00AB227F"/>
    <w:rsid w:val="00AB33FB"/>
    <w:rsid w:val="00AD46EB"/>
    <w:rsid w:val="00AE591B"/>
    <w:rsid w:val="00AF5FA2"/>
    <w:rsid w:val="00B136B0"/>
    <w:rsid w:val="00B35402"/>
    <w:rsid w:val="00B64709"/>
    <w:rsid w:val="00B657C7"/>
    <w:rsid w:val="00B81FB3"/>
    <w:rsid w:val="00B94058"/>
    <w:rsid w:val="00B943C0"/>
    <w:rsid w:val="00BB533D"/>
    <w:rsid w:val="00BB7A8E"/>
    <w:rsid w:val="00BC3EC9"/>
    <w:rsid w:val="00BD6514"/>
    <w:rsid w:val="00BF6C17"/>
    <w:rsid w:val="00C038B8"/>
    <w:rsid w:val="00C04501"/>
    <w:rsid w:val="00C2582B"/>
    <w:rsid w:val="00C31A7A"/>
    <w:rsid w:val="00C330B8"/>
    <w:rsid w:val="00C34F7F"/>
    <w:rsid w:val="00C44151"/>
    <w:rsid w:val="00C67FC9"/>
    <w:rsid w:val="00CB3FD5"/>
    <w:rsid w:val="00CB4FDF"/>
    <w:rsid w:val="00CC0221"/>
    <w:rsid w:val="00CC7C7F"/>
    <w:rsid w:val="00CD3243"/>
    <w:rsid w:val="00CE6A8B"/>
    <w:rsid w:val="00CE6DD4"/>
    <w:rsid w:val="00D0068A"/>
    <w:rsid w:val="00D45870"/>
    <w:rsid w:val="00D6051A"/>
    <w:rsid w:val="00D70937"/>
    <w:rsid w:val="00D854E2"/>
    <w:rsid w:val="00D923DB"/>
    <w:rsid w:val="00D938D2"/>
    <w:rsid w:val="00DB079B"/>
    <w:rsid w:val="00DB4F98"/>
    <w:rsid w:val="00DB6C12"/>
    <w:rsid w:val="00DC3828"/>
    <w:rsid w:val="00DD27F9"/>
    <w:rsid w:val="00DF6D08"/>
    <w:rsid w:val="00DF78F3"/>
    <w:rsid w:val="00E04C94"/>
    <w:rsid w:val="00E111DD"/>
    <w:rsid w:val="00E23C02"/>
    <w:rsid w:val="00E260E6"/>
    <w:rsid w:val="00E32A77"/>
    <w:rsid w:val="00E34BB9"/>
    <w:rsid w:val="00E37109"/>
    <w:rsid w:val="00E441B6"/>
    <w:rsid w:val="00E775E0"/>
    <w:rsid w:val="00E95FB2"/>
    <w:rsid w:val="00EB6B99"/>
    <w:rsid w:val="00EC215F"/>
    <w:rsid w:val="00EE07F8"/>
    <w:rsid w:val="00EF06EC"/>
    <w:rsid w:val="00EF0A8B"/>
    <w:rsid w:val="00EF63AB"/>
    <w:rsid w:val="00EF7342"/>
    <w:rsid w:val="00F13ABF"/>
    <w:rsid w:val="00F27677"/>
    <w:rsid w:val="00F62149"/>
    <w:rsid w:val="00F71ADA"/>
    <w:rsid w:val="00F81736"/>
    <w:rsid w:val="00F81F8A"/>
    <w:rsid w:val="00F84B99"/>
    <w:rsid w:val="00FA4949"/>
    <w:rsid w:val="00FB3F97"/>
    <w:rsid w:val="00FC07A7"/>
    <w:rsid w:val="00FC1AEA"/>
    <w:rsid w:val="00FC39F6"/>
    <w:rsid w:val="00FC5863"/>
    <w:rsid w:val="00FD3E6C"/>
    <w:rsid w:val="00FE0094"/>
    <w:rsid w:val="00FE0456"/>
    <w:rsid w:val="00FE78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426DAA"/>
  <w15:docId w15:val="{9713A25A-37C2-4A4E-A1DB-0CE9F58C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C07A7"/>
    <w:rPr>
      <w:rFonts w:ascii="Tahoma" w:hAnsi="Tahoma" w:cs="Tahoma"/>
      <w:sz w:val="16"/>
      <w:szCs w:val="16"/>
    </w:rPr>
  </w:style>
  <w:style w:type="character" w:customStyle="1" w:styleId="BalloonTextChar">
    <w:name w:val="Balloon Text Char"/>
    <w:basedOn w:val="DefaultParagraphFont"/>
    <w:link w:val="BalloonText"/>
    <w:rsid w:val="00FC07A7"/>
    <w:rPr>
      <w:rFonts w:ascii="Tahoma" w:hAnsi="Tahoma" w:cs="Tahoma"/>
      <w:sz w:val="16"/>
      <w:szCs w:val="16"/>
      <w:lang w:val="en-GB" w:eastAsia="en-GB"/>
    </w:rPr>
  </w:style>
  <w:style w:type="paragraph" w:styleId="ListParagraph">
    <w:name w:val="List Paragraph"/>
    <w:basedOn w:val="Normal"/>
    <w:uiPriority w:val="34"/>
    <w:qFormat/>
    <w:rsid w:val="00FC07A7"/>
    <w:pPr>
      <w:ind w:left="720"/>
    </w:pPr>
    <w:rPr>
      <w:rFonts w:ascii="Calibri" w:eastAsiaTheme="minorHAnsi" w:hAnsi="Calibri" w:cs="Calibri"/>
      <w:sz w:val="22"/>
      <w:szCs w:val="22"/>
      <w:lang w:val="en-NZ" w:eastAsia="en-NZ"/>
    </w:rPr>
  </w:style>
  <w:style w:type="paragraph" w:styleId="Header">
    <w:name w:val="header"/>
    <w:basedOn w:val="Normal"/>
    <w:link w:val="HeaderChar"/>
    <w:rsid w:val="00263437"/>
    <w:pPr>
      <w:tabs>
        <w:tab w:val="center" w:pos="4513"/>
        <w:tab w:val="right" w:pos="9026"/>
      </w:tabs>
    </w:pPr>
  </w:style>
  <w:style w:type="character" w:customStyle="1" w:styleId="HeaderChar">
    <w:name w:val="Header Char"/>
    <w:basedOn w:val="DefaultParagraphFont"/>
    <w:link w:val="Header"/>
    <w:rsid w:val="00263437"/>
    <w:rPr>
      <w:sz w:val="24"/>
      <w:szCs w:val="24"/>
      <w:lang w:val="en-GB" w:eastAsia="en-GB"/>
    </w:rPr>
  </w:style>
  <w:style w:type="paragraph" w:styleId="Footer">
    <w:name w:val="footer"/>
    <w:basedOn w:val="Normal"/>
    <w:link w:val="FooterChar"/>
    <w:rsid w:val="00263437"/>
    <w:pPr>
      <w:tabs>
        <w:tab w:val="center" w:pos="4513"/>
        <w:tab w:val="right" w:pos="9026"/>
      </w:tabs>
    </w:pPr>
  </w:style>
  <w:style w:type="character" w:customStyle="1" w:styleId="FooterChar">
    <w:name w:val="Footer Char"/>
    <w:basedOn w:val="DefaultParagraphFont"/>
    <w:link w:val="Footer"/>
    <w:rsid w:val="00263437"/>
    <w:rPr>
      <w:sz w:val="24"/>
      <w:szCs w:val="24"/>
      <w:lang w:val="en-GB" w:eastAsia="en-GB"/>
    </w:rPr>
  </w:style>
  <w:style w:type="character" w:styleId="CommentReference">
    <w:name w:val="annotation reference"/>
    <w:basedOn w:val="DefaultParagraphFont"/>
    <w:semiHidden/>
    <w:unhideWhenUsed/>
    <w:rsid w:val="002A1AEA"/>
    <w:rPr>
      <w:sz w:val="16"/>
      <w:szCs w:val="16"/>
    </w:rPr>
  </w:style>
  <w:style w:type="paragraph" w:styleId="CommentText">
    <w:name w:val="annotation text"/>
    <w:basedOn w:val="Normal"/>
    <w:link w:val="CommentTextChar"/>
    <w:semiHidden/>
    <w:unhideWhenUsed/>
    <w:rsid w:val="002A1AEA"/>
    <w:rPr>
      <w:sz w:val="20"/>
      <w:szCs w:val="20"/>
    </w:rPr>
  </w:style>
  <w:style w:type="character" w:customStyle="1" w:styleId="CommentTextChar">
    <w:name w:val="Comment Text Char"/>
    <w:basedOn w:val="DefaultParagraphFont"/>
    <w:link w:val="CommentText"/>
    <w:semiHidden/>
    <w:rsid w:val="002A1AEA"/>
    <w:rPr>
      <w:lang w:val="en-GB" w:eastAsia="en-GB"/>
    </w:rPr>
  </w:style>
  <w:style w:type="paragraph" w:styleId="CommentSubject">
    <w:name w:val="annotation subject"/>
    <w:basedOn w:val="CommentText"/>
    <w:next w:val="CommentText"/>
    <w:link w:val="CommentSubjectChar"/>
    <w:semiHidden/>
    <w:unhideWhenUsed/>
    <w:rsid w:val="002A1AEA"/>
    <w:rPr>
      <w:b/>
      <w:bCs/>
    </w:rPr>
  </w:style>
  <w:style w:type="character" w:customStyle="1" w:styleId="CommentSubjectChar">
    <w:name w:val="Comment Subject Char"/>
    <w:basedOn w:val="CommentTextChar"/>
    <w:link w:val="CommentSubject"/>
    <w:semiHidden/>
    <w:rsid w:val="002A1AEA"/>
    <w:rPr>
      <w:b/>
      <w:bCs/>
      <w:lang w:val="en-GB" w:eastAsia="en-GB"/>
    </w:rPr>
  </w:style>
  <w:style w:type="character" w:customStyle="1" w:styleId="A7">
    <w:name w:val="A7"/>
    <w:uiPriority w:val="99"/>
    <w:rsid w:val="00EB6B99"/>
    <w:rPr>
      <w:rFonts w:cs="Whitney Light"/>
      <w:color w:val="000000"/>
      <w:sz w:val="11"/>
      <w:szCs w:val="11"/>
    </w:rPr>
  </w:style>
  <w:style w:type="character" w:styleId="Hyperlink">
    <w:name w:val="Hyperlink"/>
    <w:basedOn w:val="DefaultParagraphFont"/>
    <w:unhideWhenUsed/>
    <w:rsid w:val="00C038B8"/>
    <w:rPr>
      <w:color w:val="0000FF" w:themeColor="hyperlink"/>
      <w:u w:val="single"/>
    </w:rPr>
  </w:style>
  <w:style w:type="character" w:styleId="UnresolvedMention">
    <w:name w:val="Unresolved Mention"/>
    <w:basedOn w:val="DefaultParagraphFont"/>
    <w:uiPriority w:val="99"/>
    <w:semiHidden/>
    <w:unhideWhenUsed/>
    <w:rsid w:val="00C038B8"/>
    <w:rPr>
      <w:color w:val="605E5C"/>
      <w:shd w:val="clear" w:color="auto" w:fill="E1DFDD"/>
    </w:rPr>
  </w:style>
  <w:style w:type="paragraph" w:styleId="FootnoteText">
    <w:name w:val="footnote text"/>
    <w:basedOn w:val="Normal"/>
    <w:link w:val="FootnoteTextChar"/>
    <w:semiHidden/>
    <w:unhideWhenUsed/>
    <w:rsid w:val="0019255B"/>
    <w:rPr>
      <w:sz w:val="20"/>
      <w:szCs w:val="20"/>
    </w:rPr>
  </w:style>
  <w:style w:type="character" w:customStyle="1" w:styleId="FootnoteTextChar">
    <w:name w:val="Footnote Text Char"/>
    <w:basedOn w:val="DefaultParagraphFont"/>
    <w:link w:val="FootnoteText"/>
    <w:semiHidden/>
    <w:rsid w:val="0019255B"/>
    <w:rPr>
      <w:lang w:val="en-GB" w:eastAsia="en-GB"/>
    </w:rPr>
  </w:style>
  <w:style w:type="character" w:styleId="FootnoteReference">
    <w:name w:val="footnote reference"/>
    <w:basedOn w:val="DefaultParagraphFont"/>
    <w:semiHidden/>
    <w:unhideWhenUsed/>
    <w:rsid w:val="0019255B"/>
    <w:rPr>
      <w:vertAlign w:val="superscript"/>
    </w:rPr>
  </w:style>
  <w:style w:type="paragraph" w:customStyle="1" w:styleId="Bullet">
    <w:name w:val="Bullet"/>
    <w:basedOn w:val="Normal"/>
    <w:link w:val="BulletChar"/>
    <w:uiPriority w:val="99"/>
    <w:qFormat/>
    <w:rsid w:val="0019255B"/>
    <w:pPr>
      <w:numPr>
        <w:numId w:val="3"/>
      </w:numPr>
      <w:tabs>
        <w:tab w:val="clear" w:pos="284"/>
      </w:tabs>
      <w:spacing w:before="90"/>
    </w:pPr>
    <w:rPr>
      <w:rFonts w:ascii="Segoe UI" w:hAnsi="Segoe UI"/>
      <w:sz w:val="21"/>
      <w:szCs w:val="20"/>
      <w:lang w:val="en-NZ"/>
    </w:rPr>
  </w:style>
  <w:style w:type="character" w:customStyle="1" w:styleId="BulletChar">
    <w:name w:val="Bullet Char"/>
    <w:link w:val="Bullet"/>
    <w:uiPriority w:val="99"/>
    <w:locked/>
    <w:rsid w:val="0019255B"/>
    <w:rPr>
      <w:rFonts w:ascii="Segoe UI" w:hAnsi="Segoe UI"/>
      <w:sz w:val="21"/>
      <w:lang w:eastAsia="en-GB"/>
    </w:rPr>
  </w:style>
  <w:style w:type="paragraph" w:styleId="Revision">
    <w:name w:val="Revision"/>
    <w:hidden/>
    <w:uiPriority w:val="99"/>
    <w:semiHidden/>
    <w:rsid w:val="007E1F3F"/>
    <w:rPr>
      <w:sz w:val="24"/>
      <w:szCs w:val="24"/>
      <w:lang w:val="en-GB" w:eastAsia="en-GB"/>
    </w:rPr>
  </w:style>
  <w:style w:type="character" w:styleId="FollowedHyperlink">
    <w:name w:val="FollowedHyperlink"/>
    <w:basedOn w:val="DefaultParagraphFont"/>
    <w:semiHidden/>
    <w:unhideWhenUsed/>
    <w:rsid w:val="00EC215F"/>
    <w:rPr>
      <w:color w:val="800080" w:themeColor="followedHyperlink"/>
      <w:u w:val="single"/>
    </w:rPr>
  </w:style>
  <w:style w:type="table" w:styleId="TableGrid">
    <w:name w:val="Table Grid"/>
    <w:basedOn w:val="TableNormal"/>
    <w:rsid w:val="009F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2200">
      <w:bodyDiv w:val="1"/>
      <w:marLeft w:val="0"/>
      <w:marRight w:val="0"/>
      <w:marTop w:val="0"/>
      <w:marBottom w:val="0"/>
      <w:divBdr>
        <w:top w:val="none" w:sz="0" w:space="0" w:color="auto"/>
        <w:left w:val="none" w:sz="0" w:space="0" w:color="auto"/>
        <w:bottom w:val="none" w:sz="0" w:space="0" w:color="auto"/>
        <w:right w:val="none" w:sz="0" w:space="0" w:color="auto"/>
      </w:divBdr>
      <w:divsChild>
        <w:div w:id="392893345">
          <w:marLeft w:val="230"/>
          <w:marRight w:val="0"/>
          <w:marTop w:val="0"/>
          <w:marBottom w:val="120"/>
          <w:divBdr>
            <w:top w:val="none" w:sz="0" w:space="0" w:color="auto"/>
            <w:left w:val="none" w:sz="0" w:space="0" w:color="auto"/>
            <w:bottom w:val="none" w:sz="0" w:space="0" w:color="auto"/>
            <w:right w:val="none" w:sz="0" w:space="0" w:color="auto"/>
          </w:divBdr>
        </w:div>
        <w:div w:id="1478838525">
          <w:marLeft w:val="230"/>
          <w:marRight w:val="0"/>
          <w:marTop w:val="0"/>
          <w:marBottom w:val="120"/>
          <w:divBdr>
            <w:top w:val="none" w:sz="0" w:space="0" w:color="auto"/>
            <w:left w:val="none" w:sz="0" w:space="0" w:color="auto"/>
            <w:bottom w:val="none" w:sz="0" w:space="0" w:color="auto"/>
            <w:right w:val="none" w:sz="0" w:space="0" w:color="auto"/>
          </w:divBdr>
        </w:div>
        <w:div w:id="716858025">
          <w:marLeft w:val="230"/>
          <w:marRight w:val="0"/>
          <w:marTop w:val="0"/>
          <w:marBottom w:val="120"/>
          <w:divBdr>
            <w:top w:val="none" w:sz="0" w:space="0" w:color="auto"/>
            <w:left w:val="none" w:sz="0" w:space="0" w:color="auto"/>
            <w:bottom w:val="none" w:sz="0" w:space="0" w:color="auto"/>
            <w:right w:val="none" w:sz="0" w:space="0" w:color="auto"/>
          </w:divBdr>
        </w:div>
        <w:div w:id="538931679">
          <w:marLeft w:val="230"/>
          <w:marRight w:val="0"/>
          <w:marTop w:val="0"/>
          <w:marBottom w:val="120"/>
          <w:divBdr>
            <w:top w:val="none" w:sz="0" w:space="0" w:color="auto"/>
            <w:left w:val="none" w:sz="0" w:space="0" w:color="auto"/>
            <w:bottom w:val="none" w:sz="0" w:space="0" w:color="auto"/>
            <w:right w:val="none" w:sz="0" w:space="0" w:color="auto"/>
          </w:divBdr>
        </w:div>
        <w:div w:id="1518688784">
          <w:marLeft w:val="230"/>
          <w:marRight w:val="0"/>
          <w:marTop w:val="0"/>
          <w:marBottom w:val="120"/>
          <w:divBdr>
            <w:top w:val="none" w:sz="0" w:space="0" w:color="auto"/>
            <w:left w:val="none" w:sz="0" w:space="0" w:color="auto"/>
            <w:bottom w:val="none" w:sz="0" w:space="0" w:color="auto"/>
            <w:right w:val="none" w:sz="0" w:space="0" w:color="auto"/>
          </w:divBdr>
        </w:div>
        <w:div w:id="1206601984">
          <w:marLeft w:val="230"/>
          <w:marRight w:val="0"/>
          <w:marTop w:val="0"/>
          <w:marBottom w:val="120"/>
          <w:divBdr>
            <w:top w:val="none" w:sz="0" w:space="0" w:color="auto"/>
            <w:left w:val="none" w:sz="0" w:space="0" w:color="auto"/>
            <w:bottom w:val="none" w:sz="0" w:space="0" w:color="auto"/>
            <w:right w:val="none" w:sz="0" w:space="0" w:color="auto"/>
          </w:divBdr>
        </w:div>
        <w:div w:id="1777556924">
          <w:marLeft w:val="230"/>
          <w:marRight w:val="0"/>
          <w:marTop w:val="0"/>
          <w:marBottom w:val="120"/>
          <w:divBdr>
            <w:top w:val="none" w:sz="0" w:space="0" w:color="auto"/>
            <w:left w:val="none" w:sz="0" w:space="0" w:color="auto"/>
            <w:bottom w:val="none" w:sz="0" w:space="0" w:color="auto"/>
            <w:right w:val="none" w:sz="0" w:space="0" w:color="auto"/>
          </w:divBdr>
        </w:div>
        <w:div w:id="1584216914">
          <w:marLeft w:val="230"/>
          <w:marRight w:val="0"/>
          <w:marTop w:val="0"/>
          <w:marBottom w:val="120"/>
          <w:divBdr>
            <w:top w:val="none" w:sz="0" w:space="0" w:color="auto"/>
            <w:left w:val="none" w:sz="0" w:space="0" w:color="auto"/>
            <w:bottom w:val="none" w:sz="0" w:space="0" w:color="auto"/>
            <w:right w:val="none" w:sz="0" w:space="0" w:color="auto"/>
          </w:divBdr>
        </w:div>
        <w:div w:id="642391767">
          <w:marLeft w:val="230"/>
          <w:marRight w:val="0"/>
          <w:marTop w:val="0"/>
          <w:marBottom w:val="120"/>
          <w:divBdr>
            <w:top w:val="none" w:sz="0" w:space="0" w:color="auto"/>
            <w:left w:val="none" w:sz="0" w:space="0" w:color="auto"/>
            <w:bottom w:val="none" w:sz="0" w:space="0" w:color="auto"/>
            <w:right w:val="none" w:sz="0" w:space="0" w:color="auto"/>
          </w:divBdr>
        </w:div>
        <w:div w:id="964120502">
          <w:marLeft w:val="230"/>
          <w:marRight w:val="0"/>
          <w:marTop w:val="0"/>
          <w:marBottom w:val="120"/>
          <w:divBdr>
            <w:top w:val="none" w:sz="0" w:space="0" w:color="auto"/>
            <w:left w:val="none" w:sz="0" w:space="0" w:color="auto"/>
            <w:bottom w:val="none" w:sz="0" w:space="0" w:color="auto"/>
            <w:right w:val="none" w:sz="0" w:space="0" w:color="auto"/>
          </w:divBdr>
        </w:div>
      </w:divsChild>
    </w:div>
    <w:div w:id="533617183">
      <w:bodyDiv w:val="1"/>
      <w:marLeft w:val="0"/>
      <w:marRight w:val="0"/>
      <w:marTop w:val="0"/>
      <w:marBottom w:val="0"/>
      <w:divBdr>
        <w:top w:val="none" w:sz="0" w:space="0" w:color="auto"/>
        <w:left w:val="none" w:sz="0" w:space="0" w:color="auto"/>
        <w:bottom w:val="none" w:sz="0" w:space="0" w:color="auto"/>
        <w:right w:val="none" w:sz="0" w:space="0" w:color="auto"/>
      </w:divBdr>
    </w:div>
    <w:div w:id="1697120597">
      <w:bodyDiv w:val="1"/>
      <w:marLeft w:val="0"/>
      <w:marRight w:val="0"/>
      <w:marTop w:val="0"/>
      <w:marBottom w:val="0"/>
      <w:divBdr>
        <w:top w:val="none" w:sz="0" w:space="0" w:color="auto"/>
        <w:left w:val="none" w:sz="0" w:space="0" w:color="auto"/>
        <w:bottom w:val="none" w:sz="0" w:space="0" w:color="auto"/>
        <w:right w:val="none" w:sz="0" w:space="0" w:color="auto"/>
      </w:divBdr>
      <w:divsChild>
        <w:div w:id="1969971660">
          <w:marLeft w:val="547"/>
          <w:marRight w:val="0"/>
          <w:marTop w:val="0"/>
          <w:marBottom w:val="0"/>
          <w:divBdr>
            <w:top w:val="none" w:sz="0" w:space="0" w:color="auto"/>
            <w:left w:val="none" w:sz="0" w:space="0" w:color="auto"/>
            <w:bottom w:val="none" w:sz="0" w:space="0" w:color="auto"/>
            <w:right w:val="none" w:sz="0" w:space="0" w:color="auto"/>
          </w:divBdr>
        </w:div>
      </w:divsChild>
    </w:div>
    <w:div w:id="1884365967">
      <w:bodyDiv w:val="1"/>
      <w:marLeft w:val="0"/>
      <w:marRight w:val="0"/>
      <w:marTop w:val="0"/>
      <w:marBottom w:val="0"/>
      <w:divBdr>
        <w:top w:val="none" w:sz="0" w:space="0" w:color="auto"/>
        <w:left w:val="none" w:sz="0" w:space="0" w:color="auto"/>
        <w:bottom w:val="none" w:sz="0" w:space="0" w:color="auto"/>
        <w:right w:val="none" w:sz="0" w:space="0" w:color="auto"/>
      </w:divBdr>
      <w:divsChild>
        <w:div w:id="99763307">
          <w:marLeft w:val="230"/>
          <w:marRight w:val="0"/>
          <w:marTop w:val="0"/>
          <w:marBottom w:val="120"/>
          <w:divBdr>
            <w:top w:val="none" w:sz="0" w:space="0" w:color="auto"/>
            <w:left w:val="none" w:sz="0" w:space="0" w:color="auto"/>
            <w:bottom w:val="none" w:sz="0" w:space="0" w:color="auto"/>
            <w:right w:val="none" w:sz="0" w:space="0" w:color="auto"/>
          </w:divBdr>
        </w:div>
        <w:div w:id="1727298960">
          <w:marLeft w:val="230"/>
          <w:marRight w:val="0"/>
          <w:marTop w:val="0"/>
          <w:marBottom w:val="120"/>
          <w:divBdr>
            <w:top w:val="none" w:sz="0" w:space="0" w:color="auto"/>
            <w:left w:val="none" w:sz="0" w:space="0" w:color="auto"/>
            <w:bottom w:val="none" w:sz="0" w:space="0" w:color="auto"/>
            <w:right w:val="none" w:sz="0" w:space="0" w:color="auto"/>
          </w:divBdr>
        </w:div>
        <w:div w:id="1070805038">
          <w:marLeft w:val="230"/>
          <w:marRight w:val="0"/>
          <w:marTop w:val="0"/>
          <w:marBottom w:val="120"/>
          <w:divBdr>
            <w:top w:val="none" w:sz="0" w:space="0" w:color="auto"/>
            <w:left w:val="none" w:sz="0" w:space="0" w:color="auto"/>
            <w:bottom w:val="none" w:sz="0" w:space="0" w:color="auto"/>
            <w:right w:val="none" w:sz="0" w:space="0" w:color="auto"/>
          </w:divBdr>
        </w:div>
        <w:div w:id="542713227">
          <w:marLeft w:val="230"/>
          <w:marRight w:val="0"/>
          <w:marTop w:val="0"/>
          <w:marBottom w:val="120"/>
          <w:divBdr>
            <w:top w:val="none" w:sz="0" w:space="0" w:color="auto"/>
            <w:left w:val="none" w:sz="0" w:space="0" w:color="auto"/>
            <w:bottom w:val="none" w:sz="0" w:space="0" w:color="auto"/>
            <w:right w:val="none" w:sz="0" w:space="0" w:color="auto"/>
          </w:divBdr>
        </w:div>
        <w:div w:id="723649787">
          <w:marLeft w:val="230"/>
          <w:marRight w:val="0"/>
          <w:marTop w:val="0"/>
          <w:marBottom w:val="120"/>
          <w:divBdr>
            <w:top w:val="none" w:sz="0" w:space="0" w:color="auto"/>
            <w:left w:val="none" w:sz="0" w:space="0" w:color="auto"/>
            <w:bottom w:val="none" w:sz="0" w:space="0" w:color="auto"/>
            <w:right w:val="none" w:sz="0" w:space="0" w:color="auto"/>
          </w:divBdr>
        </w:div>
        <w:div w:id="628629269">
          <w:marLeft w:val="230"/>
          <w:marRight w:val="0"/>
          <w:marTop w:val="0"/>
          <w:marBottom w:val="120"/>
          <w:divBdr>
            <w:top w:val="none" w:sz="0" w:space="0" w:color="auto"/>
            <w:left w:val="none" w:sz="0" w:space="0" w:color="auto"/>
            <w:bottom w:val="none" w:sz="0" w:space="0" w:color="auto"/>
            <w:right w:val="none" w:sz="0" w:space="0" w:color="auto"/>
          </w:divBdr>
        </w:div>
        <w:div w:id="77871873">
          <w:marLeft w:val="230"/>
          <w:marRight w:val="0"/>
          <w:marTop w:val="0"/>
          <w:marBottom w:val="120"/>
          <w:divBdr>
            <w:top w:val="none" w:sz="0" w:space="0" w:color="auto"/>
            <w:left w:val="none" w:sz="0" w:space="0" w:color="auto"/>
            <w:bottom w:val="none" w:sz="0" w:space="0" w:color="auto"/>
            <w:right w:val="none" w:sz="0" w:space="0" w:color="auto"/>
          </w:divBdr>
        </w:div>
        <w:div w:id="149909903">
          <w:marLeft w:val="230"/>
          <w:marRight w:val="0"/>
          <w:marTop w:val="0"/>
          <w:marBottom w:val="120"/>
          <w:divBdr>
            <w:top w:val="none" w:sz="0" w:space="0" w:color="auto"/>
            <w:left w:val="none" w:sz="0" w:space="0" w:color="auto"/>
            <w:bottom w:val="none" w:sz="0" w:space="0" w:color="auto"/>
            <w:right w:val="none" w:sz="0" w:space="0" w:color="auto"/>
          </w:divBdr>
        </w:div>
        <w:div w:id="1589004553">
          <w:marLeft w:val="230"/>
          <w:marRight w:val="0"/>
          <w:marTop w:val="0"/>
          <w:marBottom w:val="120"/>
          <w:divBdr>
            <w:top w:val="none" w:sz="0" w:space="0" w:color="auto"/>
            <w:left w:val="none" w:sz="0" w:space="0" w:color="auto"/>
            <w:bottom w:val="none" w:sz="0" w:space="0" w:color="auto"/>
            <w:right w:val="none" w:sz="0" w:space="0" w:color="auto"/>
          </w:divBdr>
        </w:div>
      </w:divsChild>
    </w:div>
    <w:div w:id="2116173941">
      <w:bodyDiv w:val="1"/>
      <w:marLeft w:val="0"/>
      <w:marRight w:val="0"/>
      <w:marTop w:val="0"/>
      <w:marBottom w:val="0"/>
      <w:divBdr>
        <w:top w:val="none" w:sz="0" w:space="0" w:color="auto"/>
        <w:left w:val="none" w:sz="0" w:space="0" w:color="auto"/>
        <w:bottom w:val="none" w:sz="0" w:space="0" w:color="auto"/>
        <w:right w:val="none" w:sz="0" w:space="0" w:color="auto"/>
      </w:divBdr>
      <w:divsChild>
        <w:div w:id="244388699">
          <w:marLeft w:val="230"/>
          <w:marRight w:val="0"/>
          <w:marTop w:val="0"/>
          <w:marBottom w:val="120"/>
          <w:divBdr>
            <w:top w:val="none" w:sz="0" w:space="0" w:color="auto"/>
            <w:left w:val="none" w:sz="0" w:space="0" w:color="auto"/>
            <w:bottom w:val="none" w:sz="0" w:space="0" w:color="auto"/>
            <w:right w:val="none" w:sz="0" w:space="0" w:color="auto"/>
          </w:divBdr>
        </w:div>
        <w:div w:id="1723938315">
          <w:marLeft w:val="230"/>
          <w:marRight w:val="0"/>
          <w:marTop w:val="0"/>
          <w:marBottom w:val="120"/>
          <w:divBdr>
            <w:top w:val="none" w:sz="0" w:space="0" w:color="auto"/>
            <w:left w:val="none" w:sz="0" w:space="0" w:color="auto"/>
            <w:bottom w:val="none" w:sz="0" w:space="0" w:color="auto"/>
            <w:right w:val="none" w:sz="0" w:space="0" w:color="auto"/>
          </w:divBdr>
        </w:div>
        <w:div w:id="2047246318">
          <w:marLeft w:val="230"/>
          <w:marRight w:val="0"/>
          <w:marTop w:val="0"/>
          <w:marBottom w:val="120"/>
          <w:divBdr>
            <w:top w:val="none" w:sz="0" w:space="0" w:color="auto"/>
            <w:left w:val="none" w:sz="0" w:space="0" w:color="auto"/>
            <w:bottom w:val="none" w:sz="0" w:space="0" w:color="auto"/>
            <w:right w:val="none" w:sz="0" w:space="0" w:color="auto"/>
          </w:divBdr>
        </w:div>
        <w:div w:id="902328367">
          <w:marLeft w:val="230"/>
          <w:marRight w:val="0"/>
          <w:marTop w:val="0"/>
          <w:marBottom w:val="120"/>
          <w:divBdr>
            <w:top w:val="none" w:sz="0" w:space="0" w:color="auto"/>
            <w:left w:val="none" w:sz="0" w:space="0" w:color="auto"/>
            <w:bottom w:val="none" w:sz="0" w:space="0" w:color="auto"/>
            <w:right w:val="none" w:sz="0" w:space="0" w:color="auto"/>
          </w:divBdr>
        </w:div>
        <w:div w:id="789788262">
          <w:marLeft w:val="23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qsc.govt.nz/resources/resource-library/guide-to-partnering-with-whanau-following-an-adverse-event" TargetMode="External"/><Relationship Id="rId2" Type="http://schemas.openxmlformats.org/officeDocument/2006/relationships/hyperlink" Target="http://www.hqsc.govt.nz/our-work/system-safety/adverse-events/education/how-to-engage-with-consumers-following-an-adverse-event" TargetMode="External"/><Relationship Id="rId1" Type="http://schemas.openxmlformats.org/officeDocument/2006/relationships/hyperlink" Target="http://www.hqsc.govt.nz/resources/resource-library/learning-from-adverse-events-report-20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464BB556B3337A48846236E9064FB9CC010016069D414DDC6B4999640F73160C6405" ma:contentTypeVersion="33" ma:contentTypeDescription="Use this content type to classify and store documents on HQSC DMS website" ma:contentTypeScope="" ma:versionID="1b8fcf131e7e62a8f0ae95eeb274ad34">
  <xsd:schema xmlns:xsd="http://www.w3.org/2001/XMLSchema" xmlns:xs="http://www.w3.org/2001/XMLSchema" xmlns:p="http://schemas.microsoft.com/office/2006/metadata/properties" xmlns:ns3="7195f19f-1c08-4647-b11c-ef8ab36169e7" xmlns:ns4="bef9904b-9bca-4a1b-aca3-78dad2044d15" targetNamespace="http://schemas.microsoft.com/office/2006/metadata/properties" ma:root="true" ma:fieldsID="3588c449afa08da4e3430215d84244b1" ns3:_="" ns4:_="">
    <xsd:import namespace="7195f19f-1c08-4647-b11c-ef8ab36169e7"/>
    <xsd:import namespace="bef9904b-9bca-4a1b-aca3-78dad2044d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f19f-1c08-4647-b11c-ef8ab36169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9904b-9bca-4a1b-aca3-78dad2044d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f067919-d045-4b34-bd75-563914e94517" ContentTypeId="0x010100464BB556B3337A48846236E9064FB9C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B111-7985-4685-B895-85FE9F57A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f19f-1c08-4647-b11c-ef8ab36169e7"/>
    <ds:schemaRef ds:uri="bef9904b-9bca-4a1b-aca3-78dad2044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FFD46-31F0-4091-86BB-6EF24B539997}">
  <ds:schemaRefs>
    <ds:schemaRef ds:uri="http://schemas.microsoft.com/sharepoint/v3/contenttype/forms"/>
  </ds:schemaRefs>
</ds:datastoreItem>
</file>

<file path=customXml/itemProps3.xml><?xml version="1.0" encoding="utf-8"?>
<ds:datastoreItem xmlns:ds="http://schemas.openxmlformats.org/officeDocument/2006/customXml" ds:itemID="{D7B93225-7755-4F9A-98ED-9C9EE0CAACEB}">
  <ds:schemaRefs>
    <ds:schemaRef ds:uri="Microsoft.SharePoint.Taxonomy.ContentTypeSync"/>
  </ds:schemaRefs>
</ds:datastoreItem>
</file>

<file path=customXml/itemProps4.xml><?xml version="1.0" encoding="utf-8"?>
<ds:datastoreItem xmlns:ds="http://schemas.openxmlformats.org/officeDocument/2006/customXml" ds:itemID="{3CA5527A-2541-4BEF-8693-BCF99E41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Laskey (CMDHB)</dc:creator>
  <cp:lastModifiedBy>Jocasta Whittingham</cp:lastModifiedBy>
  <cp:revision>6</cp:revision>
  <cp:lastPrinted>2021-05-03T00:43:00Z</cp:lastPrinted>
  <dcterms:created xsi:type="dcterms:W3CDTF">2022-02-16T22:41:00Z</dcterms:created>
  <dcterms:modified xsi:type="dcterms:W3CDTF">2022-02-16T22:45:00Z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0x010100464BB556B3337A48846236E9064FB9CC010016069D414DDC6B4999640F73160C6405</vt:lpwstr>
  </property>
</Properties>
</file>