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15323" w14:textId="7667522F" w:rsidR="00206259" w:rsidRDefault="00206259" w:rsidP="004B4370">
      <w:pPr>
        <w:pStyle w:val="TeThHauorahead1"/>
        <w:spacing w:before="0" w:line="276" w:lineRule="auto"/>
        <w:jc w:val="right"/>
      </w:pPr>
      <w:r>
        <w:rPr>
          <w:noProof/>
          <w14:ligatures w14:val="standardContextual"/>
        </w:rPr>
        <w:drawing>
          <wp:inline distT="0" distB="0" distL="0" distR="0" wp14:anchorId="74C8CCF5" wp14:editId="2B2630F5">
            <wp:extent cx="1839372" cy="556817"/>
            <wp:effectExtent l="0" t="0" r="0" b="0"/>
            <wp:docPr id="1"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Te Tāhū Hauora logo is made up of the words Te Tāhū Hauora with the words Health Quality &amp; Safety Commission in smaller text underneath. Alongside is a stylised version of a wharenui in a triangle shape, with the tāhū (ridgepole), heke (rafters) and niho taniwha (triangle pattern beneath)."/>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2955" cy="566983"/>
                    </a:xfrm>
                    <a:prstGeom prst="rect">
                      <a:avLst/>
                    </a:prstGeom>
                  </pic:spPr>
                </pic:pic>
              </a:graphicData>
            </a:graphic>
          </wp:inline>
        </w:drawing>
      </w:r>
    </w:p>
    <w:p w14:paraId="3B194904" w14:textId="248B4E38" w:rsidR="005C4BDD" w:rsidRPr="005B564F" w:rsidRDefault="005C4BDD" w:rsidP="004B4370">
      <w:pPr>
        <w:pStyle w:val="TeThHauorahead1"/>
        <w:spacing w:before="480" w:line="276" w:lineRule="auto"/>
      </w:pPr>
      <w:r w:rsidRPr="005B564F">
        <w:t>How to engage with consumers and whānau following an adverse event</w:t>
      </w:r>
      <w:r w:rsidR="00D7777B">
        <w:t xml:space="preserve"> | </w:t>
      </w:r>
      <w:r w:rsidR="00D7777B" w:rsidRPr="00D7777B">
        <w:t xml:space="preserve">Me pēhea e kōrero tahi ai me ngā kiritaki, ngā whānau </w:t>
      </w:r>
      <w:proofErr w:type="spellStart"/>
      <w:r w:rsidR="00D7777B" w:rsidRPr="00D7777B">
        <w:t>whaimuri</w:t>
      </w:r>
      <w:proofErr w:type="spellEnd"/>
      <w:r w:rsidR="00D7777B" w:rsidRPr="00D7777B">
        <w:t xml:space="preserve"> i </w:t>
      </w:r>
      <w:proofErr w:type="spellStart"/>
      <w:r w:rsidR="00D7777B" w:rsidRPr="00D7777B">
        <w:t>tētahi</w:t>
      </w:r>
      <w:proofErr w:type="spellEnd"/>
      <w:r w:rsidR="00D7777B" w:rsidRPr="00D7777B">
        <w:t xml:space="preserve"> mahi </w:t>
      </w:r>
      <w:proofErr w:type="spellStart"/>
      <w:r w:rsidR="00D7777B" w:rsidRPr="00D7777B">
        <w:t>tūkino</w:t>
      </w:r>
      <w:proofErr w:type="spellEnd"/>
    </w:p>
    <w:p w14:paraId="3E059C98" w14:textId="180C5FF7" w:rsidR="005C4BDD" w:rsidRDefault="005C4BDD" w:rsidP="004B4370">
      <w:pPr>
        <w:pStyle w:val="TeThHauorabodytext"/>
      </w:pPr>
      <w:r w:rsidRPr="00B960DE">
        <w:t xml:space="preserve">Engaging consumers </w:t>
      </w:r>
      <w:r w:rsidRPr="00BE7342">
        <w:t xml:space="preserve">and whānau </w:t>
      </w:r>
      <w:r w:rsidR="00EF5537" w:rsidRPr="00B960DE">
        <w:t>in reviews</w:t>
      </w:r>
      <w:r w:rsidR="2BCD9F40" w:rsidRPr="00B960DE">
        <w:t xml:space="preserve"> of harm</w:t>
      </w:r>
      <w:r w:rsidRPr="00B960DE">
        <w:t xml:space="preserve"> can help to </w:t>
      </w:r>
      <w:r w:rsidR="590AF704" w:rsidRPr="00B960DE">
        <w:t>make</w:t>
      </w:r>
      <w:r w:rsidRPr="00B960DE">
        <w:t xml:space="preserve"> health care</w:t>
      </w:r>
      <w:r w:rsidR="75AB62B0" w:rsidRPr="00B960DE">
        <w:t xml:space="preserve"> safer</w:t>
      </w:r>
      <w:r w:rsidRPr="00B960DE">
        <w:t>. Consumers and whānau can provide insights into the</w:t>
      </w:r>
      <w:r w:rsidR="543785E1" w:rsidRPr="00B960DE">
        <w:t>ir experiences</w:t>
      </w:r>
      <w:r w:rsidRPr="00B960DE">
        <w:t xml:space="preserve"> of </w:t>
      </w:r>
      <w:r w:rsidR="00525DD1" w:rsidRPr="00B960DE">
        <w:t>harm that</w:t>
      </w:r>
      <w:r w:rsidRPr="00B960DE">
        <w:t xml:space="preserve"> can shed greater light on what happened and lead to a deeper analysis of underlying </w:t>
      </w:r>
      <w:r w:rsidR="57B40AE6" w:rsidRPr="00B960DE">
        <w:t>learning</w:t>
      </w:r>
      <w:r w:rsidRPr="00B960DE">
        <w:t xml:space="preserve">. This can encourage providers to think about alternative perspectives and provide insights into </w:t>
      </w:r>
      <w:r w:rsidR="00525DD1" w:rsidRPr="00B960DE">
        <w:t>improvements</w:t>
      </w:r>
      <w:r w:rsidRPr="00B960DE">
        <w:t xml:space="preserve"> and solutions to </w:t>
      </w:r>
      <w:r w:rsidR="1CBC7940" w:rsidRPr="00B960DE">
        <w:t xml:space="preserve">minimise the risk </w:t>
      </w:r>
      <w:r w:rsidR="00525DD1" w:rsidRPr="00B960DE">
        <w:t>of further</w:t>
      </w:r>
      <w:r w:rsidRPr="00B960DE">
        <w:t xml:space="preserve"> events. Consumer involvement can also </w:t>
      </w:r>
      <w:r w:rsidR="41AAF720" w:rsidRPr="00B960DE">
        <w:t xml:space="preserve">help </w:t>
      </w:r>
      <w:r w:rsidR="00525DD1" w:rsidRPr="00B960DE">
        <w:t>with healing</w:t>
      </w:r>
      <w:r w:rsidRPr="00B960DE">
        <w:t xml:space="preserve"> and</w:t>
      </w:r>
      <w:r w:rsidR="232BBAC4" w:rsidRPr="00B960DE">
        <w:t xml:space="preserve"> be</w:t>
      </w:r>
      <w:r w:rsidRPr="00B960DE">
        <w:t xml:space="preserve"> restorative for the person involved. </w:t>
      </w:r>
      <w:r w:rsidRPr="00B960DE">
        <w:rPr>
          <w:rStyle w:val="FootnoteReference"/>
        </w:rPr>
        <w:footnoteReference w:id="1"/>
      </w:r>
      <w:r w:rsidR="00DD1D4A" w:rsidRPr="004B4370">
        <w:rPr>
          <w:vertAlign w:val="superscript"/>
        </w:rPr>
        <w:t>,</w:t>
      </w:r>
      <w:r w:rsidRPr="00B960DE">
        <w:rPr>
          <w:rStyle w:val="FootnoteReference"/>
        </w:rPr>
        <w:footnoteReference w:id="2"/>
      </w:r>
    </w:p>
    <w:p w14:paraId="6BEF7A33" w14:textId="2A6A434B" w:rsidR="00AA3EC6" w:rsidRPr="00B960DE" w:rsidRDefault="00AA3EC6" w:rsidP="004B4370">
      <w:pPr>
        <w:pStyle w:val="TeThHauorabodytext"/>
      </w:pPr>
      <w:r w:rsidRPr="00AA3EC6">
        <w:t>Culturally responsive practice considers that each person has their own</w:t>
      </w:r>
      <w:r>
        <w:t xml:space="preserve"> </w:t>
      </w:r>
      <w:r w:rsidRPr="00AA3EC6">
        <w:t>culture, values and beliefs that must be acknowledged and supported</w:t>
      </w:r>
      <w:r>
        <w:t xml:space="preserve"> </w:t>
      </w:r>
      <w:r w:rsidRPr="00AA3EC6">
        <w:t xml:space="preserve">when harm has occurred. This supports the importance of </w:t>
      </w:r>
      <w:proofErr w:type="spellStart"/>
      <w:r w:rsidRPr="004B4370">
        <w:t>wairuatanga</w:t>
      </w:r>
      <w:proofErr w:type="spellEnd"/>
      <w:r w:rsidRPr="00AA3EC6">
        <w:t xml:space="preserve"> –</w:t>
      </w:r>
      <w:r>
        <w:t xml:space="preserve"> </w:t>
      </w:r>
      <w:r w:rsidRPr="00AA3EC6">
        <w:t>upholding values, belief systems and world views.</w:t>
      </w:r>
    </w:p>
    <w:p w14:paraId="7AF5D011" w14:textId="7028554B" w:rsidR="005C4BDD" w:rsidRPr="00B960DE" w:rsidRDefault="005C4BDD" w:rsidP="004B4370">
      <w:pPr>
        <w:pStyle w:val="TeThHauorabodytext"/>
      </w:pPr>
      <w:r w:rsidRPr="00B960DE">
        <w:t>Consumers may also include whānau,</w:t>
      </w:r>
      <w:r w:rsidR="000E760D">
        <w:rPr>
          <w:rStyle w:val="FootnoteReference"/>
        </w:rPr>
        <w:footnoteReference w:id="3"/>
      </w:r>
      <w:r w:rsidRPr="00B960DE">
        <w:t xml:space="preserve"> especially where the affected consumer has died or is not able to </w:t>
      </w:r>
      <w:r w:rsidR="001055DF" w:rsidRPr="00B960DE">
        <w:t>take part</w:t>
      </w:r>
      <w:r w:rsidRPr="00B960DE">
        <w:t xml:space="preserve"> in a review. When discussing </w:t>
      </w:r>
      <w:r w:rsidR="1658F018" w:rsidRPr="00B960DE">
        <w:t>harm</w:t>
      </w:r>
      <w:r w:rsidRPr="00B960DE">
        <w:t xml:space="preserve"> with whānau, it is important to </w:t>
      </w:r>
      <w:r w:rsidR="001F333B">
        <w:t>follow</w:t>
      </w:r>
      <w:r w:rsidR="001F333B" w:rsidRPr="00B960DE">
        <w:t xml:space="preserve"> </w:t>
      </w:r>
      <w:r w:rsidRPr="00B960DE">
        <w:t>the Health Information Privacy Code 2020</w:t>
      </w:r>
      <w:r w:rsidRPr="00B960DE">
        <w:rPr>
          <w:rStyle w:val="FootnoteReference"/>
        </w:rPr>
        <w:footnoteReference w:id="4"/>
      </w:r>
      <w:r w:rsidRPr="00B960DE">
        <w:t xml:space="preserve"> and local policies. </w:t>
      </w:r>
    </w:p>
    <w:p w14:paraId="4A10AAD7" w14:textId="4EDF1561" w:rsidR="005C4BDD" w:rsidRPr="00B960DE" w:rsidRDefault="006024F0" w:rsidP="004B4370">
      <w:pPr>
        <w:pStyle w:val="TeThHauorabodytext"/>
      </w:pPr>
      <w:r>
        <w:t xml:space="preserve">Te Tāhū Hauora Health Quality &amp; Safety </w:t>
      </w:r>
      <w:r w:rsidR="005C4BDD" w:rsidRPr="580DDC28">
        <w:t xml:space="preserve">Commission has developed an eight-step guide to engaging with consumers and whānau following </w:t>
      </w:r>
      <w:r w:rsidR="46BF7486" w:rsidRPr="580DDC28">
        <w:t>harm</w:t>
      </w:r>
      <w:r w:rsidR="005C4BDD" w:rsidRPr="580DDC28">
        <w:t xml:space="preserve">. In engaging with consumers and whānau, it is important to differentiate between consumers who are ‘affected’ by </w:t>
      </w:r>
      <w:r w:rsidR="0161F21B" w:rsidRPr="580DDC28">
        <w:t>harm</w:t>
      </w:r>
      <w:r w:rsidR="005C4BDD" w:rsidRPr="580DDC28">
        <w:t xml:space="preserve"> and ‘independent consumers’ who actively contribute to </w:t>
      </w:r>
      <w:r w:rsidR="00206063" w:rsidRPr="580DDC28">
        <w:t>the review</w:t>
      </w:r>
      <w:r w:rsidR="005C4BDD" w:rsidRPr="580DDC28">
        <w:t xml:space="preserve"> process.</w:t>
      </w:r>
    </w:p>
    <w:p w14:paraId="34797D24" w14:textId="77777777" w:rsidR="000A5560" w:rsidRDefault="000A5560">
      <w:pPr>
        <w:rPr>
          <w:rFonts w:ascii="Arial" w:eastAsiaTheme="majorEastAsia" w:hAnsi="Arial" w:cs="Arial"/>
          <w:b/>
          <w:i/>
          <w:color w:val="293868"/>
          <w:kern w:val="0"/>
          <w:sz w:val="26"/>
          <w:szCs w:val="26"/>
          <w14:ligatures w14:val="none"/>
        </w:rPr>
      </w:pPr>
      <w:r>
        <w:br w:type="page"/>
      </w:r>
    </w:p>
    <w:p w14:paraId="1AA8B38E" w14:textId="753C0E41" w:rsidR="00416580" w:rsidRPr="00B960DE" w:rsidRDefault="00416580" w:rsidP="004C2486">
      <w:pPr>
        <w:pStyle w:val="TeThHauorahead2"/>
      </w:pPr>
      <w:r>
        <w:t xml:space="preserve">Step 1: Inform the affected consumer </w:t>
      </w:r>
      <w:r w:rsidR="005F5096">
        <w:t xml:space="preserve">and whānau </w:t>
      </w:r>
      <w:r w:rsidR="509E7C98">
        <w:t>harm</w:t>
      </w:r>
      <w:r>
        <w:t xml:space="preserve"> has occurred</w:t>
      </w:r>
      <w:r w:rsidR="00D942EA">
        <w:t xml:space="preserve"> | </w:t>
      </w:r>
      <w:proofErr w:type="spellStart"/>
      <w:r w:rsidR="00D942EA" w:rsidRPr="00D942EA">
        <w:t>Hīkoi</w:t>
      </w:r>
      <w:proofErr w:type="spellEnd"/>
      <w:r w:rsidR="00D942EA" w:rsidRPr="00D942EA">
        <w:t xml:space="preserve"> 1: Whakamōhio atu i te kiritaki, i te whānau </w:t>
      </w:r>
      <w:proofErr w:type="spellStart"/>
      <w:r w:rsidR="00D942EA" w:rsidRPr="00D942EA">
        <w:t>kua</w:t>
      </w:r>
      <w:proofErr w:type="spellEnd"/>
      <w:r w:rsidR="00D942EA" w:rsidRPr="00D942EA">
        <w:t xml:space="preserve"> </w:t>
      </w:r>
      <w:proofErr w:type="spellStart"/>
      <w:r w:rsidR="00D942EA" w:rsidRPr="00D942EA">
        <w:t>pāngia</w:t>
      </w:r>
      <w:proofErr w:type="spellEnd"/>
      <w:r w:rsidR="00D942EA" w:rsidRPr="00D942EA">
        <w:t xml:space="preserve"> mai he </w:t>
      </w:r>
      <w:proofErr w:type="spellStart"/>
      <w:r w:rsidR="00D942EA" w:rsidRPr="00D942EA">
        <w:t>tūkino</w:t>
      </w:r>
      <w:proofErr w:type="spellEnd"/>
    </w:p>
    <w:p w14:paraId="54FD044F" w14:textId="1DE65C84" w:rsidR="00416580" w:rsidRPr="00B960DE" w:rsidRDefault="00416580" w:rsidP="004B4370">
      <w:pPr>
        <w:pStyle w:val="TeThHauorabodytext"/>
      </w:pPr>
      <w:r w:rsidRPr="00B960DE">
        <w:t xml:space="preserve">Consumers </w:t>
      </w:r>
      <w:r w:rsidR="00C95E17">
        <w:t xml:space="preserve">and whānau </w:t>
      </w:r>
      <w:r w:rsidRPr="00B960DE">
        <w:t xml:space="preserve">have a right to know when something harmful or potentially harmful has happened to them. Open communication (also referred to as ‘open disclosure’) is a core principle of the </w:t>
      </w:r>
      <w:r w:rsidR="00ED1E3D" w:rsidRPr="00B960DE">
        <w:t xml:space="preserve">Healing, </w:t>
      </w:r>
      <w:proofErr w:type="gramStart"/>
      <w:r w:rsidR="00ED1E3D" w:rsidRPr="00B960DE">
        <w:t>learning</w:t>
      </w:r>
      <w:proofErr w:type="gramEnd"/>
      <w:r w:rsidR="00ED1E3D" w:rsidRPr="00B960DE">
        <w:t xml:space="preserve"> and improving from harm: </w:t>
      </w:r>
      <w:r w:rsidRPr="00B960DE">
        <w:t xml:space="preserve">National </w:t>
      </w:r>
      <w:r w:rsidR="00ED1E3D" w:rsidRPr="00B960DE">
        <w:t>a</w:t>
      </w:r>
      <w:r w:rsidRPr="00B960DE">
        <w:t xml:space="preserve">dverse </w:t>
      </w:r>
      <w:r w:rsidR="00ED1E3D" w:rsidRPr="00B960DE">
        <w:t>e</w:t>
      </w:r>
      <w:r w:rsidRPr="00B960DE">
        <w:t>vents</w:t>
      </w:r>
      <w:r w:rsidR="00ED1E3D" w:rsidRPr="00B960DE">
        <w:t xml:space="preserve"> p</w:t>
      </w:r>
      <w:r w:rsidRPr="00B960DE">
        <w:t>olicy</w:t>
      </w:r>
      <w:r w:rsidR="00B960DE">
        <w:t xml:space="preserve"> 2023.</w:t>
      </w:r>
      <w:r w:rsidR="005A69DA" w:rsidRPr="00B960DE">
        <w:rPr>
          <w:rStyle w:val="FootnoteReference"/>
        </w:rPr>
        <w:footnoteReference w:id="5"/>
      </w:r>
    </w:p>
    <w:p w14:paraId="7B4FE449" w14:textId="0F411340" w:rsidR="00ED1E3D" w:rsidRPr="00B960DE" w:rsidRDefault="00ED1E3D" w:rsidP="004B4370">
      <w:pPr>
        <w:pStyle w:val="TeThHauorabodytext"/>
      </w:pPr>
      <w:r w:rsidRPr="00B960DE">
        <w:t>The policy has the following criteria for open communication:</w:t>
      </w:r>
    </w:p>
    <w:p w14:paraId="47699A06" w14:textId="38A5F487" w:rsidR="00ED1E3D" w:rsidRPr="00B960DE" w:rsidRDefault="00ED1E3D" w:rsidP="004B4370">
      <w:pPr>
        <w:pStyle w:val="Bullet"/>
      </w:pPr>
      <w:r w:rsidRPr="00B960DE">
        <w:t xml:space="preserve">Providers will </w:t>
      </w:r>
      <w:r w:rsidR="00206063">
        <w:t>work</w:t>
      </w:r>
      <w:r w:rsidRPr="00B960DE">
        <w:t xml:space="preserve"> with consumers and whānau to understand the level of harm that has occurred.</w:t>
      </w:r>
    </w:p>
    <w:p w14:paraId="0E4F8758" w14:textId="0B2C030B" w:rsidR="00ED1E3D" w:rsidRPr="00B960DE" w:rsidRDefault="00ED1E3D" w:rsidP="004B4370">
      <w:pPr>
        <w:pStyle w:val="TeThHauorabodytext"/>
        <w:numPr>
          <w:ilvl w:val="0"/>
          <w:numId w:val="4"/>
        </w:numPr>
        <w:spacing w:after="60"/>
        <w:ind w:left="357" w:hanging="357"/>
      </w:pPr>
      <w:r w:rsidRPr="00B960DE">
        <w:t xml:space="preserve">Consumers and whānau will be engaged in the review process with open communication that meets the guidelines set by the Health and Disability Commissioner and </w:t>
      </w:r>
      <w:r w:rsidR="002429E8">
        <w:t>Te Tāhū Hauora</w:t>
      </w:r>
      <w:r w:rsidRPr="00B960DE">
        <w:t>.</w:t>
      </w:r>
    </w:p>
    <w:p w14:paraId="7605EC16" w14:textId="0ED8C9D4" w:rsidR="00ED1E3D" w:rsidRPr="00B960DE" w:rsidRDefault="00ED1E3D" w:rsidP="004B4370">
      <w:pPr>
        <w:pStyle w:val="TeThHauorabodytext"/>
        <w:numPr>
          <w:ilvl w:val="0"/>
          <w:numId w:val="4"/>
        </w:numPr>
        <w:spacing w:after="60"/>
        <w:ind w:left="357" w:hanging="357"/>
      </w:pPr>
      <w:r w:rsidRPr="00B960DE">
        <w:t>Providers will enable access to support and education for health care workers undertaking open communication.</w:t>
      </w:r>
    </w:p>
    <w:p w14:paraId="671B85BE" w14:textId="128DAFE9" w:rsidR="00ED1E3D" w:rsidRPr="00B960DE" w:rsidRDefault="00ED1E3D" w:rsidP="004B4370">
      <w:pPr>
        <w:pStyle w:val="TeThHauorabodytext"/>
        <w:numPr>
          <w:ilvl w:val="0"/>
          <w:numId w:val="4"/>
        </w:numPr>
      </w:pPr>
      <w:r w:rsidRPr="00B960DE">
        <w:t>Open communication will be considered in situations where the system did not work as intended, even if no harm was experienced, eg, near misses.</w:t>
      </w:r>
    </w:p>
    <w:p w14:paraId="099B2D9C" w14:textId="59019136" w:rsidR="00416580" w:rsidRPr="00B960DE" w:rsidRDefault="00416580" w:rsidP="004B4370">
      <w:pPr>
        <w:pStyle w:val="TeThHauorabodytext"/>
      </w:pPr>
      <w:r w:rsidRPr="00B960DE">
        <w:t>According to the Health and Disability Commissioner’s </w:t>
      </w:r>
      <w:r w:rsidRPr="004B4370">
        <w:t>Guidance on open disclosure policies</w:t>
      </w:r>
      <w:r w:rsidRPr="00B960DE">
        <w:t>,</w:t>
      </w:r>
      <w:r w:rsidR="005C4BDD" w:rsidRPr="00B960DE">
        <w:rPr>
          <w:rStyle w:val="FootnoteReference"/>
        </w:rPr>
        <w:footnoteReference w:id="6"/>
      </w:r>
      <w:r w:rsidRPr="00B960DE">
        <w:t xml:space="preserve"> open communication following </w:t>
      </w:r>
      <w:r w:rsidR="3F980EA2" w:rsidRPr="00B960DE">
        <w:t>harm</w:t>
      </w:r>
      <w:r w:rsidRPr="00B960DE">
        <w:t xml:space="preserve"> should:</w:t>
      </w:r>
    </w:p>
    <w:p w14:paraId="21316429" w14:textId="77777777" w:rsidR="00416580" w:rsidRPr="00B960DE" w:rsidRDefault="00416580" w:rsidP="004B4370">
      <w:pPr>
        <w:pStyle w:val="Bullet"/>
      </w:pPr>
      <w:r w:rsidRPr="00B960DE">
        <w:t>be timely (usually within 24 hours of the event occurring or the harm or error being recognised)</w:t>
      </w:r>
    </w:p>
    <w:p w14:paraId="7EDC2BFE" w14:textId="643030B8" w:rsidR="00416580" w:rsidRPr="00B960DE" w:rsidRDefault="00416580" w:rsidP="004B4370">
      <w:pPr>
        <w:pStyle w:val="Bullet"/>
      </w:pPr>
      <w:r w:rsidRPr="00B960DE">
        <w:t>be led by the provider with overall responsibility for the affected consumer’s care</w:t>
      </w:r>
    </w:p>
    <w:p w14:paraId="3CE1146C" w14:textId="6F601743" w:rsidR="00B960DE" w:rsidRDefault="005A69DA" w:rsidP="004B4370">
      <w:pPr>
        <w:pStyle w:val="Bullet"/>
      </w:pPr>
      <w:r w:rsidRPr="580DDC28">
        <w:t xml:space="preserve">include acknowledgement of the </w:t>
      </w:r>
      <w:r w:rsidR="209A0708" w:rsidRPr="580DDC28">
        <w:t>harm</w:t>
      </w:r>
      <w:r w:rsidRPr="580DDC28">
        <w:t xml:space="preserve">, an explanation of what happened </w:t>
      </w:r>
      <w:r w:rsidR="00D57F2A">
        <w:t>and what the next steps are</w:t>
      </w:r>
    </w:p>
    <w:p w14:paraId="4BF67516" w14:textId="3F7F2B1D" w:rsidR="00416580" w:rsidRPr="00B960DE" w:rsidRDefault="00416580" w:rsidP="004B4370">
      <w:pPr>
        <w:pStyle w:val="Bullet"/>
      </w:pPr>
      <w:r w:rsidRPr="00B960DE">
        <w:t>include a sincere apology.</w:t>
      </w:r>
      <w:r w:rsidR="005A69DA" w:rsidRPr="00B960DE">
        <w:t xml:space="preserve"> This is the provider’s opportunity to say, </w:t>
      </w:r>
      <w:r w:rsidR="002429E8">
        <w:t>‘</w:t>
      </w:r>
      <w:r w:rsidR="005A69DA" w:rsidRPr="00B960DE">
        <w:t>We are sorry this happened to you.</w:t>
      </w:r>
      <w:r w:rsidR="002429E8">
        <w:t>’</w:t>
      </w:r>
      <w:r w:rsidR="005A69DA" w:rsidRPr="00B960DE">
        <w:t xml:space="preserve"> It is not about allocating blame for the event’s occurrence but acknowledging the seriousness of an adverse event and the distress it causes.</w:t>
      </w:r>
    </w:p>
    <w:p w14:paraId="4B3626C7" w14:textId="442393DE" w:rsidR="005A69DA" w:rsidRPr="00B960DE" w:rsidRDefault="001055DF" w:rsidP="004B4370">
      <w:pPr>
        <w:pStyle w:val="Bulletslast"/>
      </w:pPr>
      <w:r w:rsidRPr="00B960DE">
        <w:t>supply</w:t>
      </w:r>
      <w:r w:rsidR="005A69DA" w:rsidRPr="00B960DE">
        <w:t xml:space="preserve"> contact details and information about the local health and disability consumer advocate, as well as options for making a complaint</w:t>
      </w:r>
      <w:r w:rsidR="00B960DE">
        <w:t>.</w:t>
      </w:r>
    </w:p>
    <w:p w14:paraId="48F6A050" w14:textId="74611142" w:rsidR="00416580" w:rsidRPr="00B960DE" w:rsidRDefault="00416580" w:rsidP="004B4370">
      <w:pPr>
        <w:pStyle w:val="TeThHauorahead2"/>
      </w:pPr>
      <w:r w:rsidRPr="00B960DE">
        <w:t>Step 2: Explain the review process to the affected consumer</w:t>
      </w:r>
      <w:r w:rsidR="005F5096">
        <w:t xml:space="preserve"> and whānau</w:t>
      </w:r>
      <w:r w:rsidR="00765770">
        <w:t xml:space="preserve"> | </w:t>
      </w:r>
      <w:proofErr w:type="spellStart"/>
      <w:r w:rsidR="00765770" w:rsidRPr="00765770">
        <w:t>Hīkoi</w:t>
      </w:r>
      <w:proofErr w:type="spellEnd"/>
      <w:r w:rsidR="00765770" w:rsidRPr="00765770">
        <w:t xml:space="preserve"> 2: </w:t>
      </w:r>
      <w:proofErr w:type="spellStart"/>
      <w:r w:rsidR="00765770" w:rsidRPr="00765770">
        <w:t>Whakamārama</w:t>
      </w:r>
      <w:proofErr w:type="spellEnd"/>
      <w:r w:rsidR="00765770" w:rsidRPr="00765770">
        <w:t xml:space="preserve"> atu i te </w:t>
      </w:r>
      <w:proofErr w:type="spellStart"/>
      <w:r w:rsidR="00765770" w:rsidRPr="00765770">
        <w:t>tukanga</w:t>
      </w:r>
      <w:proofErr w:type="spellEnd"/>
      <w:r w:rsidR="00765770" w:rsidRPr="00765770">
        <w:t xml:space="preserve"> </w:t>
      </w:r>
      <w:proofErr w:type="spellStart"/>
      <w:r w:rsidR="00765770" w:rsidRPr="00765770">
        <w:t>arotake</w:t>
      </w:r>
      <w:proofErr w:type="spellEnd"/>
      <w:r w:rsidR="00765770" w:rsidRPr="00765770">
        <w:t xml:space="preserve"> ki te kiritaki, ki te whānau</w:t>
      </w:r>
    </w:p>
    <w:p w14:paraId="3870F64E" w14:textId="0EDC5496" w:rsidR="00416580" w:rsidRPr="00B960DE" w:rsidRDefault="00416580" w:rsidP="004B4370">
      <w:pPr>
        <w:pStyle w:val="TeThHauorabodytext"/>
      </w:pPr>
      <w:r w:rsidRPr="00B960DE">
        <w:t xml:space="preserve">A key aspect of open communication is providing an explanation of what happened. However, this explanation is often not available until a review of the </w:t>
      </w:r>
      <w:r w:rsidR="00ED1E3D" w:rsidRPr="00B960DE">
        <w:t>harm</w:t>
      </w:r>
      <w:r w:rsidRPr="00B960DE">
        <w:t xml:space="preserve"> has taken place.</w:t>
      </w:r>
    </w:p>
    <w:p w14:paraId="452D77D2" w14:textId="3C0E44F1" w:rsidR="00486DBE" w:rsidRDefault="00416580" w:rsidP="00BD5FF9">
      <w:pPr>
        <w:pStyle w:val="TeThHauorabodytext"/>
      </w:pPr>
      <w:r w:rsidRPr="580DDC28">
        <w:t xml:space="preserve">Early communication between the provider and the affected consumer </w:t>
      </w:r>
      <w:r w:rsidR="00C95E17">
        <w:t xml:space="preserve">and whānau </w:t>
      </w:r>
      <w:r w:rsidRPr="580DDC28">
        <w:t>should</w:t>
      </w:r>
      <w:r w:rsidR="00871EC6" w:rsidRPr="580DDC28">
        <w:t xml:space="preserve"> take place</w:t>
      </w:r>
      <w:r w:rsidRPr="580DDC28">
        <w:t xml:space="preserve"> </w:t>
      </w:r>
      <w:r w:rsidR="00871EC6" w:rsidRPr="580DDC28">
        <w:t xml:space="preserve">in a way that meets </w:t>
      </w:r>
      <w:r w:rsidR="002429E8">
        <w:t xml:space="preserve">the </w:t>
      </w:r>
      <w:r w:rsidR="00871EC6" w:rsidRPr="580DDC28">
        <w:t xml:space="preserve">individual cultural needs </w:t>
      </w:r>
      <w:r w:rsidR="00C95E17">
        <w:t xml:space="preserve">of the consumer and whānau </w:t>
      </w:r>
      <w:r w:rsidR="00871EC6" w:rsidRPr="580DDC28">
        <w:t>throughout the process</w:t>
      </w:r>
      <w:r w:rsidR="009E2DDD" w:rsidRPr="580DDC28">
        <w:t xml:space="preserve">. Communications should </w:t>
      </w:r>
      <w:r w:rsidRPr="580DDC28">
        <w:t xml:space="preserve">include information about the review process, what will be involved, how long it will take, who will be the key contact for the consumer </w:t>
      </w:r>
      <w:r w:rsidR="00C95E17">
        <w:t>and whānau</w:t>
      </w:r>
      <w:r w:rsidR="00486DBE">
        <w:t>,</w:t>
      </w:r>
      <w:r w:rsidR="00C95E17">
        <w:t xml:space="preserve"> </w:t>
      </w:r>
      <w:r w:rsidRPr="580DDC28">
        <w:t>and how the consumer</w:t>
      </w:r>
      <w:r w:rsidR="00486DBE">
        <w:t xml:space="preserve"> and whānau</w:t>
      </w:r>
      <w:r w:rsidRPr="580DDC28">
        <w:t xml:space="preserve"> can be involved in the review. </w:t>
      </w:r>
    </w:p>
    <w:p w14:paraId="60A5CE9F" w14:textId="6B6DE17F" w:rsidR="00416580" w:rsidRPr="00B960DE" w:rsidRDefault="00416580" w:rsidP="004B4370">
      <w:pPr>
        <w:pStyle w:val="TeThHauorabodytext"/>
      </w:pPr>
      <w:r w:rsidRPr="580DDC28">
        <w:t xml:space="preserve">The consumer </w:t>
      </w:r>
      <w:r w:rsidR="00486DBE">
        <w:t xml:space="preserve">and whānau </w:t>
      </w:r>
      <w:r w:rsidRPr="580DDC28">
        <w:t>should be updated regularly about the progress of the review</w:t>
      </w:r>
      <w:r w:rsidR="634E0DA2" w:rsidRPr="580DDC28">
        <w:t xml:space="preserve"> and given the opportunity to </w:t>
      </w:r>
      <w:r w:rsidR="002429E8">
        <w:t xml:space="preserve">both </w:t>
      </w:r>
      <w:r w:rsidR="634E0DA2" w:rsidRPr="580DDC28">
        <w:t>share their story as part of the review</w:t>
      </w:r>
      <w:r w:rsidR="002429E8">
        <w:t xml:space="preserve"> and</w:t>
      </w:r>
      <w:r w:rsidR="667A3C47" w:rsidRPr="580DDC28">
        <w:t xml:space="preserve"> tell the review team what their needs are from a review.</w:t>
      </w:r>
    </w:p>
    <w:p w14:paraId="53F4A41E" w14:textId="1F329A80" w:rsidR="00416580" w:rsidRPr="00B960DE" w:rsidRDefault="002429E8" w:rsidP="004B4370">
      <w:pPr>
        <w:pStyle w:val="TeThHauorabodytext"/>
      </w:pPr>
      <w:r>
        <w:t>Providers should make a</w:t>
      </w:r>
      <w:r w:rsidR="00416580" w:rsidRPr="580DDC28">
        <w:t xml:space="preserve">ffected consumers </w:t>
      </w:r>
      <w:r w:rsidR="00486DBE">
        <w:t xml:space="preserve">and whānau </w:t>
      </w:r>
      <w:r w:rsidR="00416580" w:rsidRPr="580DDC28">
        <w:t xml:space="preserve">aware that contributing to the review is voluntary and </w:t>
      </w:r>
      <w:r>
        <w:t>they have</w:t>
      </w:r>
      <w:r w:rsidR="00416580" w:rsidRPr="580DDC28">
        <w:t xml:space="preserve"> a choice about how much they want to be involved. Not all consumers </w:t>
      </w:r>
      <w:r w:rsidR="00486DBE">
        <w:t xml:space="preserve">and whānau </w:t>
      </w:r>
      <w:r w:rsidR="00416580" w:rsidRPr="580DDC28">
        <w:t xml:space="preserve">who have been involved in </w:t>
      </w:r>
      <w:r w:rsidR="747838A4" w:rsidRPr="580DDC28">
        <w:t>harm</w:t>
      </w:r>
      <w:r w:rsidR="00416580" w:rsidRPr="580DDC28">
        <w:t xml:space="preserve"> will want to</w:t>
      </w:r>
      <w:r w:rsidR="7DFC3375" w:rsidRPr="580DDC28">
        <w:t xml:space="preserve"> share their story</w:t>
      </w:r>
      <w:r w:rsidR="00416580" w:rsidRPr="580DDC28">
        <w:t xml:space="preserve"> or </w:t>
      </w:r>
      <w:r>
        <w:t>give</w:t>
      </w:r>
      <w:r w:rsidRPr="580DDC28">
        <w:t xml:space="preserve"> </w:t>
      </w:r>
      <w:r w:rsidR="00416580" w:rsidRPr="580DDC28">
        <w:t xml:space="preserve">feedback on the </w:t>
      </w:r>
      <w:r w:rsidR="45CCAEE0" w:rsidRPr="580DDC28">
        <w:t xml:space="preserve">draft </w:t>
      </w:r>
      <w:r w:rsidR="00416580" w:rsidRPr="580DDC28">
        <w:t xml:space="preserve">review report, however they must be </w:t>
      </w:r>
      <w:r>
        <w:t>given</w:t>
      </w:r>
      <w:r w:rsidRPr="580DDC28">
        <w:t xml:space="preserve"> </w:t>
      </w:r>
      <w:r w:rsidR="00416580" w:rsidRPr="580DDC28">
        <w:t>the opportunity.</w:t>
      </w:r>
    </w:p>
    <w:p w14:paraId="6B49047D" w14:textId="66115480" w:rsidR="00416580" w:rsidRPr="00B960DE" w:rsidRDefault="00416580" w:rsidP="004B4370">
      <w:pPr>
        <w:pStyle w:val="TeThHauorahead2"/>
      </w:pPr>
      <w:r w:rsidRPr="00B960DE">
        <w:t xml:space="preserve">Step 3: Listen to the </w:t>
      </w:r>
      <w:r w:rsidR="005F5096">
        <w:t xml:space="preserve">story of the </w:t>
      </w:r>
      <w:r w:rsidRPr="00B960DE">
        <w:t>affected consumer</w:t>
      </w:r>
      <w:r w:rsidR="005F5096">
        <w:t xml:space="preserve"> and whānau</w:t>
      </w:r>
      <w:r w:rsidR="00D81AB0">
        <w:t xml:space="preserve"> | </w:t>
      </w:r>
      <w:r w:rsidR="000F2978">
        <w:br/>
      </w:r>
      <w:proofErr w:type="spellStart"/>
      <w:r w:rsidR="00D81AB0" w:rsidRPr="00D81AB0">
        <w:t>Hīkoi</w:t>
      </w:r>
      <w:proofErr w:type="spellEnd"/>
      <w:r w:rsidR="00D81AB0" w:rsidRPr="00D81AB0">
        <w:t xml:space="preserve"> 3: </w:t>
      </w:r>
      <w:proofErr w:type="spellStart"/>
      <w:r w:rsidR="00D81AB0" w:rsidRPr="00D81AB0">
        <w:t>Whakarongo</w:t>
      </w:r>
      <w:proofErr w:type="spellEnd"/>
      <w:r w:rsidR="00D81AB0" w:rsidRPr="00D81AB0">
        <w:t xml:space="preserve"> ki te kōrero a te kiritaki, a te whānau</w:t>
      </w:r>
    </w:p>
    <w:p w14:paraId="559270C5" w14:textId="77777777" w:rsidR="000F7B27" w:rsidRDefault="009E2DDD" w:rsidP="00BD5FF9">
      <w:pPr>
        <w:pStyle w:val="TeThHauorabodytext"/>
      </w:pPr>
      <w:r w:rsidRPr="580DDC28">
        <w:t xml:space="preserve">Consumers and whānau who have experienced harm should be supported to work in partnership with health care workers, to define how they want to be involved, to share their experiences in a way that is meaningful for them and suggest improvements that address their needs. </w:t>
      </w:r>
    </w:p>
    <w:p w14:paraId="6B3E1755" w14:textId="4A31247A" w:rsidR="00416580" w:rsidRPr="00B960DE" w:rsidRDefault="00416580" w:rsidP="004B4370">
      <w:pPr>
        <w:pStyle w:val="TeThHauorabodytext"/>
      </w:pPr>
      <w:r w:rsidRPr="580DDC28">
        <w:t>All consumers</w:t>
      </w:r>
      <w:r w:rsidR="00AA3EC6" w:rsidRPr="580DDC28">
        <w:t xml:space="preserve"> and whānau</w:t>
      </w:r>
      <w:r w:rsidRPr="580DDC28">
        <w:t xml:space="preserve"> who have been affected by an adverse event should be </w:t>
      </w:r>
      <w:r w:rsidR="000F7B27">
        <w:t>given</w:t>
      </w:r>
      <w:r w:rsidR="000F7B27" w:rsidRPr="580DDC28">
        <w:t xml:space="preserve"> </w:t>
      </w:r>
      <w:r w:rsidRPr="580DDC28">
        <w:t xml:space="preserve">the opportunity to tell their story of the event. Providers should start reviews by </w:t>
      </w:r>
      <w:r w:rsidR="3FEA4A9E" w:rsidRPr="580DDC28">
        <w:t>talking with the</w:t>
      </w:r>
      <w:r w:rsidRPr="580DDC28">
        <w:t xml:space="preserve"> affected consumer</w:t>
      </w:r>
      <w:r w:rsidR="000F7B27">
        <w:t xml:space="preserve"> and whānau</w:t>
      </w:r>
      <w:r w:rsidRPr="580DDC28">
        <w:t xml:space="preserve"> </w:t>
      </w:r>
      <w:r w:rsidR="000F7B27">
        <w:t xml:space="preserve">and </w:t>
      </w:r>
      <w:r w:rsidRPr="580DDC28">
        <w:t xml:space="preserve">listening to and documenting their story of what happened. This should include how the </w:t>
      </w:r>
      <w:r w:rsidR="000F7B27">
        <w:t>consumer and whānau</w:t>
      </w:r>
      <w:r w:rsidR="000F7B27" w:rsidRPr="580DDC28">
        <w:t xml:space="preserve"> </w:t>
      </w:r>
      <w:r w:rsidRPr="580DDC28">
        <w:t xml:space="preserve">feel about what happened, what they think may have contributed to the event, how the event has affected them and what they </w:t>
      </w:r>
      <w:r w:rsidR="5D5D7046" w:rsidRPr="580DDC28">
        <w:t>feel</w:t>
      </w:r>
      <w:r w:rsidRPr="580DDC28">
        <w:t xml:space="preserve"> might </w:t>
      </w:r>
      <w:r w:rsidR="20202FFC" w:rsidRPr="580DDC28">
        <w:t>reduce the risk of</w:t>
      </w:r>
      <w:r w:rsidRPr="580DDC28">
        <w:t xml:space="preserve"> the event happening again. The </w:t>
      </w:r>
      <w:r w:rsidR="000F7B27">
        <w:t>consumer and whānau</w:t>
      </w:r>
      <w:r w:rsidR="000F7B27" w:rsidRPr="580DDC28">
        <w:t xml:space="preserve"> </w:t>
      </w:r>
      <w:r w:rsidRPr="580DDC28">
        <w:t>should be reassured that their information will be kept confidential. At this time</w:t>
      </w:r>
      <w:r w:rsidR="58F9AF5D" w:rsidRPr="580DDC28">
        <w:t>,</w:t>
      </w:r>
      <w:r w:rsidRPr="580DDC28">
        <w:t xml:space="preserve"> it is important to ascertain what support the consumer </w:t>
      </w:r>
      <w:r w:rsidR="000F7B27">
        <w:t xml:space="preserve">and whānau </w:t>
      </w:r>
      <w:r w:rsidRPr="580DDC28">
        <w:t xml:space="preserve">will require, offer that </w:t>
      </w:r>
      <w:proofErr w:type="gramStart"/>
      <w:r w:rsidRPr="580DDC28">
        <w:t>support</w:t>
      </w:r>
      <w:proofErr w:type="gramEnd"/>
      <w:r w:rsidRPr="580DDC28">
        <w:t xml:space="preserve"> and provide a person (and deputy) who the consumer </w:t>
      </w:r>
      <w:r w:rsidR="000F7B27">
        <w:t xml:space="preserve">and whānau </w:t>
      </w:r>
      <w:r w:rsidRPr="580DDC28">
        <w:t>can contact when they need to.</w:t>
      </w:r>
    </w:p>
    <w:p w14:paraId="481215AF" w14:textId="76D13BE5" w:rsidR="00416580" w:rsidRPr="00B960DE" w:rsidRDefault="00416580" w:rsidP="004B4370">
      <w:pPr>
        <w:pStyle w:val="TeThHauorahead2"/>
      </w:pPr>
      <w:r w:rsidRPr="00B960DE">
        <w:t xml:space="preserve">Step 4: Be open to consumer </w:t>
      </w:r>
      <w:r w:rsidR="00AA3EC6">
        <w:t xml:space="preserve">and whānau </w:t>
      </w:r>
      <w:r w:rsidRPr="00B960DE">
        <w:t>perspectives in review of the event</w:t>
      </w:r>
      <w:r w:rsidR="00D81AB0">
        <w:t xml:space="preserve"> | </w:t>
      </w:r>
      <w:proofErr w:type="spellStart"/>
      <w:r w:rsidR="004A72FA" w:rsidRPr="004A72FA">
        <w:t>Hīkoi</w:t>
      </w:r>
      <w:proofErr w:type="spellEnd"/>
      <w:r w:rsidR="004A72FA" w:rsidRPr="004A72FA">
        <w:t xml:space="preserve"> 4: Me </w:t>
      </w:r>
      <w:proofErr w:type="spellStart"/>
      <w:r w:rsidR="004A72FA" w:rsidRPr="004A72FA">
        <w:t>ngākau</w:t>
      </w:r>
      <w:proofErr w:type="spellEnd"/>
      <w:r w:rsidR="004A72FA" w:rsidRPr="004A72FA">
        <w:t xml:space="preserve"> </w:t>
      </w:r>
      <w:proofErr w:type="spellStart"/>
      <w:r w:rsidR="004A72FA" w:rsidRPr="004A72FA">
        <w:t>māhaki</w:t>
      </w:r>
      <w:proofErr w:type="spellEnd"/>
      <w:r w:rsidR="004A72FA" w:rsidRPr="004A72FA">
        <w:t xml:space="preserve"> ki ngā </w:t>
      </w:r>
      <w:proofErr w:type="spellStart"/>
      <w:r w:rsidR="004A72FA" w:rsidRPr="004A72FA">
        <w:t>whakaaro</w:t>
      </w:r>
      <w:proofErr w:type="spellEnd"/>
      <w:r w:rsidR="004A72FA" w:rsidRPr="004A72FA">
        <w:t xml:space="preserve"> o te kiritaki o te whānau i te wā </w:t>
      </w:r>
      <w:proofErr w:type="spellStart"/>
      <w:r w:rsidR="004A72FA" w:rsidRPr="004A72FA">
        <w:t>arotake</w:t>
      </w:r>
      <w:proofErr w:type="spellEnd"/>
    </w:p>
    <w:p w14:paraId="72438A9F" w14:textId="38483EC2" w:rsidR="00207F81" w:rsidRDefault="00416580" w:rsidP="00BD5FF9">
      <w:pPr>
        <w:pStyle w:val="TeThHauorabodytext"/>
      </w:pPr>
      <w:r w:rsidRPr="580DDC28">
        <w:t xml:space="preserve">The story </w:t>
      </w:r>
      <w:r w:rsidR="00B76ABF">
        <w:t xml:space="preserve">of the consumer and whānau </w:t>
      </w:r>
      <w:r w:rsidRPr="580DDC28">
        <w:t xml:space="preserve">should be given equal consideration with </w:t>
      </w:r>
      <w:r w:rsidR="00207F81">
        <w:t xml:space="preserve">the perspectives of </w:t>
      </w:r>
      <w:r w:rsidR="63C406AA" w:rsidRPr="580DDC28">
        <w:t>health</w:t>
      </w:r>
      <w:r w:rsidR="00B76ABF">
        <w:t xml:space="preserve"> </w:t>
      </w:r>
      <w:r w:rsidR="63C406AA" w:rsidRPr="580DDC28">
        <w:t xml:space="preserve">care </w:t>
      </w:r>
      <w:r w:rsidR="00885666" w:rsidRPr="580DDC28">
        <w:t xml:space="preserve">workers </w:t>
      </w:r>
      <w:r w:rsidRPr="580DDC28">
        <w:t xml:space="preserve">in </w:t>
      </w:r>
      <w:r w:rsidR="4B1C0CFE" w:rsidRPr="580DDC28">
        <w:t xml:space="preserve">the </w:t>
      </w:r>
      <w:r w:rsidRPr="580DDC28">
        <w:t xml:space="preserve">analysis of </w:t>
      </w:r>
      <w:r w:rsidR="18E8E610" w:rsidRPr="580DDC28">
        <w:t>harm</w:t>
      </w:r>
      <w:r w:rsidRPr="580DDC28">
        <w:t xml:space="preserve">. </w:t>
      </w:r>
    </w:p>
    <w:p w14:paraId="78D6B383" w14:textId="6E2E00DB" w:rsidR="00416580" w:rsidRPr="00B960DE" w:rsidRDefault="00416580" w:rsidP="004B4370">
      <w:pPr>
        <w:pStyle w:val="TeThHauorabodytext"/>
      </w:pPr>
      <w:r w:rsidRPr="580DDC28">
        <w:t xml:space="preserve">One way of strengthening the consumer </w:t>
      </w:r>
      <w:r w:rsidR="00207F81">
        <w:t xml:space="preserve">and whānau </w:t>
      </w:r>
      <w:r w:rsidRPr="580DDC28">
        <w:t xml:space="preserve">voice in the review process is by inviting an independent consumer to be </w:t>
      </w:r>
      <w:r w:rsidR="00885666" w:rsidRPr="580DDC28">
        <w:t>a part</w:t>
      </w:r>
      <w:r w:rsidR="2A8483F7" w:rsidRPr="580DDC28">
        <w:t xml:space="preserve"> </w:t>
      </w:r>
      <w:r w:rsidRPr="580DDC28">
        <w:t xml:space="preserve">of </w:t>
      </w:r>
      <w:r w:rsidR="00885666" w:rsidRPr="580DDC28">
        <w:t>the review</w:t>
      </w:r>
      <w:r w:rsidRPr="580DDC28">
        <w:t xml:space="preserve"> team</w:t>
      </w:r>
      <w:r w:rsidR="6273BE88" w:rsidRPr="580DDC28">
        <w:t xml:space="preserve"> or during the sense</w:t>
      </w:r>
      <w:r w:rsidR="001324BC">
        <w:t>-</w:t>
      </w:r>
      <w:r w:rsidR="6273BE88" w:rsidRPr="580DDC28">
        <w:t>making process in a learning review</w:t>
      </w:r>
      <w:r w:rsidRPr="580DDC28">
        <w:t xml:space="preserve">. This person is not generally an employee of the provider organisation and will not have been affected by the </w:t>
      </w:r>
      <w:r w:rsidR="6CD29991" w:rsidRPr="580DDC28">
        <w:t>harm</w:t>
      </w:r>
      <w:r w:rsidRPr="580DDC28">
        <w:t xml:space="preserve"> under </w:t>
      </w:r>
      <w:r w:rsidR="00885666" w:rsidRPr="580DDC28">
        <w:t>review.</w:t>
      </w:r>
      <w:r w:rsidRPr="580DDC28">
        <w:t xml:space="preserve"> They</w:t>
      </w:r>
      <w:r w:rsidR="58AA0F51" w:rsidRPr="580DDC28">
        <w:t xml:space="preserve"> </w:t>
      </w:r>
      <w:r w:rsidR="000B5B34" w:rsidRPr="580DDC28">
        <w:t>can provide</w:t>
      </w:r>
      <w:r w:rsidRPr="580DDC28">
        <w:t xml:space="preserve"> a consumer perspective on understanding what happened and what</w:t>
      </w:r>
      <w:r w:rsidR="03F4924E" w:rsidRPr="580DDC28">
        <w:t xml:space="preserve"> actions for improvement</w:t>
      </w:r>
      <w:r w:rsidRPr="580DDC28">
        <w:t xml:space="preserve"> might </w:t>
      </w:r>
      <w:r w:rsidR="7A5CE4BF" w:rsidRPr="580DDC28">
        <w:t xml:space="preserve">arise from the </w:t>
      </w:r>
      <w:r w:rsidR="000B5B34" w:rsidRPr="580DDC28">
        <w:t>review.</w:t>
      </w:r>
    </w:p>
    <w:p w14:paraId="5FB199BB" w14:textId="4F633480" w:rsidR="00416580" w:rsidRPr="00B960DE" w:rsidRDefault="00416580" w:rsidP="004B4370">
      <w:pPr>
        <w:pStyle w:val="TeThHauorabodytext"/>
      </w:pPr>
      <w:r w:rsidRPr="580DDC28">
        <w:t xml:space="preserve">Providers should aim for diversity and inclusion when engaging independent consumers to be part </w:t>
      </w:r>
      <w:r w:rsidR="000B5B34" w:rsidRPr="580DDC28">
        <w:t>of review</w:t>
      </w:r>
      <w:r w:rsidRPr="580DDC28">
        <w:t xml:space="preserve"> teams. This means involving people who reflect the lived experiences and characteristics of the population using the health service (eg, age groups, cultural backgrounds, socioeconomic </w:t>
      </w:r>
      <w:proofErr w:type="gramStart"/>
      <w:r w:rsidRPr="580DDC28">
        <w:t>status</w:t>
      </w:r>
      <w:proofErr w:type="gramEnd"/>
      <w:r w:rsidRPr="580DDC28">
        <w:t xml:space="preserve"> and education levels). This also means considering and addressing the barriers that prevent </w:t>
      </w:r>
      <w:r w:rsidR="000B5B34" w:rsidRPr="580DDC28">
        <w:t>diverse groups</w:t>
      </w:r>
      <w:r w:rsidRPr="580DDC28">
        <w:t xml:space="preserve"> from </w:t>
      </w:r>
      <w:r w:rsidR="00E56417" w:rsidRPr="580DDC28">
        <w:t>taking part</w:t>
      </w:r>
      <w:r w:rsidR="000B5B34" w:rsidRPr="580DDC28">
        <w:t>,</w:t>
      </w:r>
      <w:r w:rsidRPr="580DDC28">
        <w:t xml:space="preserve"> particularly those involving people from a different culture.</w:t>
      </w:r>
    </w:p>
    <w:p w14:paraId="3B637F90" w14:textId="77777777" w:rsidR="00416580" w:rsidRPr="00B960DE" w:rsidRDefault="00416580" w:rsidP="004B4370">
      <w:pPr>
        <w:pStyle w:val="TeThHauorabodytext"/>
      </w:pPr>
      <w:r w:rsidRPr="00B960DE">
        <w:t>Examples of ways to increase consumer involvement in the adverse review process include:</w:t>
      </w:r>
    </w:p>
    <w:p w14:paraId="73218EFA" w14:textId="0C212A74" w:rsidR="00416580" w:rsidRPr="00B960DE" w:rsidRDefault="00416580" w:rsidP="004B4370">
      <w:pPr>
        <w:pStyle w:val="Bullet"/>
      </w:pPr>
      <w:r w:rsidRPr="580DDC28">
        <w:t>having an independent consumer on the review team who is from the same cultural group as the affected consumer</w:t>
      </w:r>
      <w:r w:rsidR="002E3208">
        <w:t>,</w:t>
      </w:r>
      <w:r w:rsidRPr="580DDC28">
        <w:t xml:space="preserve"> taking into consideration their willingness to </w:t>
      </w:r>
      <w:r w:rsidR="00E56417" w:rsidRPr="580DDC28">
        <w:t>take part</w:t>
      </w:r>
      <w:r w:rsidRPr="580DDC28">
        <w:t xml:space="preserve"> in the </w:t>
      </w:r>
      <w:r w:rsidR="3A7DDF64" w:rsidRPr="580DDC28">
        <w:t xml:space="preserve">learning </w:t>
      </w:r>
      <w:r w:rsidRPr="580DDC28">
        <w:t>review process</w:t>
      </w:r>
      <w:r w:rsidR="00AA3EC6" w:rsidRPr="580DDC28">
        <w:t>.</w:t>
      </w:r>
    </w:p>
    <w:p w14:paraId="6976FA97" w14:textId="2D8C84A4" w:rsidR="00416580" w:rsidRPr="00B960DE" w:rsidRDefault="00416580" w:rsidP="004B4370">
      <w:pPr>
        <w:pStyle w:val="Bulletslast"/>
      </w:pPr>
      <w:r w:rsidRPr="00B960DE">
        <w:t>having a range of cultural advisors available to contribute to the review wh</w:t>
      </w:r>
      <w:r w:rsidR="00D0034C">
        <w:t>en</w:t>
      </w:r>
      <w:r w:rsidRPr="00B960DE">
        <w:t xml:space="preserve"> </w:t>
      </w:r>
      <w:r w:rsidR="00E56417">
        <w:t>r</w:t>
      </w:r>
      <w:r w:rsidR="00D0034C">
        <w:t>equired</w:t>
      </w:r>
      <w:r w:rsidRPr="00B960DE">
        <w:t>.</w:t>
      </w:r>
    </w:p>
    <w:p w14:paraId="147850BE" w14:textId="026E0811" w:rsidR="00416580" w:rsidRPr="00B960DE" w:rsidRDefault="00416580" w:rsidP="004B4370">
      <w:pPr>
        <w:pStyle w:val="TeThHauorabodytext"/>
      </w:pPr>
      <w:r w:rsidRPr="00B960DE">
        <w:t xml:space="preserve">If the consumer </w:t>
      </w:r>
      <w:r w:rsidR="002E3208">
        <w:t xml:space="preserve">and whānau </w:t>
      </w:r>
      <w:r w:rsidRPr="00B960DE">
        <w:t>ha</w:t>
      </w:r>
      <w:r w:rsidR="002E3208">
        <w:t>ve</w:t>
      </w:r>
      <w:r w:rsidRPr="00B960DE">
        <w:t xml:space="preserve"> been under mental health</w:t>
      </w:r>
      <w:r w:rsidR="00AA3EC6">
        <w:t xml:space="preserve"> and addiction</w:t>
      </w:r>
      <w:r w:rsidRPr="00B960DE">
        <w:t xml:space="preserve"> services, then there may already be consumers and family advisors within the </w:t>
      </w:r>
      <w:r w:rsidR="009E2DDD" w:rsidRPr="00B960DE">
        <w:t>organisation</w:t>
      </w:r>
      <w:r w:rsidRPr="00B960DE">
        <w:t xml:space="preserve"> employed specifically for supporting consumers</w:t>
      </w:r>
      <w:r w:rsidR="002E3208">
        <w:t xml:space="preserve"> and whānau</w:t>
      </w:r>
      <w:r w:rsidRPr="00B960DE">
        <w:t>.</w:t>
      </w:r>
    </w:p>
    <w:p w14:paraId="66BE535A" w14:textId="1A7543F2" w:rsidR="00416580" w:rsidRPr="00B960DE" w:rsidRDefault="00416580" w:rsidP="004B4370">
      <w:pPr>
        <w:pStyle w:val="TeThHauorahead2"/>
      </w:pPr>
      <w:r w:rsidRPr="00B960DE">
        <w:t>Step 5: Check the draft report with the affected consumer</w:t>
      </w:r>
      <w:r w:rsidR="00326DC1">
        <w:t xml:space="preserve"> and whānau</w:t>
      </w:r>
      <w:r w:rsidR="004340E9">
        <w:t xml:space="preserve"> | </w:t>
      </w:r>
      <w:proofErr w:type="spellStart"/>
      <w:r w:rsidR="004340E9" w:rsidRPr="004340E9">
        <w:t>Hīkoi</w:t>
      </w:r>
      <w:proofErr w:type="spellEnd"/>
      <w:r w:rsidR="004340E9" w:rsidRPr="004340E9">
        <w:t xml:space="preserve"> 5: Me </w:t>
      </w:r>
      <w:proofErr w:type="spellStart"/>
      <w:r w:rsidR="004340E9" w:rsidRPr="004340E9">
        <w:t>titiro</w:t>
      </w:r>
      <w:proofErr w:type="spellEnd"/>
      <w:r w:rsidR="004340E9" w:rsidRPr="004340E9">
        <w:t xml:space="preserve"> tahi me te kiritaki, me te whānau ki te pūrongo </w:t>
      </w:r>
      <w:proofErr w:type="spellStart"/>
      <w:r w:rsidR="004340E9" w:rsidRPr="004340E9">
        <w:t>tauira</w:t>
      </w:r>
      <w:proofErr w:type="spellEnd"/>
    </w:p>
    <w:p w14:paraId="7FC12453" w14:textId="77777777" w:rsidR="00326DC1" w:rsidRDefault="00416580" w:rsidP="00BD5FF9">
      <w:pPr>
        <w:pStyle w:val="TeThHauorabodytext"/>
      </w:pPr>
      <w:r w:rsidRPr="580DDC28">
        <w:t>Providers should give the affected consumer</w:t>
      </w:r>
      <w:r w:rsidR="00326DC1" w:rsidRPr="00326DC1">
        <w:t xml:space="preserve"> </w:t>
      </w:r>
      <w:r w:rsidR="00326DC1">
        <w:t>and whānau</w:t>
      </w:r>
      <w:r w:rsidRPr="580DDC28">
        <w:t xml:space="preserve"> the opportunity to </w:t>
      </w:r>
      <w:r w:rsidR="00AA3EC6" w:rsidRPr="580DDC28">
        <w:t xml:space="preserve">review </w:t>
      </w:r>
      <w:r w:rsidRPr="580DDC28">
        <w:t xml:space="preserve">the draft report, including </w:t>
      </w:r>
      <w:r w:rsidR="6D10B719" w:rsidRPr="580DDC28">
        <w:t xml:space="preserve">the learning opportunities and recommended actions for </w:t>
      </w:r>
      <w:r w:rsidR="00606010" w:rsidRPr="580DDC28">
        <w:t xml:space="preserve">improvement, </w:t>
      </w:r>
      <w:r w:rsidR="00802A63">
        <w:t xml:space="preserve">so they can </w:t>
      </w:r>
      <w:r w:rsidRPr="580DDC28">
        <w:t xml:space="preserve">provide feedback on it. </w:t>
      </w:r>
    </w:p>
    <w:p w14:paraId="2E9084BB" w14:textId="35431772" w:rsidR="00416580" w:rsidRPr="00B960DE" w:rsidRDefault="00416580" w:rsidP="004B4370">
      <w:pPr>
        <w:pStyle w:val="TeThHauorabodytext"/>
      </w:pPr>
      <w:r w:rsidRPr="580DDC28">
        <w:t xml:space="preserve">The feedback </w:t>
      </w:r>
      <w:r w:rsidR="00326DC1">
        <w:t xml:space="preserve">from the </w:t>
      </w:r>
      <w:r w:rsidR="00326DC1" w:rsidRPr="580DDC28">
        <w:t>affected consumer</w:t>
      </w:r>
      <w:r w:rsidR="00326DC1">
        <w:t xml:space="preserve"> and whānau </w:t>
      </w:r>
      <w:r w:rsidRPr="580DDC28">
        <w:t>should be given serious consideration. While not all feedback will result in a change to the report, all feedback must be considered, and an explanation provided where feedback does not result in a change to the report.</w:t>
      </w:r>
    </w:p>
    <w:p w14:paraId="7940B606" w14:textId="629EE172" w:rsidR="00416580" w:rsidRPr="00B960DE" w:rsidRDefault="00416580" w:rsidP="004B4370">
      <w:pPr>
        <w:pStyle w:val="TeThHauorahead2"/>
      </w:pPr>
      <w:r w:rsidRPr="00B960DE">
        <w:t>Step 6: Communicate all review findings to the affected consumer</w:t>
      </w:r>
      <w:r w:rsidR="00326DC1">
        <w:t xml:space="preserve"> and whānau</w:t>
      </w:r>
      <w:r w:rsidR="00D752B5">
        <w:t xml:space="preserve"> | </w:t>
      </w:r>
      <w:proofErr w:type="spellStart"/>
      <w:r w:rsidR="00D752B5" w:rsidRPr="00D752B5">
        <w:t>Hīkoi</w:t>
      </w:r>
      <w:proofErr w:type="spellEnd"/>
      <w:r w:rsidR="00D752B5" w:rsidRPr="00D752B5">
        <w:t xml:space="preserve"> 6: Me kōrero katoa ngā </w:t>
      </w:r>
      <w:proofErr w:type="spellStart"/>
      <w:r w:rsidR="00D752B5" w:rsidRPr="00D752B5">
        <w:t>kitenga</w:t>
      </w:r>
      <w:proofErr w:type="spellEnd"/>
      <w:r w:rsidR="00D752B5" w:rsidRPr="00D752B5">
        <w:t xml:space="preserve"> o te arotakenga ki te kiritaki, ki te whānau</w:t>
      </w:r>
    </w:p>
    <w:p w14:paraId="4293F7F2" w14:textId="73B2BFD6" w:rsidR="00416580" w:rsidRPr="00B960DE" w:rsidRDefault="00416580" w:rsidP="004B4370">
      <w:pPr>
        <w:pStyle w:val="TeThHauorabodytext"/>
      </w:pPr>
      <w:r w:rsidRPr="580DDC28">
        <w:t xml:space="preserve">The affected consumer </w:t>
      </w:r>
      <w:r w:rsidR="00326DC1">
        <w:t xml:space="preserve">and whānau </w:t>
      </w:r>
      <w:r w:rsidRPr="580DDC28">
        <w:t>should be given a copy of the final review report</w:t>
      </w:r>
      <w:r w:rsidR="520EA0CA" w:rsidRPr="580DDC28">
        <w:t xml:space="preserve"> in a way that meets their needs and the provider</w:t>
      </w:r>
      <w:r w:rsidR="00A2558C">
        <w:t>’</w:t>
      </w:r>
      <w:r w:rsidR="520EA0CA" w:rsidRPr="580DDC28">
        <w:t>s obligations to open communication</w:t>
      </w:r>
      <w:r w:rsidRPr="580DDC28">
        <w:t>. In line with the principles of honest and full communication, providers should produce one final review report for all, including providers and consumers</w:t>
      </w:r>
      <w:r w:rsidR="00A2558C" w:rsidRPr="00A2558C">
        <w:t xml:space="preserve"> </w:t>
      </w:r>
      <w:r w:rsidR="00A2558C">
        <w:t>and whānau</w:t>
      </w:r>
      <w:r w:rsidRPr="580DDC28">
        <w:t>.</w:t>
      </w:r>
    </w:p>
    <w:p w14:paraId="419BCAD1" w14:textId="10E76776" w:rsidR="00416580" w:rsidRPr="00B960DE" w:rsidRDefault="00416580" w:rsidP="004B4370">
      <w:pPr>
        <w:pStyle w:val="TeThHauorahead2"/>
      </w:pPr>
      <w:r w:rsidRPr="00B960DE">
        <w:t xml:space="preserve">Step 7: Commit to </w:t>
      </w:r>
      <w:r w:rsidR="000E0C99" w:rsidRPr="00B960DE">
        <w:t>acting</w:t>
      </w:r>
      <w:r w:rsidR="00D752B5">
        <w:t xml:space="preserve"> | </w:t>
      </w:r>
      <w:proofErr w:type="spellStart"/>
      <w:r w:rsidR="00402937" w:rsidRPr="00402937">
        <w:t>Hīkoi</w:t>
      </w:r>
      <w:proofErr w:type="spellEnd"/>
      <w:r w:rsidR="00402937" w:rsidRPr="00402937">
        <w:t xml:space="preserve"> 7: Me ū kia </w:t>
      </w:r>
      <w:proofErr w:type="spellStart"/>
      <w:r w:rsidR="00402937" w:rsidRPr="00402937">
        <w:t>whakatikaina</w:t>
      </w:r>
      <w:proofErr w:type="spellEnd"/>
    </w:p>
    <w:p w14:paraId="10C08DD8" w14:textId="125EFC06" w:rsidR="00416580" w:rsidRPr="00B960DE" w:rsidRDefault="00416580" w:rsidP="004B4370">
      <w:pPr>
        <w:pStyle w:val="TeThHauorabodytext"/>
      </w:pPr>
      <w:r w:rsidRPr="580DDC28">
        <w:t>The provider should commit to implementing any recommend</w:t>
      </w:r>
      <w:r w:rsidR="3DAA0E09" w:rsidRPr="580DDC28">
        <w:t>ed actions for improvement</w:t>
      </w:r>
      <w:r w:rsidRPr="580DDC28">
        <w:t xml:space="preserve"> from reviews. They should also monitor and follow up </w:t>
      </w:r>
      <w:r w:rsidR="1F35B47B" w:rsidRPr="580DDC28">
        <w:t>improvements</w:t>
      </w:r>
      <w:r w:rsidRPr="580DDC28">
        <w:t xml:space="preserve"> to ensure they are</w:t>
      </w:r>
      <w:r w:rsidR="4BF10B8A" w:rsidRPr="580DDC28">
        <w:t xml:space="preserve"> sustainable</w:t>
      </w:r>
      <w:r w:rsidR="00606010">
        <w:t xml:space="preserve"> and </w:t>
      </w:r>
      <w:r w:rsidRPr="580DDC28">
        <w:t>effectively implemented</w:t>
      </w:r>
      <w:r w:rsidR="64098438" w:rsidRPr="580DDC28">
        <w:t xml:space="preserve"> without unintended consequences</w:t>
      </w:r>
      <w:r w:rsidRPr="580DDC28">
        <w:t>.</w:t>
      </w:r>
    </w:p>
    <w:p w14:paraId="460E49BF" w14:textId="30E8D19E" w:rsidR="00416580" w:rsidRPr="00B960DE" w:rsidRDefault="00416580" w:rsidP="004B4370">
      <w:pPr>
        <w:pStyle w:val="TeThHauorahead2"/>
      </w:pPr>
      <w:r w:rsidRPr="00B960DE">
        <w:t xml:space="preserve">Step 8: Follow up with the affected consumer </w:t>
      </w:r>
      <w:r w:rsidR="00A2558C">
        <w:t xml:space="preserve">and whānau </w:t>
      </w:r>
      <w:r w:rsidRPr="00B960DE">
        <w:t>on actions taken</w:t>
      </w:r>
      <w:r w:rsidR="005128D9">
        <w:t xml:space="preserve"> | </w:t>
      </w:r>
      <w:proofErr w:type="spellStart"/>
      <w:r w:rsidR="005128D9" w:rsidRPr="005128D9">
        <w:t>Hīkoi</w:t>
      </w:r>
      <w:proofErr w:type="spellEnd"/>
      <w:r w:rsidR="005128D9" w:rsidRPr="005128D9">
        <w:t xml:space="preserve"> 8: Me kōrero ki te kiritaki me te whānau mō ngā mahi hei </w:t>
      </w:r>
      <w:proofErr w:type="spellStart"/>
      <w:r w:rsidR="005128D9" w:rsidRPr="005128D9">
        <w:t>whakatika</w:t>
      </w:r>
      <w:proofErr w:type="spellEnd"/>
    </w:p>
    <w:p w14:paraId="51238E54" w14:textId="5B2F2BDD" w:rsidR="00A2558C" w:rsidRDefault="00416580" w:rsidP="00BD5FF9">
      <w:pPr>
        <w:pStyle w:val="TeThHauorabodytext"/>
      </w:pPr>
      <w:r w:rsidRPr="580DDC28">
        <w:t xml:space="preserve">The affected consumer </w:t>
      </w:r>
      <w:r w:rsidR="430F7087" w:rsidRPr="580DDC28">
        <w:t xml:space="preserve">and whanau involved </w:t>
      </w:r>
      <w:r w:rsidRPr="580DDC28">
        <w:t xml:space="preserve">should be updated on actions taken </w:t>
      </w:r>
      <w:r w:rsidR="497606EB" w:rsidRPr="580DDC28">
        <w:t>following</w:t>
      </w:r>
      <w:r w:rsidRPr="580DDC28">
        <w:t xml:space="preserve"> the review. </w:t>
      </w:r>
    </w:p>
    <w:p w14:paraId="66D1B9C2" w14:textId="5DBFC839" w:rsidR="00EA2FBB" w:rsidRDefault="00416580" w:rsidP="00BD5FF9">
      <w:pPr>
        <w:pStyle w:val="TeThHauorabodytext"/>
      </w:pPr>
      <w:r w:rsidRPr="580DDC28">
        <w:t xml:space="preserve">Organisational governance plays a critical role in this final stage of consumer engagement in review and learning. Governance bodies are responsible for implementing and following up </w:t>
      </w:r>
      <w:r w:rsidR="4C1E036E" w:rsidRPr="580DDC28">
        <w:t xml:space="preserve">actions for </w:t>
      </w:r>
      <w:r w:rsidR="000B5B34" w:rsidRPr="580DDC28">
        <w:t>improvement and</w:t>
      </w:r>
      <w:r w:rsidRPr="580DDC28">
        <w:t xml:space="preserve"> keeping consumers</w:t>
      </w:r>
      <w:r w:rsidR="00A2558C">
        <w:t xml:space="preserve"> and whānau</w:t>
      </w:r>
      <w:r w:rsidRPr="580DDC28">
        <w:t xml:space="preserve"> updated on implementation progress. It is important to ask consumers what they would like in terms of ongoing update on progress</w:t>
      </w:r>
      <w:r w:rsidR="00AA3EC6" w:rsidRPr="580DDC28">
        <w:t>.</w:t>
      </w:r>
    </w:p>
    <w:p w14:paraId="23CC4D33" w14:textId="0F3F1D1A" w:rsidR="006D425E" w:rsidRPr="00B960DE" w:rsidRDefault="00FC5DB7" w:rsidP="000F2978">
      <w:pPr>
        <w:spacing w:before="120"/>
      </w:pPr>
      <w:r w:rsidRPr="001658AA">
        <w:rPr>
          <w:rFonts w:ascii="Arial" w:hAnsi="Arial" w:cs="Arial"/>
          <w:sz w:val="20"/>
          <w:szCs w:val="20"/>
        </w:rPr>
        <w:t>Published in June 2023 by Te Tāhū Hauora Health Quality &amp; Safety Commission, PO Box 25496, Wellington 6146, New Zealand.</w:t>
      </w:r>
    </w:p>
    <w:sectPr w:rsidR="006D425E" w:rsidRPr="00B960DE" w:rsidSect="004B4370">
      <w:footerReference w:type="even"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5286" w14:textId="77777777" w:rsidR="00BB3055" w:rsidRDefault="00BB3055" w:rsidP="005C4BDD">
      <w:pPr>
        <w:spacing w:after="0" w:line="240" w:lineRule="auto"/>
      </w:pPr>
      <w:r>
        <w:separator/>
      </w:r>
    </w:p>
  </w:endnote>
  <w:endnote w:type="continuationSeparator" w:id="0">
    <w:p w14:paraId="5C1854AE" w14:textId="77777777" w:rsidR="00BB3055" w:rsidRDefault="00BB3055" w:rsidP="005C4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6DE5" w14:textId="07207A97" w:rsidR="00F9611A" w:rsidRPr="004B4370" w:rsidRDefault="004F33EB" w:rsidP="004B4370">
    <w:pPr>
      <w:tabs>
        <w:tab w:val="right" w:pos="9072"/>
      </w:tabs>
      <w:spacing w:after="0"/>
      <w:ind w:right="-45"/>
      <w:rPr>
        <w:rFonts w:ascii="Arial" w:hAnsi="Arial" w:cs="Arial"/>
      </w:rPr>
    </w:pPr>
    <w:r w:rsidRPr="004F33EB">
      <w:rPr>
        <w:rFonts w:ascii="Arial" w:hAnsi="Arial" w:cs="Arial"/>
      </w:rPr>
      <w:t xml:space="preserve">Me pēhea e kōrero tahi ai me ngā kiritaki, ngā whānau </w:t>
    </w:r>
    <w:proofErr w:type="spellStart"/>
    <w:r w:rsidRPr="004F33EB">
      <w:rPr>
        <w:rFonts w:ascii="Arial" w:hAnsi="Arial" w:cs="Arial"/>
      </w:rPr>
      <w:t>whaimuri</w:t>
    </w:r>
    <w:proofErr w:type="spellEnd"/>
    <w:r w:rsidRPr="004F33EB">
      <w:rPr>
        <w:rFonts w:ascii="Arial" w:hAnsi="Arial" w:cs="Arial"/>
      </w:rPr>
      <w:t xml:space="preserve"> i </w:t>
    </w:r>
    <w:proofErr w:type="spellStart"/>
    <w:r w:rsidRPr="004F33EB">
      <w:rPr>
        <w:rFonts w:ascii="Arial" w:hAnsi="Arial" w:cs="Arial"/>
      </w:rPr>
      <w:t>tētahi</w:t>
    </w:r>
    <w:proofErr w:type="spellEnd"/>
    <w:r w:rsidRPr="004F33EB">
      <w:rPr>
        <w:rFonts w:ascii="Arial" w:hAnsi="Arial" w:cs="Arial"/>
      </w:rPr>
      <w:t xml:space="preserve"> mahi </w:t>
    </w:r>
    <w:proofErr w:type="spellStart"/>
    <w:r w:rsidRPr="004F33EB">
      <w:rPr>
        <w:rFonts w:ascii="Arial" w:hAnsi="Arial" w:cs="Arial"/>
      </w:rPr>
      <w:t>tūkino</w:t>
    </w:r>
    <w:proofErr w:type="spellEnd"/>
    <w:r w:rsidRPr="00D2174B">
      <w:rPr>
        <w:rFonts w:ascii="Arial" w:hAnsi="Arial" w:cs="Arial"/>
      </w:rPr>
      <w:tab/>
    </w:r>
    <w:sdt>
      <w:sdtPr>
        <w:rPr>
          <w:rFonts w:ascii="Arial" w:hAnsi="Arial" w:cs="Arial"/>
        </w:rPr>
        <w:id w:val="2014338120"/>
        <w:docPartObj>
          <w:docPartGallery w:val="Page Numbers (Bottom of Page)"/>
          <w:docPartUnique/>
        </w:docPartObj>
      </w:sdtPr>
      <w:sdtEndPr/>
      <w:sdtContent>
        <w:r w:rsidRPr="00D2174B">
          <w:rPr>
            <w:rFonts w:ascii="Arial" w:hAnsi="Arial" w:cs="Arial"/>
          </w:rPr>
          <w:fldChar w:fldCharType="begin"/>
        </w:r>
        <w:r w:rsidRPr="00D2174B">
          <w:rPr>
            <w:rFonts w:ascii="Arial" w:hAnsi="Arial" w:cs="Arial"/>
          </w:rPr>
          <w:instrText xml:space="preserve"> PAGE   \* MERGEFORMAT </w:instrText>
        </w:r>
        <w:r w:rsidRPr="00D2174B">
          <w:rPr>
            <w:rFonts w:ascii="Arial" w:hAnsi="Arial" w:cs="Arial"/>
          </w:rPr>
          <w:fldChar w:fldCharType="separate"/>
        </w:r>
        <w:r>
          <w:rPr>
            <w:rFonts w:ascii="Arial" w:hAnsi="Arial" w:cs="Arial"/>
          </w:rPr>
          <w:t>3</w:t>
        </w:r>
        <w:r w:rsidRPr="00D2174B">
          <w:rPr>
            <w:rFonts w:ascii="Arial" w:hAnsi="Arial" w:cs="Aria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97962" w14:textId="1E64AE76" w:rsidR="005A69DA" w:rsidRPr="004B4370" w:rsidRDefault="004F33EB" w:rsidP="004B4370">
    <w:pPr>
      <w:tabs>
        <w:tab w:val="right" w:pos="9072"/>
      </w:tabs>
      <w:spacing w:after="0"/>
      <w:ind w:right="-45"/>
      <w:rPr>
        <w:rFonts w:ascii="Arial" w:hAnsi="Arial" w:cs="Arial"/>
      </w:rPr>
    </w:pPr>
    <w:r w:rsidRPr="004F33EB">
      <w:rPr>
        <w:rFonts w:ascii="Arial" w:hAnsi="Arial" w:cs="Arial"/>
      </w:rPr>
      <w:t xml:space="preserve">Me pēhea e kōrero tahi ai me ngā kiritaki, ngā whānau </w:t>
    </w:r>
    <w:proofErr w:type="spellStart"/>
    <w:r w:rsidRPr="004F33EB">
      <w:rPr>
        <w:rFonts w:ascii="Arial" w:hAnsi="Arial" w:cs="Arial"/>
      </w:rPr>
      <w:t>whaimuri</w:t>
    </w:r>
    <w:proofErr w:type="spellEnd"/>
    <w:r w:rsidRPr="004F33EB">
      <w:rPr>
        <w:rFonts w:ascii="Arial" w:hAnsi="Arial" w:cs="Arial"/>
      </w:rPr>
      <w:t xml:space="preserve"> i </w:t>
    </w:r>
    <w:proofErr w:type="spellStart"/>
    <w:r w:rsidRPr="004F33EB">
      <w:rPr>
        <w:rFonts w:ascii="Arial" w:hAnsi="Arial" w:cs="Arial"/>
      </w:rPr>
      <w:t>tētahi</w:t>
    </w:r>
    <w:proofErr w:type="spellEnd"/>
    <w:r w:rsidRPr="004F33EB">
      <w:rPr>
        <w:rFonts w:ascii="Arial" w:hAnsi="Arial" w:cs="Arial"/>
      </w:rPr>
      <w:t xml:space="preserve"> mahi </w:t>
    </w:r>
    <w:proofErr w:type="spellStart"/>
    <w:r w:rsidRPr="004F33EB">
      <w:rPr>
        <w:rFonts w:ascii="Arial" w:hAnsi="Arial" w:cs="Arial"/>
      </w:rPr>
      <w:t>tūkino</w:t>
    </w:r>
    <w:proofErr w:type="spellEnd"/>
    <w:r w:rsidR="002D2510" w:rsidRPr="004B4370">
      <w:rPr>
        <w:rFonts w:ascii="Arial" w:hAnsi="Arial" w:cs="Arial"/>
      </w:rPr>
      <w:tab/>
    </w:r>
    <w:sdt>
      <w:sdtPr>
        <w:rPr>
          <w:rFonts w:ascii="Arial" w:hAnsi="Arial" w:cs="Arial"/>
        </w:rPr>
        <w:id w:val="-408147012"/>
        <w:docPartObj>
          <w:docPartGallery w:val="Page Numbers (Bottom of Page)"/>
          <w:docPartUnique/>
        </w:docPartObj>
      </w:sdtPr>
      <w:sdtEndPr/>
      <w:sdtContent>
        <w:r w:rsidR="00B960DE" w:rsidRPr="004B4370">
          <w:rPr>
            <w:rFonts w:ascii="Arial" w:hAnsi="Arial" w:cs="Arial"/>
          </w:rPr>
          <w:fldChar w:fldCharType="begin"/>
        </w:r>
        <w:r w:rsidR="00B960DE" w:rsidRPr="004B4370">
          <w:rPr>
            <w:rFonts w:ascii="Arial" w:hAnsi="Arial" w:cs="Arial"/>
          </w:rPr>
          <w:instrText xml:space="preserve"> PAGE   \* MERGEFORMAT </w:instrText>
        </w:r>
        <w:r w:rsidR="00B960DE" w:rsidRPr="004B4370">
          <w:rPr>
            <w:rFonts w:ascii="Arial" w:hAnsi="Arial" w:cs="Arial"/>
          </w:rPr>
          <w:fldChar w:fldCharType="separate"/>
        </w:r>
        <w:r w:rsidR="00B960DE" w:rsidRPr="004B4370">
          <w:rPr>
            <w:rFonts w:ascii="Arial" w:hAnsi="Arial" w:cs="Arial"/>
          </w:rPr>
          <w:t>2</w:t>
        </w:r>
        <w:r w:rsidR="00B960DE" w:rsidRPr="004B4370">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75521" w14:textId="77777777" w:rsidR="00BB3055" w:rsidRDefault="00BB3055" w:rsidP="005C4BDD">
      <w:pPr>
        <w:spacing w:after="0" w:line="240" w:lineRule="auto"/>
      </w:pPr>
      <w:r>
        <w:separator/>
      </w:r>
    </w:p>
  </w:footnote>
  <w:footnote w:type="continuationSeparator" w:id="0">
    <w:p w14:paraId="773A0433" w14:textId="77777777" w:rsidR="00BB3055" w:rsidRDefault="00BB3055" w:rsidP="005C4BDD">
      <w:pPr>
        <w:spacing w:after="0" w:line="240" w:lineRule="auto"/>
      </w:pPr>
      <w:r>
        <w:continuationSeparator/>
      </w:r>
    </w:p>
  </w:footnote>
  <w:footnote w:id="1">
    <w:p w14:paraId="006FA12A" w14:textId="5FD6C4C2" w:rsidR="005C4BDD" w:rsidRPr="004B4370" w:rsidRDefault="005C4BDD"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Health Quality &amp; Safety Commission. 2015. </w:t>
      </w:r>
      <w:r w:rsidRPr="004B4370">
        <w:rPr>
          <w:rFonts w:ascii="Arial" w:hAnsi="Arial" w:cs="Arial"/>
          <w:i/>
          <w:iCs/>
        </w:rPr>
        <w:t>Engaging with consumers: a guide for district health boards</w:t>
      </w:r>
      <w:r w:rsidRPr="004B4370">
        <w:rPr>
          <w:rFonts w:ascii="Arial" w:hAnsi="Arial" w:cs="Arial"/>
        </w:rPr>
        <w:t>. Wellington: Health Quality &amp; Safety Commission.</w:t>
      </w:r>
    </w:p>
  </w:footnote>
  <w:footnote w:id="2">
    <w:p w14:paraId="08E5FE38" w14:textId="634BEF71" w:rsidR="005C4BDD" w:rsidRPr="004B4370" w:rsidRDefault="005C4BDD"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Health Quality &amp; Safety Commission. 2017. </w:t>
      </w:r>
      <w:r w:rsidRPr="004B4370">
        <w:rPr>
          <w:rFonts w:ascii="Arial" w:hAnsi="Arial" w:cs="Arial"/>
          <w:i/>
          <w:iCs/>
        </w:rPr>
        <w:t>Learning from adverse events 2016–17</w:t>
      </w:r>
      <w:r w:rsidRPr="004B4370">
        <w:rPr>
          <w:rFonts w:ascii="Arial" w:hAnsi="Arial" w:cs="Arial"/>
        </w:rPr>
        <w:t>. Wellington: Health Quality &amp; Safety Commission.</w:t>
      </w:r>
    </w:p>
  </w:footnote>
  <w:footnote w:id="3">
    <w:p w14:paraId="6660AD06" w14:textId="1A390377" w:rsidR="000E760D" w:rsidRPr="004B4370" w:rsidRDefault="000E760D"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Whānau is the family, extended family or family group of people who are important to a person who is receiving a service. Whānau includes a person’s extended family, their partners, friends, </w:t>
      </w:r>
      <w:proofErr w:type="gramStart"/>
      <w:r w:rsidRPr="004B4370">
        <w:rPr>
          <w:rFonts w:ascii="Arial" w:hAnsi="Arial" w:cs="Arial"/>
        </w:rPr>
        <w:t>guardians</w:t>
      </w:r>
      <w:proofErr w:type="gramEnd"/>
      <w:r w:rsidRPr="004B4370">
        <w:rPr>
          <w:rFonts w:ascii="Arial" w:hAnsi="Arial" w:cs="Arial"/>
        </w:rPr>
        <w:t xml:space="preserve"> or other representatives chosen by the person. </w:t>
      </w:r>
      <w:r w:rsidR="004704A4">
        <w:rPr>
          <w:rFonts w:ascii="Arial" w:hAnsi="Arial" w:cs="Arial"/>
        </w:rPr>
        <w:t xml:space="preserve">From: </w:t>
      </w:r>
      <w:r w:rsidR="00BB41C4" w:rsidRPr="00BB41C4">
        <w:rPr>
          <w:rFonts w:ascii="Arial" w:hAnsi="Arial" w:cs="Arial"/>
        </w:rPr>
        <w:t xml:space="preserve">Te Tāhū Hauora Health Quality &amp; Safety Commission. 2023. Healing, </w:t>
      </w:r>
      <w:proofErr w:type="gramStart"/>
      <w:r w:rsidR="00BB41C4" w:rsidRPr="00BB41C4">
        <w:rPr>
          <w:rFonts w:ascii="Arial" w:hAnsi="Arial" w:cs="Arial"/>
        </w:rPr>
        <w:t>learning</w:t>
      </w:r>
      <w:proofErr w:type="gramEnd"/>
      <w:r w:rsidR="00BB41C4" w:rsidRPr="00BB41C4">
        <w:rPr>
          <w:rFonts w:ascii="Arial" w:hAnsi="Arial" w:cs="Arial"/>
        </w:rPr>
        <w:t xml:space="preserve"> and improving from harm: National adverse events policy 2023 | Te </w:t>
      </w:r>
      <w:proofErr w:type="spellStart"/>
      <w:r w:rsidR="00BB41C4" w:rsidRPr="00BB41C4">
        <w:rPr>
          <w:rFonts w:ascii="Arial" w:hAnsi="Arial" w:cs="Arial"/>
        </w:rPr>
        <w:t>whakaora</w:t>
      </w:r>
      <w:proofErr w:type="spellEnd"/>
      <w:r w:rsidR="00BB41C4" w:rsidRPr="00BB41C4">
        <w:rPr>
          <w:rFonts w:ascii="Arial" w:hAnsi="Arial" w:cs="Arial"/>
        </w:rPr>
        <w:t xml:space="preserve">, te </w:t>
      </w:r>
      <w:proofErr w:type="spellStart"/>
      <w:r w:rsidR="00BB41C4" w:rsidRPr="00BB41C4">
        <w:rPr>
          <w:rFonts w:ascii="Arial" w:hAnsi="Arial" w:cs="Arial"/>
        </w:rPr>
        <w:t>ako</w:t>
      </w:r>
      <w:proofErr w:type="spellEnd"/>
      <w:r w:rsidR="00BB41C4" w:rsidRPr="00BB41C4">
        <w:rPr>
          <w:rFonts w:ascii="Arial" w:hAnsi="Arial" w:cs="Arial"/>
        </w:rPr>
        <w:t xml:space="preserve"> me te whakapai ake i te kino: Te kaupapa here ā-motu mō ngā mahi </w:t>
      </w:r>
      <w:proofErr w:type="spellStart"/>
      <w:r w:rsidR="00BB41C4" w:rsidRPr="00BB41C4">
        <w:rPr>
          <w:rFonts w:ascii="Arial" w:hAnsi="Arial" w:cs="Arial"/>
        </w:rPr>
        <w:t>tūkino</w:t>
      </w:r>
      <w:proofErr w:type="spellEnd"/>
      <w:r w:rsidR="00BB41C4" w:rsidRPr="00BB41C4">
        <w:rPr>
          <w:rFonts w:ascii="Arial" w:hAnsi="Arial" w:cs="Arial"/>
        </w:rPr>
        <w:t xml:space="preserve"> 2023. </w:t>
      </w:r>
      <w:r w:rsidRPr="004B4370">
        <w:rPr>
          <w:rFonts w:ascii="Arial" w:hAnsi="Arial" w:cs="Arial"/>
        </w:rPr>
        <w:t xml:space="preserve">Wellington: Te Tāhū Hauora. </w:t>
      </w:r>
      <w:r w:rsidR="005D279A" w:rsidRPr="004B4370">
        <w:rPr>
          <w:rFonts w:ascii="Arial" w:hAnsi="Arial" w:cs="Arial"/>
        </w:rPr>
        <w:t xml:space="preserve">URL: </w:t>
      </w:r>
      <w:hyperlink r:id="rId1" w:history="1">
        <w:r w:rsidR="00BB41C4" w:rsidRPr="004B4370">
          <w:rPr>
            <w:rStyle w:val="Hyperlink"/>
            <w:rFonts w:ascii="Arial" w:hAnsi="Arial" w:cs="Arial"/>
          </w:rPr>
          <w:t>www.hqsc.govt.nz/resources/resource-library/national-adverse-event-policy-2023</w:t>
        </w:r>
      </w:hyperlink>
      <w:r w:rsidR="005D279A" w:rsidRPr="004B4370">
        <w:rPr>
          <w:rFonts w:ascii="Arial" w:hAnsi="Arial" w:cs="Arial"/>
        </w:rPr>
        <w:t>.</w:t>
      </w:r>
      <w:r w:rsidR="00BB41C4">
        <w:rPr>
          <w:rFonts w:ascii="Arial" w:hAnsi="Arial" w:cs="Arial"/>
        </w:rPr>
        <w:t xml:space="preserve"> </w:t>
      </w:r>
    </w:p>
  </w:footnote>
  <w:footnote w:id="4">
    <w:p w14:paraId="16EA0532" w14:textId="715273BD" w:rsidR="005C4BDD" w:rsidRPr="004B4370" w:rsidRDefault="005C4BDD"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See the full code at: </w:t>
      </w:r>
      <w:hyperlink r:id="rId2" w:history="1">
        <w:r w:rsidRPr="004B4370">
          <w:rPr>
            <w:rStyle w:val="Hyperlink"/>
            <w:rFonts w:ascii="Arial" w:hAnsi="Arial" w:cs="Arial"/>
          </w:rPr>
          <w:t>https://privacy.org.nz/privacy-act-2020/codes-of-practice/hipc2020/</w:t>
        </w:r>
      </w:hyperlink>
      <w:r w:rsidRPr="004B4370">
        <w:rPr>
          <w:rFonts w:ascii="Arial" w:hAnsi="Arial" w:cs="Arial"/>
        </w:rPr>
        <w:t xml:space="preserve">; and the Health Information Privacy Fact Sheet 1 at: </w:t>
      </w:r>
      <w:hyperlink r:id="rId3" w:history="1">
        <w:r w:rsidR="00B960DE" w:rsidRPr="004B4370">
          <w:rPr>
            <w:rStyle w:val="Hyperlink"/>
            <w:rFonts w:ascii="Arial" w:hAnsi="Arial" w:cs="Arial"/>
          </w:rPr>
          <w:t>https://www.privacy.org.nz/privacy-act-2020/codes-of-practice/hipc2020/hipc-factsheet-1-overview/</w:t>
        </w:r>
      </w:hyperlink>
      <w:r w:rsidR="00B960DE" w:rsidRPr="004B4370">
        <w:rPr>
          <w:rFonts w:ascii="Arial" w:hAnsi="Arial" w:cs="Arial"/>
        </w:rPr>
        <w:t xml:space="preserve"> </w:t>
      </w:r>
    </w:p>
  </w:footnote>
  <w:footnote w:id="5">
    <w:p w14:paraId="0F4D1B42" w14:textId="2363950C" w:rsidR="005A69DA" w:rsidRPr="004B4370" w:rsidRDefault="005A69DA"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Te Tāhū Hauora Health Quality &amp; Safety Commission 2023</w:t>
      </w:r>
      <w:r w:rsidR="005C2C6A">
        <w:rPr>
          <w:rFonts w:ascii="Arial" w:hAnsi="Arial" w:cs="Arial"/>
        </w:rPr>
        <w:t xml:space="preserve">, </w:t>
      </w:r>
      <w:r w:rsidR="005C2C6A" w:rsidRPr="004B4370">
        <w:rPr>
          <w:rFonts w:ascii="Arial" w:hAnsi="Arial" w:cs="Arial"/>
          <w:i/>
          <w:iCs/>
        </w:rPr>
        <w:t>op. cit.</w:t>
      </w:r>
    </w:p>
  </w:footnote>
  <w:footnote w:id="6">
    <w:p w14:paraId="446E0A30" w14:textId="2A7DDCB5" w:rsidR="005C4BDD" w:rsidRPr="004B4370" w:rsidRDefault="005C4BDD" w:rsidP="004B4370">
      <w:pPr>
        <w:pStyle w:val="FootnoteText"/>
        <w:spacing w:after="40"/>
        <w:rPr>
          <w:rFonts w:ascii="Arial" w:hAnsi="Arial" w:cs="Arial"/>
        </w:rPr>
      </w:pPr>
      <w:r w:rsidRPr="004B4370">
        <w:rPr>
          <w:rStyle w:val="FootnoteReference"/>
          <w:rFonts w:ascii="Arial" w:hAnsi="Arial" w:cs="Arial"/>
        </w:rPr>
        <w:footnoteRef/>
      </w:r>
      <w:r w:rsidRPr="004B4370">
        <w:rPr>
          <w:rFonts w:ascii="Arial" w:hAnsi="Arial" w:cs="Arial"/>
        </w:rPr>
        <w:t xml:space="preserve"> </w:t>
      </w:r>
      <w:r w:rsidR="005A69DA" w:rsidRPr="004B4370">
        <w:rPr>
          <w:rFonts w:ascii="Arial" w:hAnsi="Arial" w:cs="Arial"/>
        </w:rPr>
        <w:t xml:space="preserve">Health and Disability Commissioner. 2019. </w:t>
      </w:r>
      <w:hyperlink r:id="rId4" w:history="1">
        <w:r w:rsidR="005A69DA" w:rsidRPr="004B4370">
          <w:rPr>
            <w:rStyle w:val="Hyperlink"/>
            <w:rFonts w:ascii="Arial" w:hAnsi="Arial" w:cs="Arial"/>
          </w:rPr>
          <w:t>Guidance on open disclosure policies</w:t>
        </w:r>
      </w:hyperlink>
      <w:r w:rsidR="005A69DA" w:rsidRPr="004B4370">
        <w:rPr>
          <w:rFonts w:ascii="Arial" w:hAnsi="Arial" w:cs="Arial"/>
        </w:rPr>
        <w:t xml:space="preserve">. Wellington: Health and Disability Commissioner.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146AEB"/>
    <w:multiLevelType w:val="multilevel"/>
    <w:tmpl w:val="1596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507D49"/>
    <w:multiLevelType w:val="multilevel"/>
    <w:tmpl w:val="71567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C44D8"/>
    <w:multiLevelType w:val="hybridMultilevel"/>
    <w:tmpl w:val="B69AD0B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620233E7"/>
    <w:multiLevelType w:val="hybridMultilevel"/>
    <w:tmpl w:val="C316CE50"/>
    <w:lvl w:ilvl="0" w:tplc="87D0D0C6">
      <w:start w:val="1"/>
      <w:numFmt w:val="bullet"/>
      <w:pStyle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612976562">
    <w:abstractNumId w:val="1"/>
  </w:num>
  <w:num w:numId="2" w16cid:durableId="794366904">
    <w:abstractNumId w:val="0"/>
  </w:num>
  <w:num w:numId="3" w16cid:durableId="217976854">
    <w:abstractNumId w:val="2"/>
  </w:num>
  <w:num w:numId="4" w16cid:durableId="8067798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580"/>
    <w:rsid w:val="000255C0"/>
    <w:rsid w:val="000A5560"/>
    <w:rsid w:val="000B5B34"/>
    <w:rsid w:val="000E0C99"/>
    <w:rsid w:val="000E1975"/>
    <w:rsid w:val="000E760D"/>
    <w:rsid w:val="000F2978"/>
    <w:rsid w:val="000F7B27"/>
    <w:rsid w:val="001055DF"/>
    <w:rsid w:val="001324BC"/>
    <w:rsid w:val="001A651C"/>
    <w:rsid w:val="001E4E22"/>
    <w:rsid w:val="001F333B"/>
    <w:rsid w:val="001F7AA8"/>
    <w:rsid w:val="00206063"/>
    <w:rsid w:val="00206259"/>
    <w:rsid w:val="00207F81"/>
    <w:rsid w:val="0022323F"/>
    <w:rsid w:val="002303BA"/>
    <w:rsid w:val="002429E8"/>
    <w:rsid w:val="002D1C78"/>
    <w:rsid w:val="002D2510"/>
    <w:rsid w:val="002D78E6"/>
    <w:rsid w:val="002E3208"/>
    <w:rsid w:val="002F5A13"/>
    <w:rsid w:val="00326DC1"/>
    <w:rsid w:val="00402937"/>
    <w:rsid w:val="00416580"/>
    <w:rsid w:val="004340E9"/>
    <w:rsid w:val="004704A4"/>
    <w:rsid w:val="00486DBE"/>
    <w:rsid w:val="004A72FA"/>
    <w:rsid w:val="004B4370"/>
    <w:rsid w:val="004C2486"/>
    <w:rsid w:val="004F33EB"/>
    <w:rsid w:val="005128D9"/>
    <w:rsid w:val="00525DD1"/>
    <w:rsid w:val="00530CAA"/>
    <w:rsid w:val="0057207E"/>
    <w:rsid w:val="005A69DA"/>
    <w:rsid w:val="005B564F"/>
    <w:rsid w:val="005C2C6A"/>
    <w:rsid w:val="005C4BDD"/>
    <w:rsid w:val="005D279A"/>
    <w:rsid w:val="005F5096"/>
    <w:rsid w:val="006024F0"/>
    <w:rsid w:val="00606010"/>
    <w:rsid w:val="006820DF"/>
    <w:rsid w:val="00685298"/>
    <w:rsid w:val="006D425E"/>
    <w:rsid w:val="00765770"/>
    <w:rsid w:val="00800BEA"/>
    <w:rsid w:val="00802A63"/>
    <w:rsid w:val="00871EC6"/>
    <w:rsid w:val="00885666"/>
    <w:rsid w:val="008C74C5"/>
    <w:rsid w:val="00926409"/>
    <w:rsid w:val="009E2DDD"/>
    <w:rsid w:val="009E6180"/>
    <w:rsid w:val="00A2558C"/>
    <w:rsid w:val="00AA3EC6"/>
    <w:rsid w:val="00B5192D"/>
    <w:rsid w:val="00B536D0"/>
    <w:rsid w:val="00B76ABF"/>
    <w:rsid w:val="00B960DE"/>
    <w:rsid w:val="00BB3055"/>
    <w:rsid w:val="00BB41C4"/>
    <w:rsid w:val="00BD5FF9"/>
    <w:rsid w:val="00BE1338"/>
    <w:rsid w:val="00C763D2"/>
    <w:rsid w:val="00C95E17"/>
    <w:rsid w:val="00CC6AB9"/>
    <w:rsid w:val="00D0034C"/>
    <w:rsid w:val="00D56EBE"/>
    <w:rsid w:val="00D57F2A"/>
    <w:rsid w:val="00D752B5"/>
    <w:rsid w:val="00D7777B"/>
    <w:rsid w:val="00D81AB0"/>
    <w:rsid w:val="00D9272F"/>
    <w:rsid w:val="00D942EA"/>
    <w:rsid w:val="00DD1D4A"/>
    <w:rsid w:val="00E56417"/>
    <w:rsid w:val="00EA2FBB"/>
    <w:rsid w:val="00ED1E3D"/>
    <w:rsid w:val="00EF5537"/>
    <w:rsid w:val="00F11E34"/>
    <w:rsid w:val="00F343E4"/>
    <w:rsid w:val="00F57785"/>
    <w:rsid w:val="00F9611A"/>
    <w:rsid w:val="00FC5DB7"/>
    <w:rsid w:val="0161F21B"/>
    <w:rsid w:val="03F4924E"/>
    <w:rsid w:val="041F5816"/>
    <w:rsid w:val="0AD121BA"/>
    <w:rsid w:val="0D1473FF"/>
    <w:rsid w:val="0D875757"/>
    <w:rsid w:val="109F2C03"/>
    <w:rsid w:val="110B90CE"/>
    <w:rsid w:val="11FF53C1"/>
    <w:rsid w:val="1381FBC5"/>
    <w:rsid w:val="1658F018"/>
    <w:rsid w:val="177AD252"/>
    <w:rsid w:val="18E8E610"/>
    <w:rsid w:val="19851EBD"/>
    <w:rsid w:val="1AB27314"/>
    <w:rsid w:val="1AC2C3ED"/>
    <w:rsid w:val="1B8D0DAA"/>
    <w:rsid w:val="1C3B545A"/>
    <w:rsid w:val="1CBC7940"/>
    <w:rsid w:val="1F35B47B"/>
    <w:rsid w:val="20202FFC"/>
    <w:rsid w:val="209A0708"/>
    <w:rsid w:val="2129A21E"/>
    <w:rsid w:val="21AEEFF2"/>
    <w:rsid w:val="22C5727F"/>
    <w:rsid w:val="232BBAC4"/>
    <w:rsid w:val="26D7ADD7"/>
    <w:rsid w:val="277046D6"/>
    <w:rsid w:val="286B90B2"/>
    <w:rsid w:val="2A5B0651"/>
    <w:rsid w:val="2A8483F7"/>
    <w:rsid w:val="2BCD9F40"/>
    <w:rsid w:val="35520140"/>
    <w:rsid w:val="3A7DDF64"/>
    <w:rsid w:val="3CF0AE5A"/>
    <w:rsid w:val="3DAA0E09"/>
    <w:rsid w:val="3F980EA2"/>
    <w:rsid w:val="3FEA4A9E"/>
    <w:rsid w:val="41AAF720"/>
    <w:rsid w:val="430F7087"/>
    <w:rsid w:val="45CCAEE0"/>
    <w:rsid w:val="46BF7486"/>
    <w:rsid w:val="4703F56B"/>
    <w:rsid w:val="48B4DAA3"/>
    <w:rsid w:val="497606EB"/>
    <w:rsid w:val="4B1C0CFE"/>
    <w:rsid w:val="4BF10B8A"/>
    <w:rsid w:val="4C1E036E"/>
    <w:rsid w:val="503983B1"/>
    <w:rsid w:val="509E7C98"/>
    <w:rsid w:val="520EA0CA"/>
    <w:rsid w:val="543785E1"/>
    <w:rsid w:val="549D16E5"/>
    <w:rsid w:val="576F26A3"/>
    <w:rsid w:val="57B40AE6"/>
    <w:rsid w:val="580DDC28"/>
    <w:rsid w:val="58459155"/>
    <w:rsid w:val="58AA0F51"/>
    <w:rsid w:val="58F9AF5D"/>
    <w:rsid w:val="590AF704"/>
    <w:rsid w:val="5990842C"/>
    <w:rsid w:val="5D5D7046"/>
    <w:rsid w:val="5DA2BF84"/>
    <w:rsid w:val="5F3E8FE5"/>
    <w:rsid w:val="60DA6046"/>
    <w:rsid w:val="6273BE88"/>
    <w:rsid w:val="634E0DA2"/>
    <w:rsid w:val="63C406AA"/>
    <w:rsid w:val="64098438"/>
    <w:rsid w:val="65ADD169"/>
    <w:rsid w:val="667A3C47"/>
    <w:rsid w:val="6CD29991"/>
    <w:rsid w:val="6D10B719"/>
    <w:rsid w:val="70F87196"/>
    <w:rsid w:val="71A07F04"/>
    <w:rsid w:val="742824D2"/>
    <w:rsid w:val="746BBAFB"/>
    <w:rsid w:val="747838A4"/>
    <w:rsid w:val="75AB62B0"/>
    <w:rsid w:val="76B7B826"/>
    <w:rsid w:val="7A5CE4BF"/>
    <w:rsid w:val="7CE331AB"/>
    <w:rsid w:val="7DFC337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B9E3D"/>
  <w15:chartTrackingRefBased/>
  <w15:docId w15:val="{1232E4AF-B378-4CF8-B2AD-7D2D7D1F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9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0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5C4BD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D1E3D"/>
    <w:pPr>
      <w:spacing w:after="0" w:line="240" w:lineRule="auto"/>
    </w:pPr>
  </w:style>
  <w:style w:type="paragraph" w:styleId="ListParagraph">
    <w:name w:val="List Paragraph"/>
    <w:basedOn w:val="Normal"/>
    <w:uiPriority w:val="34"/>
    <w:qFormat/>
    <w:rsid w:val="00ED1E3D"/>
    <w:pPr>
      <w:ind w:left="720"/>
      <w:contextualSpacing/>
    </w:pPr>
  </w:style>
  <w:style w:type="character" w:customStyle="1" w:styleId="Heading4Char">
    <w:name w:val="Heading 4 Char"/>
    <w:basedOn w:val="DefaultParagraphFont"/>
    <w:link w:val="Heading4"/>
    <w:uiPriority w:val="9"/>
    <w:rsid w:val="005C4BDD"/>
    <w:rPr>
      <w:rFonts w:ascii="Times New Roman" w:eastAsia="Times New Roman" w:hAnsi="Times New Roman" w:cs="Times New Roman"/>
      <w:b/>
      <w:bCs/>
      <w:kern w:val="0"/>
      <w:sz w:val="24"/>
      <w:szCs w:val="24"/>
      <w:lang w:eastAsia="en-NZ"/>
      <w14:ligatures w14:val="none"/>
    </w:rPr>
  </w:style>
  <w:style w:type="paragraph" w:styleId="FootnoteText">
    <w:name w:val="footnote text"/>
    <w:basedOn w:val="Normal"/>
    <w:link w:val="FootnoteTextChar"/>
    <w:uiPriority w:val="99"/>
    <w:semiHidden/>
    <w:unhideWhenUsed/>
    <w:rsid w:val="005C4B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4BDD"/>
    <w:rPr>
      <w:sz w:val="20"/>
      <w:szCs w:val="20"/>
    </w:rPr>
  </w:style>
  <w:style w:type="character" w:styleId="FootnoteReference">
    <w:name w:val="footnote reference"/>
    <w:basedOn w:val="DefaultParagraphFont"/>
    <w:uiPriority w:val="99"/>
    <w:semiHidden/>
    <w:unhideWhenUsed/>
    <w:rsid w:val="005C4BDD"/>
    <w:rPr>
      <w:vertAlign w:val="superscript"/>
    </w:rPr>
  </w:style>
  <w:style w:type="character" w:styleId="Hyperlink">
    <w:name w:val="Hyperlink"/>
    <w:basedOn w:val="DefaultParagraphFont"/>
    <w:uiPriority w:val="99"/>
    <w:unhideWhenUsed/>
    <w:rsid w:val="005C4BDD"/>
    <w:rPr>
      <w:color w:val="0563C1" w:themeColor="hyperlink"/>
      <w:u w:val="single"/>
    </w:rPr>
  </w:style>
  <w:style w:type="character" w:styleId="UnresolvedMention">
    <w:name w:val="Unresolved Mention"/>
    <w:basedOn w:val="DefaultParagraphFont"/>
    <w:uiPriority w:val="99"/>
    <w:semiHidden/>
    <w:unhideWhenUsed/>
    <w:rsid w:val="005C4BDD"/>
    <w:rPr>
      <w:color w:val="605E5C"/>
      <w:shd w:val="clear" w:color="auto" w:fill="E1DFDD"/>
    </w:rPr>
  </w:style>
  <w:style w:type="character" w:customStyle="1" w:styleId="Heading1Char">
    <w:name w:val="Heading 1 Char"/>
    <w:basedOn w:val="DefaultParagraphFont"/>
    <w:link w:val="Heading1"/>
    <w:uiPriority w:val="9"/>
    <w:rsid w:val="005A69D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A6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69DA"/>
  </w:style>
  <w:style w:type="paragraph" w:styleId="Footer">
    <w:name w:val="footer"/>
    <w:basedOn w:val="Normal"/>
    <w:link w:val="FooterChar"/>
    <w:uiPriority w:val="99"/>
    <w:unhideWhenUsed/>
    <w:rsid w:val="005A6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69DA"/>
  </w:style>
  <w:style w:type="character" w:customStyle="1" w:styleId="Heading2Char">
    <w:name w:val="Heading 2 Char"/>
    <w:basedOn w:val="DefaultParagraphFont"/>
    <w:link w:val="Heading2"/>
    <w:uiPriority w:val="9"/>
    <w:rsid w:val="00B960DE"/>
    <w:rPr>
      <w:rFonts w:asciiTheme="majorHAnsi" w:eastAsiaTheme="majorEastAsia" w:hAnsiTheme="majorHAnsi" w:cstheme="majorBidi"/>
      <w:color w:val="2F5496"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TeThHauorahead1">
    <w:name w:val="Te Tāhū Hauora head 1"/>
    <w:basedOn w:val="Heading1"/>
    <w:qFormat/>
    <w:rsid w:val="000A5560"/>
    <w:pPr>
      <w:spacing w:before="360" w:after="240" w:line="240" w:lineRule="auto"/>
    </w:pPr>
    <w:rPr>
      <w:rFonts w:ascii="Arial" w:hAnsi="Arial" w:cs="Arial"/>
      <w:b/>
      <w:color w:val="293868"/>
      <w:kern w:val="0"/>
      <w14:ligatures w14:val="none"/>
    </w:rPr>
  </w:style>
  <w:style w:type="paragraph" w:customStyle="1" w:styleId="TeThHauorahead2">
    <w:name w:val="Te Tāhū Hauora head 2"/>
    <w:basedOn w:val="Heading2"/>
    <w:qFormat/>
    <w:rsid w:val="005128D9"/>
    <w:pPr>
      <w:spacing w:before="280" w:after="120" w:line="240" w:lineRule="auto"/>
    </w:pPr>
    <w:rPr>
      <w:rFonts w:ascii="Arial" w:hAnsi="Arial" w:cs="Arial"/>
      <w:b/>
      <w:i/>
      <w:color w:val="293868"/>
      <w:kern w:val="0"/>
      <w14:ligatures w14:val="none"/>
    </w:rPr>
  </w:style>
  <w:style w:type="paragraph" w:customStyle="1" w:styleId="TeThHauorabodytext">
    <w:name w:val="Te Tāhū Hauora body text"/>
    <w:basedOn w:val="Normal"/>
    <w:link w:val="TeThHauorabodytextChar"/>
    <w:qFormat/>
    <w:rsid w:val="00BD5FF9"/>
    <w:pPr>
      <w:spacing w:after="120" w:line="276" w:lineRule="auto"/>
    </w:pPr>
    <w:rPr>
      <w:rFonts w:ascii="Arial" w:hAnsi="Arial" w:cs="Arial"/>
      <w:kern w:val="0"/>
      <w14:ligatures w14:val="none"/>
    </w:rPr>
  </w:style>
  <w:style w:type="paragraph" w:customStyle="1" w:styleId="Bullet">
    <w:name w:val="Bullet"/>
    <w:basedOn w:val="TeThHauorabodytext"/>
    <w:link w:val="BulletChar"/>
    <w:qFormat/>
    <w:rsid w:val="00BD5FF9"/>
    <w:pPr>
      <w:numPr>
        <w:numId w:val="4"/>
      </w:numPr>
      <w:spacing w:after="60"/>
      <w:ind w:left="357" w:hanging="357"/>
    </w:pPr>
  </w:style>
  <w:style w:type="paragraph" w:customStyle="1" w:styleId="Bulletslast">
    <w:name w:val="Bullets last"/>
    <w:basedOn w:val="Bullet"/>
    <w:link w:val="BulletslastChar"/>
    <w:qFormat/>
    <w:rsid w:val="00BD5FF9"/>
    <w:pPr>
      <w:spacing w:after="120"/>
    </w:pPr>
  </w:style>
  <w:style w:type="character" w:customStyle="1" w:styleId="TeThHauorabodytextChar">
    <w:name w:val="Te Tāhū Hauora body text Char"/>
    <w:basedOn w:val="DefaultParagraphFont"/>
    <w:link w:val="TeThHauorabodytext"/>
    <w:rsid w:val="00BD5FF9"/>
    <w:rPr>
      <w:rFonts w:ascii="Arial" w:hAnsi="Arial" w:cs="Arial"/>
      <w:kern w:val="0"/>
      <w14:ligatures w14:val="none"/>
    </w:rPr>
  </w:style>
  <w:style w:type="character" w:customStyle="1" w:styleId="BulletChar">
    <w:name w:val="Bullet Char"/>
    <w:basedOn w:val="TeThHauorabodytextChar"/>
    <w:link w:val="Bullet"/>
    <w:rsid w:val="00BD5FF9"/>
    <w:rPr>
      <w:rFonts w:ascii="Arial" w:hAnsi="Arial" w:cs="Arial"/>
      <w:kern w:val="0"/>
      <w14:ligatures w14:val="none"/>
    </w:rPr>
  </w:style>
  <w:style w:type="character" w:customStyle="1" w:styleId="BulletslastChar">
    <w:name w:val="Bullets last Char"/>
    <w:basedOn w:val="BulletChar"/>
    <w:link w:val="Bulletslast"/>
    <w:rsid w:val="00BD5FF9"/>
    <w:rPr>
      <w:rFonts w:ascii="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429">
      <w:bodyDiv w:val="1"/>
      <w:marLeft w:val="0"/>
      <w:marRight w:val="0"/>
      <w:marTop w:val="0"/>
      <w:marBottom w:val="0"/>
      <w:divBdr>
        <w:top w:val="none" w:sz="0" w:space="0" w:color="auto"/>
        <w:left w:val="none" w:sz="0" w:space="0" w:color="auto"/>
        <w:bottom w:val="none" w:sz="0" w:space="0" w:color="auto"/>
        <w:right w:val="none" w:sz="0" w:space="0" w:color="auto"/>
      </w:divBdr>
    </w:div>
    <w:div w:id="1288707737">
      <w:bodyDiv w:val="1"/>
      <w:marLeft w:val="0"/>
      <w:marRight w:val="0"/>
      <w:marTop w:val="0"/>
      <w:marBottom w:val="0"/>
      <w:divBdr>
        <w:top w:val="none" w:sz="0" w:space="0" w:color="auto"/>
        <w:left w:val="none" w:sz="0" w:space="0" w:color="auto"/>
        <w:bottom w:val="none" w:sz="0" w:space="0" w:color="auto"/>
        <w:right w:val="none" w:sz="0" w:space="0" w:color="auto"/>
      </w:divBdr>
    </w:div>
    <w:div w:id="1317685534">
      <w:bodyDiv w:val="1"/>
      <w:marLeft w:val="0"/>
      <w:marRight w:val="0"/>
      <w:marTop w:val="0"/>
      <w:marBottom w:val="0"/>
      <w:divBdr>
        <w:top w:val="none" w:sz="0" w:space="0" w:color="auto"/>
        <w:left w:val="none" w:sz="0" w:space="0" w:color="auto"/>
        <w:bottom w:val="none" w:sz="0" w:space="0" w:color="auto"/>
        <w:right w:val="none" w:sz="0" w:space="0" w:color="auto"/>
      </w:divBdr>
    </w:div>
    <w:div w:id="21256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privacy.org.nz/privacy-act-2020/codes-of-practice/hipc2020/hipc-factsheet-1-overview/" TargetMode="External"/><Relationship Id="rId2" Type="http://schemas.openxmlformats.org/officeDocument/2006/relationships/hyperlink" Target="https://privacy.org.nz/privacy-act-2020/codes-of-practice/hipc2020/" TargetMode="External"/><Relationship Id="rId1" Type="http://schemas.openxmlformats.org/officeDocument/2006/relationships/hyperlink" Target="http://www.hqsc.govt.nz/resources/resource-library/national-adverse-event-policy-2023" TargetMode="External"/><Relationship Id="rId4" Type="http://schemas.openxmlformats.org/officeDocument/2006/relationships/hyperlink" Target="https://www.hdc.org.nz/making-a-complaint/complaint-process/guidance-on-open-disclosure-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_dlc_DocId xmlns="bef9904b-9bca-4a1b-aca3-78dad2044d15">DOCS-585337998-34783</_dlc_DocId>
    <_dlc_DocIdUrl xmlns="bef9904b-9bca-4a1b-aca3-78dad2044d15">
      <Url>https://hqsc.sharepoint.com/sites/dms-programmes/_layouts/15/DocIdRedir.aspx?ID=DOCS-585337998-34783</Url>
      <Description>DOCS-585337998-34783</Description>
    </_dlc_DocIdUrl>
    <SharedWithUsers xmlns="bef9904b-9bca-4a1b-aca3-78dad2044d15">
      <UserInfo>
        <DisplayName>Jocasta Whittingham</DisplayName>
        <AccountId>38</AccountId>
        <AccountType/>
      </UserInfo>
      <UserInfo>
        <DisplayName>Kat Lawrie</DisplayName>
        <AccountId>32</AccountId>
        <AccountType/>
      </UserInfo>
    </SharedWithUsers>
    <lcf76f155ced4ddcb4097134ff3c332f xmlns="83c1f819-1d2e-4aad-8c9d-234667bc50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43E1B8698701A45A5408FB75B1B86C4" ma:contentTypeVersion="14" ma:contentTypeDescription="Create a new document." ma:contentTypeScope="" ma:versionID="581dee2d707ec42ce140d6696b4d49c8">
  <xsd:schema xmlns:xsd="http://www.w3.org/2001/XMLSchema" xmlns:xs="http://www.w3.org/2001/XMLSchema" xmlns:p="http://schemas.microsoft.com/office/2006/metadata/properties" xmlns:ns2="bef9904b-9bca-4a1b-aca3-78dad2044d15" xmlns:ns3="83c1f819-1d2e-4aad-8c9d-234667bc5029" targetNamespace="http://schemas.microsoft.com/office/2006/metadata/properties" ma:root="true" ma:fieldsID="d76d87e9865eacd9391a237c5316e563" ns2:_="" ns3:_="">
    <xsd:import namespace="bef9904b-9bca-4a1b-aca3-78dad2044d15"/>
    <xsd:import namespace="83c1f819-1d2e-4aad-8c9d-234667bc50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4db9ff5-9934-4329-8878-4e2d029385bb}"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c1f819-1d2e-4aad-8c9d-234667bc50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611DD-C9EB-40E7-B21B-4C5AACC53BD1}">
  <ds:schemaRefs>
    <ds:schemaRef ds:uri="http://schemas.microsoft.com/sharepoint/v3/contenttype/forms"/>
  </ds:schemaRefs>
</ds:datastoreItem>
</file>

<file path=customXml/itemProps2.xml><?xml version="1.0" encoding="utf-8"?>
<ds:datastoreItem xmlns:ds="http://schemas.openxmlformats.org/officeDocument/2006/customXml" ds:itemID="{489F9AD4-428B-4365-A61B-5F1CEFF60C1D}">
  <ds:schemaRefs>
    <ds:schemaRef ds:uri="http://schemas.microsoft.com/office/2006/metadata/properties"/>
    <ds:schemaRef ds:uri="http://schemas.microsoft.com/office/infopath/2007/PartnerControls"/>
    <ds:schemaRef ds:uri="bef9904b-9bca-4a1b-aca3-78dad2044d15"/>
    <ds:schemaRef ds:uri="83c1f819-1d2e-4aad-8c9d-234667bc5029"/>
  </ds:schemaRefs>
</ds:datastoreItem>
</file>

<file path=customXml/itemProps3.xml><?xml version="1.0" encoding="utf-8"?>
<ds:datastoreItem xmlns:ds="http://schemas.openxmlformats.org/officeDocument/2006/customXml" ds:itemID="{559F7823-BD37-487B-9AAB-C7262C253937}">
  <ds:schemaRefs>
    <ds:schemaRef ds:uri="http://schemas.openxmlformats.org/officeDocument/2006/bibliography"/>
  </ds:schemaRefs>
</ds:datastoreItem>
</file>

<file path=customXml/itemProps4.xml><?xml version="1.0" encoding="utf-8"?>
<ds:datastoreItem xmlns:ds="http://schemas.openxmlformats.org/officeDocument/2006/customXml" ds:itemID="{0B54477C-9FF1-4393-8625-3AE5A284AEA6}">
  <ds:schemaRefs>
    <ds:schemaRef ds:uri="http://schemas.microsoft.com/sharepoint/events"/>
  </ds:schemaRefs>
</ds:datastoreItem>
</file>

<file path=customXml/itemProps5.xml><?xml version="1.0" encoding="utf-8"?>
<ds:datastoreItem xmlns:ds="http://schemas.openxmlformats.org/officeDocument/2006/customXml" ds:itemID="{015BB230-D03C-4E77-A4F6-81FFB8ED6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9904b-9bca-4a1b-aca3-78dad2044d15"/>
    <ds:schemaRef ds:uri="83c1f819-1d2e-4aad-8c9d-234667bc5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1472</Words>
  <Characters>8392</Characters>
  <Application>Microsoft Office Word</Application>
  <DocSecurity>0</DocSecurity>
  <Lines>69</Lines>
  <Paragraphs>19</Paragraphs>
  <ScaleCrop>false</ScaleCrop>
  <Company>Health Quality Safety Commission</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Mitchell</dc:creator>
  <cp:keywords/>
  <dc:description/>
  <cp:lastModifiedBy>Jocasta Whittingham</cp:lastModifiedBy>
  <cp:revision>2</cp:revision>
  <cp:lastPrinted>2023-06-28T22:17:00Z</cp:lastPrinted>
  <dcterms:created xsi:type="dcterms:W3CDTF">2023-06-28T22:18:00Z</dcterms:created>
  <dcterms:modified xsi:type="dcterms:W3CDTF">2023-06-28T22:18:00Z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0x010100843E1B8698701A45A5408FB75B1B86C4</vt:lpwstr>
  </property>
  <property fmtid="{D5CDD505-2E9C-101B-9397-08002B2CF9AE}" pid="3" name="_dlc_DocIdItemGuid">
    <vt:lpwstr>7233a82c-d3b7-4719-af70-8fd835b1f901</vt:lpwstr>
  </property>
  <property fmtid="{D5CDD505-2E9C-101B-9397-08002B2CF9AE}" pid="4" name="MediaServiceImageTags">
    <vt:lpwstr/>
  </property>
</Properties>
</file>