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8CA71" w14:textId="221746B3" w:rsidR="00C734B2" w:rsidRDefault="00C734B2" w:rsidP="0047186E">
      <w:pPr>
        <w:ind w:left="-426" w:right="-188"/>
        <w:rPr>
          <w:rFonts w:cs="Arial"/>
          <w:b/>
          <w:sz w:val="32"/>
          <w:szCs w:val="40"/>
          <w:lang w:eastAsia="en-US"/>
        </w:rPr>
      </w:pPr>
      <w:r>
        <w:rPr>
          <w:rFonts w:cs="Arial"/>
          <w:b/>
          <w:noProof/>
          <w:sz w:val="32"/>
          <w:szCs w:val="40"/>
          <w:lang w:eastAsia="en-NZ"/>
        </w:rPr>
        <w:drawing>
          <wp:anchor distT="0" distB="0" distL="114300" distR="114300" simplePos="0" relativeHeight="251658240" behindDoc="1" locked="0" layoutInCell="1" allowOverlap="1" wp14:anchorId="09C59712" wp14:editId="53707DAC">
            <wp:simplePos x="0" y="0"/>
            <wp:positionH relativeFrom="margin">
              <wp:align>right</wp:align>
            </wp:positionH>
            <wp:positionV relativeFrom="paragraph">
              <wp:posOffset>211</wp:posOffset>
            </wp:positionV>
            <wp:extent cx="2160000" cy="638810"/>
            <wp:effectExtent l="0" t="0" r="0" b="8890"/>
            <wp:wrapTight wrapText="bothSides">
              <wp:wrapPolygon edited="0">
                <wp:start x="0" y="0"/>
                <wp:lineTo x="0" y="21256"/>
                <wp:lineTo x="21340" y="21256"/>
                <wp:lineTo x="213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QSC_LOGO_FullVersion_jpe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5ECA6" w14:textId="61135D65" w:rsidR="00C734B2" w:rsidRDefault="00C734B2" w:rsidP="0047186E">
      <w:pPr>
        <w:ind w:left="-426" w:right="-188"/>
        <w:rPr>
          <w:rFonts w:cs="Arial"/>
          <w:b/>
          <w:sz w:val="32"/>
          <w:szCs w:val="40"/>
          <w:lang w:eastAsia="en-US"/>
        </w:rPr>
      </w:pPr>
    </w:p>
    <w:p w14:paraId="36424397" w14:textId="77777777" w:rsidR="00C734B2" w:rsidRDefault="00C734B2" w:rsidP="0047186E">
      <w:pPr>
        <w:ind w:left="-426" w:right="-188"/>
        <w:rPr>
          <w:rFonts w:cs="Arial"/>
          <w:b/>
          <w:sz w:val="32"/>
          <w:szCs w:val="40"/>
          <w:lang w:eastAsia="en-US"/>
        </w:rPr>
      </w:pPr>
    </w:p>
    <w:p w14:paraId="2A356054" w14:textId="07798C1F" w:rsidR="00391C87" w:rsidRPr="00C136F7" w:rsidRDefault="000D3F3F" w:rsidP="0047186E">
      <w:pPr>
        <w:ind w:left="-426" w:right="-188"/>
        <w:rPr>
          <w:rFonts w:cs="Arial"/>
          <w:b/>
          <w:sz w:val="32"/>
          <w:szCs w:val="40"/>
          <w:lang w:eastAsia="en-US"/>
        </w:rPr>
      </w:pPr>
      <w:r>
        <w:rPr>
          <w:rFonts w:cs="Arial"/>
          <w:b/>
          <w:sz w:val="32"/>
          <w:szCs w:val="40"/>
          <w:lang w:eastAsia="en-US"/>
        </w:rPr>
        <w:br/>
      </w:r>
      <w:bookmarkStart w:id="0" w:name="_GoBack"/>
      <w:r w:rsidRPr="000D3F3F">
        <w:rPr>
          <w:rFonts w:cs="Arial"/>
          <w:b/>
          <w:sz w:val="32"/>
          <w:szCs w:val="40"/>
          <w:lang w:eastAsia="en-US"/>
        </w:rPr>
        <w:t>Quality check for adverse event analysis (SAC 1 and 2)</w:t>
      </w:r>
    </w:p>
    <w:bookmarkEnd w:id="0"/>
    <w:p w14:paraId="5CBD51A1" w14:textId="77777777" w:rsidR="00391C87" w:rsidRPr="00C136F7" w:rsidRDefault="00391C87" w:rsidP="0047186E">
      <w:pPr>
        <w:ind w:left="-426" w:right="-188"/>
        <w:rPr>
          <w:rFonts w:cs="Arial"/>
          <w:b/>
          <w:i/>
          <w:sz w:val="18"/>
          <w:szCs w:val="18"/>
          <w:lang w:eastAsia="en-US"/>
        </w:rPr>
      </w:pPr>
    </w:p>
    <w:p w14:paraId="65F16288" w14:textId="5DFD4E49" w:rsidR="00391C87" w:rsidRPr="00C734B2" w:rsidRDefault="000D3F3F" w:rsidP="0047186E">
      <w:pPr>
        <w:ind w:left="-426" w:right="-188"/>
        <w:rPr>
          <w:rFonts w:cs="Arial"/>
          <w:b/>
          <w:i/>
          <w:szCs w:val="22"/>
          <w:lang w:eastAsia="en-US"/>
        </w:rPr>
      </w:pPr>
      <w:r w:rsidRPr="000D3F3F">
        <w:rPr>
          <w:rFonts w:cs="Arial"/>
          <w:b/>
          <w:i/>
          <w:szCs w:val="22"/>
          <w:lang w:eastAsia="en-US"/>
        </w:rPr>
        <w:t xml:space="preserve">Purpose: To </w:t>
      </w:r>
      <w:r w:rsidR="009A0CD9">
        <w:rPr>
          <w:rFonts w:cs="Arial"/>
          <w:b/>
          <w:i/>
          <w:szCs w:val="22"/>
          <w:lang w:eastAsia="en-US"/>
        </w:rPr>
        <w:t>help</w:t>
      </w:r>
      <w:r w:rsidRPr="000D3F3F">
        <w:rPr>
          <w:rFonts w:cs="Arial"/>
          <w:b/>
          <w:i/>
          <w:szCs w:val="22"/>
          <w:lang w:eastAsia="en-US"/>
        </w:rPr>
        <w:t xml:space="preserve"> providers critique their own adverse events reviews to improve the quality of review processes and learning from adverse events</w:t>
      </w:r>
      <w:r w:rsidR="009A0CD9">
        <w:rPr>
          <w:rFonts w:cs="Arial"/>
          <w:b/>
          <w:i/>
          <w:szCs w:val="22"/>
          <w:lang w:eastAsia="en-US"/>
        </w:rPr>
        <w:t>.</w:t>
      </w:r>
    </w:p>
    <w:p w14:paraId="785DDB76" w14:textId="77777777" w:rsidR="00391C87" w:rsidRPr="00C136F7" w:rsidRDefault="00391C87" w:rsidP="0047186E">
      <w:pPr>
        <w:ind w:left="-426" w:right="-188"/>
        <w:rPr>
          <w:rFonts w:cs="Arial"/>
          <w:sz w:val="20"/>
          <w:lang w:eastAsia="en-US"/>
        </w:rPr>
      </w:pPr>
    </w:p>
    <w:tbl>
      <w:tblPr>
        <w:tblStyle w:val="TableGrid"/>
        <w:tblW w:w="1445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406"/>
        <w:gridCol w:w="3260"/>
        <w:gridCol w:w="1134"/>
        <w:gridCol w:w="3686"/>
        <w:gridCol w:w="3969"/>
      </w:tblGrid>
      <w:tr w:rsidR="000D3F3F" w:rsidRPr="00D16685" w14:paraId="3BD6AE75" w14:textId="61126DD9" w:rsidTr="00D16685">
        <w:trPr>
          <w:trHeight w:val="472"/>
        </w:trPr>
        <w:tc>
          <w:tcPr>
            <w:tcW w:w="2406" w:type="dxa"/>
            <w:vAlign w:val="center"/>
          </w:tcPr>
          <w:p w14:paraId="1C5FC6A5" w14:textId="4F7CE7CA" w:rsidR="000D3F3F" w:rsidRPr="00D16685" w:rsidRDefault="000D3F3F" w:rsidP="00D16685">
            <w:pPr>
              <w:spacing w:before="60" w:after="60" w:line="240" w:lineRule="auto"/>
              <w:ind w:right="89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D16685">
              <w:rPr>
                <w:rFonts w:cs="Arial"/>
                <w:b/>
                <w:szCs w:val="22"/>
              </w:rPr>
              <w:t>Component</w:t>
            </w:r>
          </w:p>
        </w:tc>
        <w:tc>
          <w:tcPr>
            <w:tcW w:w="3260" w:type="dxa"/>
            <w:vAlign w:val="center"/>
          </w:tcPr>
          <w:p w14:paraId="21545892" w14:textId="6DAD7002" w:rsidR="000D3F3F" w:rsidRPr="00D16685" w:rsidRDefault="000D3F3F" w:rsidP="00D16685">
            <w:pPr>
              <w:spacing w:before="60" w:after="60" w:line="240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D16685">
              <w:rPr>
                <w:rFonts w:cs="Arial"/>
                <w:b/>
                <w:szCs w:val="22"/>
              </w:rPr>
              <w:t>Criteria definition</w:t>
            </w:r>
          </w:p>
        </w:tc>
        <w:tc>
          <w:tcPr>
            <w:tcW w:w="1134" w:type="dxa"/>
            <w:vAlign w:val="center"/>
          </w:tcPr>
          <w:p w14:paraId="499A3028" w14:textId="1EB63D90" w:rsidR="000D3F3F" w:rsidRPr="00D16685" w:rsidRDefault="00CB0D14" w:rsidP="00D16685">
            <w:pPr>
              <w:spacing w:before="60" w:after="60" w:line="240" w:lineRule="auto"/>
              <w:ind w:right="40"/>
              <w:jc w:val="center"/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</w:rPr>
              <w:t>Yes/No/N/A</w:t>
            </w:r>
          </w:p>
        </w:tc>
        <w:tc>
          <w:tcPr>
            <w:tcW w:w="3686" w:type="dxa"/>
            <w:vAlign w:val="center"/>
          </w:tcPr>
          <w:p w14:paraId="13D7B2FF" w14:textId="5B61CAA2" w:rsidR="000D3F3F" w:rsidRPr="00D16685" w:rsidRDefault="000D3F3F" w:rsidP="00D16685">
            <w:pPr>
              <w:spacing w:before="60" w:after="60" w:line="240" w:lineRule="auto"/>
              <w:ind w:right="85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D16685">
              <w:rPr>
                <w:rFonts w:cs="Arial"/>
                <w:b/>
                <w:szCs w:val="22"/>
              </w:rPr>
              <w:t>Comments</w:t>
            </w:r>
          </w:p>
        </w:tc>
        <w:tc>
          <w:tcPr>
            <w:tcW w:w="3969" w:type="dxa"/>
            <w:vAlign w:val="center"/>
          </w:tcPr>
          <w:p w14:paraId="1B0D0EAD" w14:textId="4FB43BA2" w:rsidR="000D3F3F" w:rsidRPr="00D16685" w:rsidRDefault="000D3F3F" w:rsidP="00D16685">
            <w:pPr>
              <w:spacing w:before="60" w:after="60" w:line="240" w:lineRule="auto"/>
              <w:ind w:right="132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D16685">
              <w:rPr>
                <w:rFonts w:cs="Arial"/>
                <w:b/>
                <w:szCs w:val="22"/>
              </w:rPr>
              <w:t>Rationale for criteria</w:t>
            </w:r>
          </w:p>
        </w:tc>
      </w:tr>
      <w:tr w:rsidR="000D3F3F" w:rsidRPr="00D16685" w14:paraId="75FB0607" w14:textId="2634A036" w:rsidTr="00D16685">
        <w:tc>
          <w:tcPr>
            <w:tcW w:w="2406" w:type="dxa"/>
          </w:tcPr>
          <w:p w14:paraId="35EF9B0B" w14:textId="746FC12E" w:rsidR="000D3F3F" w:rsidRPr="00D16685" w:rsidRDefault="000D3F3F" w:rsidP="00D16685">
            <w:pPr>
              <w:pStyle w:val="templateboxtable"/>
            </w:pPr>
            <w:r w:rsidRPr="00D16685">
              <w:t>Methodology used</w:t>
            </w:r>
          </w:p>
        </w:tc>
        <w:tc>
          <w:tcPr>
            <w:tcW w:w="3260" w:type="dxa"/>
          </w:tcPr>
          <w:p w14:paraId="71BBB303" w14:textId="488C5C0D" w:rsidR="000D3F3F" w:rsidRPr="00D16685" w:rsidRDefault="000D3F3F" w:rsidP="00D16685">
            <w:pPr>
              <w:pStyle w:val="templateboxtable"/>
            </w:pPr>
            <w:r w:rsidRPr="00D16685">
              <w:t>Systematic analysis method/type used</w:t>
            </w:r>
            <w:r w:rsidR="00D16685">
              <w:t>, eg,</w:t>
            </w:r>
            <w:r w:rsidRPr="00D16685">
              <w:t xml:space="preserve"> root cause analysis, London protocol, serious event analysis, critical systems analysis</w:t>
            </w:r>
            <w:r w:rsidR="004B054D">
              <w:t>.</w:t>
            </w:r>
          </w:p>
          <w:p w14:paraId="48CF5D25" w14:textId="4D97A163" w:rsidR="000D3F3F" w:rsidRPr="00D16685" w:rsidRDefault="000D3F3F" w:rsidP="00D16685">
            <w:pPr>
              <w:pStyle w:val="templateboxtable"/>
            </w:pPr>
            <w:r w:rsidRPr="00D16685">
              <w:t>Human factors framework utilised</w:t>
            </w:r>
            <w:r w:rsidR="004B054D">
              <w:t>.</w:t>
            </w:r>
          </w:p>
          <w:p w14:paraId="441BB4FC" w14:textId="4F5C216C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  <w:r w:rsidRPr="00D16685">
              <w:t>Other review used</w:t>
            </w:r>
            <w:r w:rsidR="00D16685">
              <w:t>, eg,</w:t>
            </w:r>
            <w:r w:rsidRPr="00D16685">
              <w:t xml:space="preserve"> mortality and morbidity review</w:t>
            </w:r>
            <w:r w:rsidR="004B054D">
              <w:t>.</w:t>
            </w:r>
          </w:p>
        </w:tc>
        <w:tc>
          <w:tcPr>
            <w:tcW w:w="1134" w:type="dxa"/>
          </w:tcPr>
          <w:p w14:paraId="6A28E4B3" w14:textId="032D2BF9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41ECE95D" w14:textId="76FCB0CB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969" w:type="dxa"/>
          </w:tcPr>
          <w:p w14:paraId="6CFC9013" w14:textId="22AE4320" w:rsidR="000D3F3F" w:rsidRPr="00D16685" w:rsidRDefault="000D3F3F" w:rsidP="00D16685">
            <w:pPr>
              <w:pStyle w:val="templateboxtable"/>
            </w:pPr>
            <w:r w:rsidRPr="00D16685">
              <w:t>The National Adverse Events Reporting Policy 2017, section 8.4</w:t>
            </w:r>
            <w:r w:rsidR="004B054D">
              <w:t>,</w:t>
            </w:r>
            <w:r w:rsidRPr="00D16685">
              <w:t xml:space="preserve"> page 5 states that formal review is undertaken for SAC 1 and 2 rated adverse events</w:t>
            </w:r>
            <w:r w:rsidR="00EF102E">
              <w:t>.</w:t>
            </w:r>
            <w:r w:rsidR="00471C66">
              <w:rPr>
                <w:rStyle w:val="FootnoteReference"/>
              </w:rPr>
              <w:footnoteReference w:id="1"/>
            </w:r>
          </w:p>
          <w:p w14:paraId="4BF2FC67" w14:textId="3B30AE8D" w:rsidR="000D3F3F" w:rsidRPr="00D16685" w:rsidRDefault="000D3F3F" w:rsidP="00EF102E">
            <w:pPr>
              <w:pStyle w:val="templateboxtable"/>
              <w:rPr>
                <w:b/>
                <w:lang w:eastAsia="en-US"/>
              </w:rPr>
            </w:pPr>
            <w:r w:rsidRPr="00D16685">
              <w:t>The human factors categories</w:t>
            </w:r>
            <w:r w:rsidR="004B054D">
              <w:t>,</w:t>
            </w:r>
            <w:r w:rsidRPr="00D16685">
              <w:t xml:space="preserve"> such as communication, training, fatigue, scheduling, environment, rules, policy and barriers</w:t>
            </w:r>
            <w:r w:rsidR="004B054D">
              <w:t>,</w:t>
            </w:r>
            <w:r w:rsidRPr="00D16685">
              <w:t xml:space="preserve"> help</w:t>
            </w:r>
            <w:r w:rsidR="004B054D">
              <w:t xml:space="preserve"> to</w:t>
            </w:r>
            <w:r w:rsidRPr="00D16685">
              <w:t xml:space="preserve"> identify the human interaction that may have contributed to the patient harm</w:t>
            </w:r>
            <w:r w:rsidR="00EF102E">
              <w:t>.</w:t>
            </w:r>
            <w:r w:rsidR="00471C66">
              <w:rPr>
                <w:rStyle w:val="FootnoteReference"/>
              </w:rPr>
              <w:footnoteReference w:id="2"/>
            </w:r>
          </w:p>
        </w:tc>
      </w:tr>
      <w:tr w:rsidR="000D3F3F" w:rsidRPr="00D16685" w14:paraId="137E111C" w14:textId="77777777" w:rsidTr="00D16685">
        <w:tc>
          <w:tcPr>
            <w:tcW w:w="2406" w:type="dxa"/>
          </w:tcPr>
          <w:p w14:paraId="63BC24D7" w14:textId="66632AEC" w:rsidR="000D3F3F" w:rsidRPr="00D16685" w:rsidRDefault="000D3F3F" w:rsidP="00D16685">
            <w:pPr>
              <w:pStyle w:val="templateboxtable"/>
            </w:pPr>
            <w:r w:rsidRPr="00D16685">
              <w:t>Open disclosure</w:t>
            </w:r>
          </w:p>
        </w:tc>
        <w:tc>
          <w:tcPr>
            <w:tcW w:w="3260" w:type="dxa"/>
          </w:tcPr>
          <w:p w14:paraId="05729214" w14:textId="46E434F0" w:rsidR="000D3F3F" w:rsidRPr="00D16685" w:rsidRDefault="000D3F3F" w:rsidP="00D16685">
            <w:pPr>
              <w:pStyle w:val="templateboxtable"/>
            </w:pPr>
            <w:r w:rsidRPr="00D16685">
              <w:t>Patient</w:t>
            </w:r>
            <w:r w:rsidR="00CB0D14">
              <w:t xml:space="preserve"> and family/</w:t>
            </w:r>
            <w:r w:rsidRPr="00D16685">
              <w:t xml:space="preserve">whānau are informed of and offered the </w:t>
            </w:r>
            <w:r w:rsidRPr="00D16685">
              <w:lastRenderedPageBreak/>
              <w:t>opportunity to provide information to the review team</w:t>
            </w:r>
            <w:r w:rsidR="004B054D">
              <w:t>.</w:t>
            </w:r>
          </w:p>
          <w:p w14:paraId="2F07E5C7" w14:textId="303E036E" w:rsidR="000D3F3F" w:rsidRPr="00D16685" w:rsidRDefault="000D3F3F" w:rsidP="00D16685">
            <w:pPr>
              <w:pStyle w:val="templateboxtable"/>
            </w:pPr>
            <w:r w:rsidRPr="00D16685">
              <w:t>Timeframe for sharing outcome of review is provided</w:t>
            </w:r>
            <w:r w:rsidR="004B054D">
              <w:t>.</w:t>
            </w:r>
          </w:p>
          <w:p w14:paraId="43DE26B2" w14:textId="4DF9896E" w:rsidR="00CB0D14" w:rsidRPr="00CB0D14" w:rsidRDefault="00CB0D14" w:rsidP="00D16685">
            <w:pPr>
              <w:pStyle w:val="templateboxtable"/>
            </w:pPr>
            <w:r w:rsidRPr="00CB0D14">
              <w:t>The report offers an apology and condolences if death has occurred.</w:t>
            </w:r>
          </w:p>
        </w:tc>
        <w:tc>
          <w:tcPr>
            <w:tcW w:w="1134" w:type="dxa"/>
          </w:tcPr>
          <w:p w14:paraId="3C7F454B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799224C9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969" w:type="dxa"/>
          </w:tcPr>
          <w:p w14:paraId="769A2B5A" w14:textId="2F354E32" w:rsidR="000D3F3F" w:rsidRPr="00D16685" w:rsidRDefault="000D3F3F" w:rsidP="00441CD1">
            <w:pPr>
              <w:pStyle w:val="templateboxtable"/>
            </w:pPr>
            <w:r w:rsidRPr="00D16685">
              <w:t xml:space="preserve">Timely information is crucial and demonstrates respect </w:t>
            </w:r>
            <w:r w:rsidR="004B054D">
              <w:t>to patients,</w:t>
            </w:r>
            <w:r w:rsidRPr="00D16685">
              <w:t xml:space="preserve"> families </w:t>
            </w:r>
            <w:r w:rsidR="004B054D">
              <w:t>and whānau</w:t>
            </w:r>
            <w:r w:rsidR="00441CD1">
              <w:t>.</w:t>
            </w:r>
            <w:r w:rsidR="00471C66">
              <w:rPr>
                <w:rStyle w:val="FootnoteReference"/>
              </w:rPr>
              <w:footnoteReference w:id="3"/>
            </w:r>
          </w:p>
        </w:tc>
      </w:tr>
      <w:tr w:rsidR="000D3F3F" w:rsidRPr="00D16685" w14:paraId="049AA26D" w14:textId="77777777" w:rsidTr="00D16685">
        <w:tc>
          <w:tcPr>
            <w:tcW w:w="2406" w:type="dxa"/>
          </w:tcPr>
          <w:p w14:paraId="59ADBD58" w14:textId="603ACBEF" w:rsidR="000D3F3F" w:rsidRPr="00D16685" w:rsidRDefault="000D3F3F" w:rsidP="00D16685">
            <w:pPr>
              <w:pStyle w:val="templateboxtable"/>
            </w:pPr>
            <w:r w:rsidRPr="00D16685">
              <w:t>Patient profile</w:t>
            </w:r>
          </w:p>
        </w:tc>
        <w:tc>
          <w:tcPr>
            <w:tcW w:w="3260" w:type="dxa"/>
          </w:tcPr>
          <w:p w14:paraId="6A177483" w14:textId="11AB78DA" w:rsidR="000D3F3F" w:rsidRPr="00D16685" w:rsidRDefault="000D3F3F" w:rsidP="00D16685">
            <w:pPr>
              <w:pStyle w:val="templateboxtable"/>
            </w:pPr>
            <w:r w:rsidRPr="00D16685">
              <w:t>Patient details</w:t>
            </w:r>
            <w:r w:rsidR="004B054D">
              <w:t xml:space="preserve"> are</w:t>
            </w:r>
            <w:r w:rsidRPr="00D16685">
              <w:t xml:space="preserve"> documented:</w:t>
            </w:r>
          </w:p>
          <w:p w14:paraId="20DDA4C0" w14:textId="77777777" w:rsidR="000D3F3F" w:rsidRPr="00D16685" w:rsidRDefault="000D3F3F" w:rsidP="004B054D">
            <w:pPr>
              <w:pStyle w:val="templateboxtable"/>
              <w:numPr>
                <w:ilvl w:val="0"/>
                <w:numId w:val="5"/>
              </w:numPr>
              <w:spacing w:after="40"/>
              <w:ind w:left="357" w:hanging="357"/>
            </w:pPr>
            <w:r w:rsidRPr="00D16685">
              <w:t>age</w:t>
            </w:r>
          </w:p>
          <w:p w14:paraId="72062773" w14:textId="77777777" w:rsidR="000D3F3F" w:rsidRPr="00D16685" w:rsidRDefault="000D3F3F" w:rsidP="004B054D">
            <w:pPr>
              <w:pStyle w:val="templateboxtable"/>
              <w:numPr>
                <w:ilvl w:val="0"/>
                <w:numId w:val="5"/>
              </w:numPr>
              <w:spacing w:after="40"/>
              <w:ind w:left="357" w:hanging="357"/>
            </w:pPr>
            <w:r w:rsidRPr="00D16685">
              <w:t>sex</w:t>
            </w:r>
          </w:p>
          <w:p w14:paraId="71244E7A" w14:textId="77777777" w:rsidR="000D3F3F" w:rsidRPr="00D16685" w:rsidRDefault="000D3F3F" w:rsidP="004B054D">
            <w:pPr>
              <w:pStyle w:val="templateboxtable"/>
              <w:numPr>
                <w:ilvl w:val="0"/>
                <w:numId w:val="5"/>
              </w:numPr>
              <w:spacing w:after="40"/>
              <w:ind w:left="357" w:hanging="357"/>
            </w:pPr>
            <w:r w:rsidRPr="00D16685">
              <w:t>medical history</w:t>
            </w:r>
          </w:p>
          <w:p w14:paraId="7945B0A2" w14:textId="47B62CE8" w:rsidR="000D3F3F" w:rsidRPr="00D16685" w:rsidRDefault="000D3F3F" w:rsidP="007E0081">
            <w:pPr>
              <w:pStyle w:val="templateboxtable"/>
              <w:numPr>
                <w:ilvl w:val="0"/>
                <w:numId w:val="5"/>
              </w:numPr>
            </w:pPr>
            <w:r w:rsidRPr="00D16685">
              <w:t>ethnicity</w:t>
            </w:r>
            <w:r w:rsidR="004B054D">
              <w:t>.</w:t>
            </w:r>
            <w:r w:rsidRPr="00D16685">
              <w:t xml:space="preserve"> </w:t>
            </w:r>
          </w:p>
        </w:tc>
        <w:tc>
          <w:tcPr>
            <w:tcW w:w="1134" w:type="dxa"/>
          </w:tcPr>
          <w:p w14:paraId="019624A0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7807C5A5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969" w:type="dxa"/>
          </w:tcPr>
          <w:p w14:paraId="0D0494A2" w14:textId="4B4D336F" w:rsidR="000D3F3F" w:rsidRPr="00D16685" w:rsidRDefault="000D3F3F" w:rsidP="00D16685">
            <w:pPr>
              <w:pStyle w:val="templateboxtable"/>
            </w:pPr>
            <w:r w:rsidRPr="00D16685">
              <w:t>Details such as age, comorbidities, past history of falling are important in considering both risk and actions</w:t>
            </w:r>
            <w:r w:rsidR="002D78C9">
              <w:t>.</w:t>
            </w:r>
            <w:r w:rsidRPr="00D16685">
              <w:t xml:space="preserve"> </w:t>
            </w:r>
          </w:p>
          <w:p w14:paraId="5D363BA2" w14:textId="7EDB47B0" w:rsidR="000D3F3F" w:rsidRPr="00D16685" w:rsidRDefault="000D3F3F" w:rsidP="00D16685">
            <w:pPr>
              <w:pStyle w:val="templateboxtable"/>
            </w:pPr>
          </w:p>
        </w:tc>
      </w:tr>
      <w:tr w:rsidR="000D3F3F" w:rsidRPr="00D16685" w14:paraId="67FCFCE5" w14:textId="77777777" w:rsidTr="00D16685">
        <w:tc>
          <w:tcPr>
            <w:tcW w:w="2406" w:type="dxa"/>
          </w:tcPr>
          <w:p w14:paraId="1240F729" w14:textId="3105776A" w:rsidR="000D3F3F" w:rsidRPr="00D16685" w:rsidRDefault="000D3F3F" w:rsidP="00D16685">
            <w:pPr>
              <w:pStyle w:val="templateboxtable"/>
            </w:pPr>
            <w:r w:rsidRPr="00D16685">
              <w:t xml:space="preserve">The analysis team </w:t>
            </w:r>
          </w:p>
        </w:tc>
        <w:tc>
          <w:tcPr>
            <w:tcW w:w="3260" w:type="dxa"/>
          </w:tcPr>
          <w:p w14:paraId="744AA869" w14:textId="29223F28" w:rsidR="000D3F3F" w:rsidRPr="00D16685" w:rsidRDefault="007535BB" w:rsidP="00D16685">
            <w:pPr>
              <w:pStyle w:val="templateboxtable"/>
            </w:pPr>
            <w:r>
              <w:t>Evidence of</w:t>
            </w:r>
            <w:r w:rsidR="000D3F3F" w:rsidRPr="00D16685">
              <w:t xml:space="preserve"> analysis </w:t>
            </w:r>
            <w:r>
              <w:t>being</w:t>
            </w:r>
            <w:r w:rsidR="000D3F3F" w:rsidRPr="00D16685">
              <w:t xml:space="preserve"> conducted by an appointed team</w:t>
            </w:r>
            <w:r w:rsidR="002D78C9">
              <w:t>.</w:t>
            </w:r>
            <w:r w:rsidR="000D3F3F" w:rsidRPr="00D16685">
              <w:t xml:space="preserve"> </w:t>
            </w:r>
          </w:p>
          <w:p w14:paraId="7C240725" w14:textId="7C40FEFC" w:rsidR="000D3F3F" w:rsidRPr="00D16685" w:rsidRDefault="000D3F3F" w:rsidP="00D16685">
            <w:pPr>
              <w:pStyle w:val="templateboxtable"/>
            </w:pPr>
            <w:r w:rsidRPr="00D16685">
              <w:t>A person from the area where the adverse event occurred is on the team</w:t>
            </w:r>
            <w:r w:rsidR="002D78C9">
              <w:t>.</w:t>
            </w:r>
          </w:p>
          <w:p w14:paraId="7901ABD4" w14:textId="5E2E8950" w:rsidR="000D3F3F" w:rsidRPr="00D16685" w:rsidRDefault="000D3F3F" w:rsidP="00D16685">
            <w:pPr>
              <w:pStyle w:val="templateboxtable"/>
            </w:pPr>
            <w:r w:rsidRPr="00D16685">
              <w:t>A consumer representative is on the team</w:t>
            </w:r>
            <w:r w:rsidR="002D78C9">
              <w:t>.</w:t>
            </w:r>
          </w:p>
          <w:p w14:paraId="615694B8" w14:textId="10D52D20" w:rsidR="000D3F3F" w:rsidRPr="00D16685" w:rsidRDefault="000D3F3F" w:rsidP="00D16685">
            <w:pPr>
              <w:pStyle w:val="templateboxtable"/>
            </w:pPr>
            <w:r w:rsidRPr="00D16685">
              <w:t>Composition of the analysis team is multidisciplinary and does not include those involved in the adverse event</w:t>
            </w:r>
            <w:r w:rsidR="002D78C9">
              <w:t>.</w:t>
            </w:r>
          </w:p>
        </w:tc>
        <w:tc>
          <w:tcPr>
            <w:tcW w:w="1134" w:type="dxa"/>
          </w:tcPr>
          <w:p w14:paraId="519432DB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3D6FD77F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969" w:type="dxa"/>
          </w:tcPr>
          <w:p w14:paraId="06AAF81C" w14:textId="77777777" w:rsidR="000D3F3F" w:rsidRPr="00D16685" w:rsidRDefault="000D3F3F" w:rsidP="00D16685">
            <w:pPr>
              <w:pStyle w:val="templateboxtable"/>
            </w:pPr>
          </w:p>
        </w:tc>
      </w:tr>
      <w:tr w:rsidR="000D3F3F" w:rsidRPr="00D16685" w14:paraId="1B8C8562" w14:textId="77777777" w:rsidTr="00D16685">
        <w:tc>
          <w:tcPr>
            <w:tcW w:w="2406" w:type="dxa"/>
          </w:tcPr>
          <w:p w14:paraId="48769294" w14:textId="78E5C3E2" w:rsidR="000D3F3F" w:rsidRPr="00D16685" w:rsidRDefault="000D3F3F" w:rsidP="00D16685">
            <w:pPr>
              <w:pStyle w:val="templateboxtable"/>
            </w:pPr>
            <w:r w:rsidRPr="00D16685">
              <w:br w:type="page"/>
              <w:t>Chronology of what happened</w:t>
            </w:r>
          </w:p>
        </w:tc>
        <w:tc>
          <w:tcPr>
            <w:tcW w:w="3260" w:type="dxa"/>
          </w:tcPr>
          <w:p w14:paraId="2198B9A7" w14:textId="74D25220" w:rsidR="000D3F3F" w:rsidRPr="00D16685" w:rsidRDefault="000D3F3F" w:rsidP="00D16685">
            <w:pPr>
              <w:pStyle w:val="templateboxtable"/>
            </w:pPr>
            <w:r w:rsidRPr="00D16685">
              <w:t>Evidence of a timeline/sequence of events</w:t>
            </w:r>
            <w:r w:rsidR="009A0CD9">
              <w:t>,</w:t>
            </w:r>
            <w:r w:rsidRPr="00D16685">
              <w:t xml:space="preserve"> including</w:t>
            </w:r>
            <w:r w:rsidR="00D16685">
              <w:t>:</w:t>
            </w:r>
          </w:p>
          <w:p w14:paraId="7B16FB94" w14:textId="77777777" w:rsidR="000D3F3F" w:rsidRPr="00D16685" w:rsidRDefault="000D3F3F" w:rsidP="00D16685">
            <w:pPr>
              <w:pStyle w:val="templateboxtable"/>
              <w:numPr>
                <w:ilvl w:val="0"/>
                <w:numId w:val="6"/>
              </w:numPr>
            </w:pPr>
            <w:r w:rsidRPr="00D16685">
              <w:lastRenderedPageBreak/>
              <w:t>documented care</w:t>
            </w:r>
          </w:p>
          <w:p w14:paraId="3BBE5AA5" w14:textId="77777777" w:rsidR="000D3F3F" w:rsidRPr="00D16685" w:rsidRDefault="000D3F3F" w:rsidP="00D16685">
            <w:pPr>
              <w:pStyle w:val="templateboxtable"/>
              <w:numPr>
                <w:ilvl w:val="0"/>
                <w:numId w:val="6"/>
              </w:numPr>
            </w:pPr>
            <w:r w:rsidRPr="00D16685">
              <w:t xml:space="preserve">interview information </w:t>
            </w:r>
          </w:p>
          <w:p w14:paraId="10A84BC7" w14:textId="77777777" w:rsidR="000D3F3F" w:rsidRPr="00D16685" w:rsidRDefault="000D3F3F" w:rsidP="00D16685">
            <w:pPr>
              <w:pStyle w:val="templateboxtable"/>
              <w:numPr>
                <w:ilvl w:val="0"/>
                <w:numId w:val="6"/>
              </w:numPr>
            </w:pPr>
            <w:r w:rsidRPr="00D16685">
              <w:t>clinical letters and other electronic records</w:t>
            </w:r>
          </w:p>
          <w:p w14:paraId="07E2161B" w14:textId="60537993" w:rsidR="000D3F3F" w:rsidRPr="00D16685" w:rsidRDefault="00D16685" w:rsidP="00D16685">
            <w:pPr>
              <w:pStyle w:val="templateboxtable"/>
              <w:numPr>
                <w:ilvl w:val="0"/>
                <w:numId w:val="6"/>
              </w:numPr>
            </w:pPr>
            <w:r>
              <w:t>p</w:t>
            </w:r>
            <w:r w:rsidR="000D3F3F" w:rsidRPr="00D16685">
              <w:t>atient/</w:t>
            </w:r>
            <w:r w:rsidR="007535BB">
              <w:t>family/</w:t>
            </w:r>
            <w:r w:rsidR="000D3F3F" w:rsidRPr="00D16685">
              <w:t>whānau input</w:t>
            </w:r>
            <w:r w:rsidR="007535BB">
              <w:t>.</w:t>
            </w:r>
          </w:p>
        </w:tc>
        <w:tc>
          <w:tcPr>
            <w:tcW w:w="1134" w:type="dxa"/>
          </w:tcPr>
          <w:p w14:paraId="0776B13A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6F79A003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969" w:type="dxa"/>
          </w:tcPr>
          <w:p w14:paraId="27FC77CC" w14:textId="36BF721D" w:rsidR="000D3F3F" w:rsidRPr="00D16685" w:rsidRDefault="000D3F3F" w:rsidP="00EF102E">
            <w:pPr>
              <w:pStyle w:val="templateboxtable"/>
            </w:pPr>
            <w:r w:rsidRPr="00D16685">
              <w:t xml:space="preserve">A common problem with </w:t>
            </w:r>
            <w:r w:rsidR="007535BB">
              <w:t>root cause analysis</w:t>
            </w:r>
            <w:r w:rsidRPr="00D16685">
              <w:t xml:space="preserve"> failure is that the facts are not </w:t>
            </w:r>
            <w:r w:rsidRPr="00D16685">
              <w:lastRenderedPageBreak/>
              <w:t>established before the root cause is decided upon</w:t>
            </w:r>
            <w:r w:rsidR="00EF102E">
              <w:t>.</w:t>
            </w:r>
            <w:r w:rsidR="007E0081">
              <w:rPr>
                <w:rStyle w:val="FootnoteReference"/>
              </w:rPr>
              <w:footnoteReference w:id="4"/>
            </w:r>
          </w:p>
        </w:tc>
      </w:tr>
      <w:tr w:rsidR="000D3F3F" w:rsidRPr="00D16685" w14:paraId="082FAD8E" w14:textId="77777777" w:rsidTr="00D16685">
        <w:tc>
          <w:tcPr>
            <w:tcW w:w="2406" w:type="dxa"/>
          </w:tcPr>
          <w:p w14:paraId="4BFF0D5D" w14:textId="2821CB5F" w:rsidR="000D3F3F" w:rsidRPr="00D16685" w:rsidRDefault="000D3F3F" w:rsidP="00D16685">
            <w:pPr>
              <w:pStyle w:val="templateboxtable"/>
            </w:pPr>
            <w:r w:rsidRPr="00D16685">
              <w:lastRenderedPageBreak/>
              <w:t>Depth of the analysis</w:t>
            </w:r>
          </w:p>
        </w:tc>
        <w:tc>
          <w:tcPr>
            <w:tcW w:w="3260" w:type="dxa"/>
          </w:tcPr>
          <w:p w14:paraId="3383CA7D" w14:textId="5CF60A1C" w:rsidR="000D3F3F" w:rsidRPr="00D16685" w:rsidRDefault="000D3F3F" w:rsidP="00D16685">
            <w:pPr>
              <w:pStyle w:val="templateboxtable"/>
            </w:pPr>
            <w:r w:rsidRPr="00D16685">
              <w:t>Evidence that staff have been interviewed</w:t>
            </w:r>
            <w:r w:rsidR="00A1693F">
              <w:t xml:space="preserve">; </w:t>
            </w:r>
            <w:r w:rsidRPr="00D16685">
              <w:t>if they have not been interviewed</w:t>
            </w:r>
            <w:r w:rsidR="00A1693F">
              <w:t>,</w:t>
            </w:r>
            <w:r w:rsidRPr="00D16685">
              <w:t xml:space="preserve"> it should be noted in the report</w:t>
            </w:r>
            <w:r w:rsidR="009A0CD9">
              <w:t>.</w:t>
            </w:r>
            <w:r w:rsidRPr="00D16685">
              <w:t xml:space="preserve"> </w:t>
            </w:r>
          </w:p>
          <w:p w14:paraId="171E8865" w14:textId="15637FC5" w:rsidR="000D3F3F" w:rsidRPr="00D16685" w:rsidRDefault="000D3F3F" w:rsidP="00D16685">
            <w:pPr>
              <w:pStyle w:val="templateboxtable"/>
            </w:pPr>
            <w:r w:rsidRPr="00D16685">
              <w:t>Evidence that the patient/</w:t>
            </w:r>
            <w:r w:rsidR="009A0CD9">
              <w:t>family/</w:t>
            </w:r>
            <w:r w:rsidRPr="00D16685">
              <w:t>whānau have been interviewed</w:t>
            </w:r>
            <w:r w:rsidR="00A1693F">
              <w:t>;</w:t>
            </w:r>
            <w:r w:rsidRPr="00D16685">
              <w:t xml:space="preserve"> if they have not been interviewed it should be noted in the report</w:t>
            </w:r>
            <w:r w:rsidR="009A0CD9">
              <w:t>.</w:t>
            </w:r>
          </w:p>
          <w:p w14:paraId="40F2B6AC" w14:textId="2655C1F7" w:rsidR="000D3F3F" w:rsidRPr="00D16685" w:rsidRDefault="000D3F3F" w:rsidP="00D16685">
            <w:pPr>
              <w:pStyle w:val="templateboxtable"/>
            </w:pPr>
            <w:r w:rsidRPr="00D16685">
              <w:t>Evidence all relevant documents have been accessed</w:t>
            </w:r>
            <w:r w:rsidR="009A0CD9">
              <w:t>.</w:t>
            </w:r>
          </w:p>
          <w:p w14:paraId="2A0D27A4" w14:textId="322B7199" w:rsidR="000D3F3F" w:rsidRPr="00D16685" w:rsidRDefault="000D3F3F" w:rsidP="00D16685">
            <w:pPr>
              <w:pStyle w:val="templateboxtable"/>
            </w:pPr>
            <w:r w:rsidRPr="00D16685">
              <w:t xml:space="preserve">References to indicate current best practice evidence </w:t>
            </w:r>
            <w:r w:rsidR="00A1693F">
              <w:t>is</w:t>
            </w:r>
            <w:r w:rsidRPr="00D16685">
              <w:t xml:space="preserve"> noted</w:t>
            </w:r>
            <w:r w:rsidR="009A0CD9">
              <w:t>.</w:t>
            </w:r>
          </w:p>
          <w:p w14:paraId="12B09283" w14:textId="7BE06906" w:rsidR="000D3F3F" w:rsidRPr="00D16685" w:rsidRDefault="000D3F3F" w:rsidP="00D16685">
            <w:pPr>
              <w:pStyle w:val="templateboxtable"/>
            </w:pPr>
            <w:r w:rsidRPr="00D16685">
              <w:t>Expert opinion</w:t>
            </w:r>
            <w:r w:rsidR="00A1693F">
              <w:t>,</w:t>
            </w:r>
            <w:r w:rsidRPr="00D16685">
              <w:t xml:space="preserve"> if obtained</w:t>
            </w:r>
            <w:r w:rsidR="00A1693F">
              <w:t>,</w:t>
            </w:r>
            <w:r w:rsidRPr="00D16685">
              <w:t xml:space="preserve"> is noted</w:t>
            </w:r>
            <w:r w:rsidR="009A0CD9">
              <w:t>.</w:t>
            </w:r>
            <w:r w:rsidRPr="00D16685">
              <w:t xml:space="preserve"> </w:t>
            </w:r>
          </w:p>
        </w:tc>
        <w:tc>
          <w:tcPr>
            <w:tcW w:w="1134" w:type="dxa"/>
          </w:tcPr>
          <w:p w14:paraId="1AF16A62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3A8AED52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969" w:type="dxa"/>
          </w:tcPr>
          <w:p w14:paraId="050A20B1" w14:textId="2FFCA8C1" w:rsidR="000D3F3F" w:rsidRPr="00D16685" w:rsidRDefault="000D3F3F" w:rsidP="00D16685">
            <w:pPr>
              <w:pStyle w:val="templateboxtable"/>
              <w:rPr>
                <w:color w:val="FF0000"/>
              </w:rPr>
            </w:pPr>
            <w:r w:rsidRPr="00D16685">
              <w:t>A common problem is the failure to establish all the facts including witness interviews and the patient/</w:t>
            </w:r>
            <w:r w:rsidR="009A0CD9">
              <w:t>family/</w:t>
            </w:r>
            <w:r w:rsidRPr="00D16685">
              <w:t>whānau view</w:t>
            </w:r>
            <w:r w:rsidR="009A0CD9">
              <w:t>.</w:t>
            </w:r>
          </w:p>
          <w:p w14:paraId="7EBF33B5" w14:textId="1018D73F" w:rsidR="000D3F3F" w:rsidRPr="00D16685" w:rsidRDefault="000D3F3F" w:rsidP="00EF102E">
            <w:pPr>
              <w:pStyle w:val="templateboxtable"/>
            </w:pPr>
            <w:r w:rsidRPr="00D16685">
              <w:t>The team must review and interpret all sources of information and interview all relevant staff involved in the event (with their permission)</w:t>
            </w:r>
            <w:r w:rsidR="00EF102E">
              <w:t>.</w:t>
            </w:r>
            <w:r w:rsidR="007E0081">
              <w:rPr>
                <w:rStyle w:val="FootnoteReference"/>
              </w:rPr>
              <w:footnoteReference w:id="5"/>
            </w:r>
          </w:p>
        </w:tc>
      </w:tr>
      <w:tr w:rsidR="000D3F3F" w:rsidRPr="00D16685" w14:paraId="2949A2D1" w14:textId="77777777" w:rsidTr="00D16685">
        <w:tc>
          <w:tcPr>
            <w:tcW w:w="2406" w:type="dxa"/>
          </w:tcPr>
          <w:p w14:paraId="27CB7332" w14:textId="08F7FD00" w:rsidR="000D3F3F" w:rsidRPr="00D16685" w:rsidRDefault="000D3F3F" w:rsidP="00D16685">
            <w:pPr>
              <w:pStyle w:val="templateboxtable"/>
            </w:pPr>
            <w:r w:rsidRPr="00D16685">
              <w:t>Identification of contributing factors</w:t>
            </w:r>
          </w:p>
        </w:tc>
        <w:tc>
          <w:tcPr>
            <w:tcW w:w="3260" w:type="dxa"/>
          </w:tcPr>
          <w:p w14:paraId="430F0886" w14:textId="49A3F968" w:rsidR="000D3F3F" w:rsidRPr="00D16685" w:rsidRDefault="000D3F3F" w:rsidP="00D16685">
            <w:pPr>
              <w:pStyle w:val="templateboxtable"/>
            </w:pPr>
            <w:r w:rsidRPr="00D16685">
              <w:t>Contributing factors (including human factors)</w:t>
            </w:r>
            <w:r w:rsidRPr="00D16685">
              <w:rPr>
                <w:rStyle w:val="FootnoteReference"/>
              </w:rPr>
              <w:footnoteReference w:id="6"/>
            </w:r>
            <w:r w:rsidRPr="00D16685">
              <w:t xml:space="preserve"> are identified and documented in the report</w:t>
            </w:r>
            <w:r w:rsidR="00386202">
              <w:t>.</w:t>
            </w:r>
          </w:p>
        </w:tc>
        <w:tc>
          <w:tcPr>
            <w:tcW w:w="1134" w:type="dxa"/>
          </w:tcPr>
          <w:p w14:paraId="32C6E1D6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12D28A77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969" w:type="dxa"/>
          </w:tcPr>
          <w:p w14:paraId="3631D0B5" w14:textId="5BC3711B" w:rsidR="000D3F3F" w:rsidRPr="00D16685" w:rsidRDefault="000D3F3F" w:rsidP="00D16685">
            <w:pPr>
              <w:pStyle w:val="templateboxtable"/>
            </w:pPr>
            <w:r w:rsidRPr="00D16685">
              <w:t xml:space="preserve">The examination of contributing factors </w:t>
            </w:r>
            <w:r w:rsidR="00386202">
              <w:t>helps</w:t>
            </w:r>
            <w:r w:rsidRPr="00D16685">
              <w:t xml:space="preserve"> the team understand the underlying system causes of the </w:t>
            </w:r>
            <w:r w:rsidRPr="00D16685">
              <w:lastRenderedPageBreak/>
              <w:t>incident and ultimately make decisions about recommendations</w:t>
            </w:r>
            <w:r w:rsidR="00386202">
              <w:t>.</w:t>
            </w:r>
            <w:r w:rsidRPr="00D16685">
              <w:rPr>
                <w:rStyle w:val="FootnoteReference"/>
              </w:rPr>
              <w:footnoteReference w:id="7"/>
            </w:r>
          </w:p>
          <w:p w14:paraId="3216A1CA" w14:textId="2FC20A87" w:rsidR="000D3F3F" w:rsidRPr="00D16685" w:rsidRDefault="000D3F3F" w:rsidP="00D16685">
            <w:pPr>
              <w:pStyle w:val="templateboxtable"/>
            </w:pPr>
            <w:r w:rsidRPr="00D16685">
              <w:t>The contributing factors must be identified to understand why the event occurred</w:t>
            </w:r>
            <w:r w:rsidR="00386202">
              <w:t>.</w:t>
            </w:r>
          </w:p>
        </w:tc>
      </w:tr>
      <w:tr w:rsidR="000D3F3F" w:rsidRPr="00D16685" w14:paraId="5E89DABF" w14:textId="77777777" w:rsidTr="00D16685">
        <w:tc>
          <w:tcPr>
            <w:tcW w:w="2406" w:type="dxa"/>
          </w:tcPr>
          <w:p w14:paraId="3B231311" w14:textId="753E9C70" w:rsidR="000D3F3F" w:rsidRPr="009A0CD9" w:rsidRDefault="000D3F3F" w:rsidP="00D16685">
            <w:pPr>
              <w:pStyle w:val="templateboxtable"/>
            </w:pPr>
            <w:r w:rsidRPr="009A0CD9">
              <w:lastRenderedPageBreak/>
              <w:t>Recommendations</w:t>
            </w:r>
          </w:p>
        </w:tc>
        <w:tc>
          <w:tcPr>
            <w:tcW w:w="3260" w:type="dxa"/>
          </w:tcPr>
          <w:p w14:paraId="4B9F4299" w14:textId="13114B4D" w:rsidR="000D3F3F" w:rsidRPr="00D16685" w:rsidRDefault="000D3F3F" w:rsidP="00386202">
            <w:pPr>
              <w:pStyle w:val="templateboxtable"/>
            </w:pPr>
            <w:r w:rsidRPr="00D16685">
              <w:t>Recommendations have been proposed</w:t>
            </w:r>
            <w:r w:rsidR="00386202">
              <w:t>.</w:t>
            </w:r>
          </w:p>
        </w:tc>
        <w:tc>
          <w:tcPr>
            <w:tcW w:w="1134" w:type="dxa"/>
          </w:tcPr>
          <w:p w14:paraId="37CAD61A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7B847A35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969" w:type="dxa"/>
          </w:tcPr>
          <w:p w14:paraId="74C9A568" w14:textId="559472CB" w:rsidR="000D3F3F" w:rsidRPr="00D16685" w:rsidRDefault="000D3F3F" w:rsidP="00D16685">
            <w:pPr>
              <w:pStyle w:val="templateboxtable"/>
              <w:rPr>
                <w:color w:val="FF0000"/>
              </w:rPr>
            </w:pPr>
            <w:r w:rsidRPr="00D16685">
              <w:t>The more recommendations, the less likely they are to be implemented</w:t>
            </w:r>
            <w:r w:rsidR="00386202">
              <w:t>.</w:t>
            </w:r>
            <w:r w:rsidRPr="00D16685">
              <w:rPr>
                <w:rStyle w:val="FootnoteReference"/>
              </w:rPr>
              <w:footnoteReference w:id="8"/>
            </w:r>
            <w:r w:rsidRPr="00D16685">
              <w:rPr>
                <w:color w:val="FF0000"/>
              </w:rPr>
              <w:t xml:space="preserve"> </w:t>
            </w:r>
          </w:p>
          <w:p w14:paraId="2451507F" w14:textId="41CE823E" w:rsidR="000D3F3F" w:rsidRPr="00D16685" w:rsidRDefault="000D3F3F" w:rsidP="00A1693F">
            <w:pPr>
              <w:pStyle w:val="templateboxtable"/>
            </w:pPr>
            <w:r w:rsidRPr="00D16685">
              <w:t xml:space="preserve">Generally </w:t>
            </w:r>
            <w:r w:rsidR="00386202">
              <w:t>fewer</w:t>
            </w:r>
            <w:r w:rsidRPr="00D16685">
              <w:t xml:space="preserve"> than five recommendations </w:t>
            </w:r>
            <w:r w:rsidR="00A1693F">
              <w:t>should be</w:t>
            </w:r>
            <w:r w:rsidRPr="00D16685">
              <w:t xml:space="preserve"> made</w:t>
            </w:r>
            <w:r w:rsidR="00386202">
              <w:t>.</w:t>
            </w:r>
          </w:p>
        </w:tc>
      </w:tr>
      <w:tr w:rsidR="000D3F3F" w:rsidRPr="00D16685" w14:paraId="6A3B23EE" w14:textId="77777777" w:rsidTr="00D16685">
        <w:tc>
          <w:tcPr>
            <w:tcW w:w="2406" w:type="dxa"/>
          </w:tcPr>
          <w:p w14:paraId="472D9BC5" w14:textId="79DE5E37" w:rsidR="000D3F3F" w:rsidRPr="00D16685" w:rsidRDefault="000D3F3F" w:rsidP="00D16685">
            <w:pPr>
              <w:pStyle w:val="templateboxtable"/>
              <w:rPr>
                <w:b/>
              </w:rPr>
            </w:pPr>
            <w:r w:rsidRPr="00D16685">
              <w:t>Measurability</w:t>
            </w:r>
          </w:p>
        </w:tc>
        <w:tc>
          <w:tcPr>
            <w:tcW w:w="3260" w:type="dxa"/>
          </w:tcPr>
          <w:p w14:paraId="3BBDA591" w14:textId="786B60EE" w:rsidR="000D3F3F" w:rsidRPr="00D16685" w:rsidRDefault="000D3F3F" w:rsidP="00D16685">
            <w:pPr>
              <w:pStyle w:val="templateboxtable"/>
            </w:pPr>
            <w:r w:rsidRPr="00D16685">
              <w:t>The report states how the implementation of the recommendation will be measured</w:t>
            </w:r>
            <w:r w:rsidR="00386202">
              <w:t>.</w:t>
            </w:r>
            <w:r w:rsidRPr="00D16685">
              <w:t xml:space="preserve">  </w:t>
            </w:r>
          </w:p>
        </w:tc>
        <w:tc>
          <w:tcPr>
            <w:tcW w:w="1134" w:type="dxa"/>
          </w:tcPr>
          <w:p w14:paraId="75856CB6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1AA8756F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969" w:type="dxa"/>
          </w:tcPr>
          <w:p w14:paraId="4BADEBC8" w14:textId="336B72F3" w:rsidR="000D3F3F" w:rsidRPr="00D16685" w:rsidRDefault="000D3F3F" w:rsidP="00E45544">
            <w:pPr>
              <w:pStyle w:val="templateboxtable"/>
            </w:pPr>
            <w:r w:rsidRPr="00D16685">
              <w:t xml:space="preserve">There is no point having a recommendation that is not measurable </w:t>
            </w:r>
            <w:r w:rsidR="00386202">
              <w:t>because</w:t>
            </w:r>
            <w:r w:rsidRPr="00D16685">
              <w:t xml:space="preserve"> the service provider and patient/</w:t>
            </w:r>
            <w:r w:rsidR="00386202">
              <w:t>family/</w:t>
            </w:r>
            <w:r w:rsidRPr="00D16685">
              <w:t>whānau will not know whether the change has made a difference or will help prevent the event occurring again</w:t>
            </w:r>
            <w:r w:rsidR="00386202">
              <w:t>.</w:t>
            </w:r>
            <w:r w:rsidRPr="00D16685">
              <w:rPr>
                <w:rStyle w:val="FootnoteReference"/>
              </w:rPr>
              <w:footnoteReference w:id="9"/>
            </w:r>
          </w:p>
        </w:tc>
      </w:tr>
      <w:tr w:rsidR="000D3F3F" w:rsidRPr="00D16685" w14:paraId="7D20CE88" w14:textId="77777777" w:rsidTr="00D16685">
        <w:tc>
          <w:tcPr>
            <w:tcW w:w="2406" w:type="dxa"/>
          </w:tcPr>
          <w:p w14:paraId="140036D1" w14:textId="2210A48F" w:rsidR="000D3F3F" w:rsidRPr="00D16685" w:rsidRDefault="000D3F3F" w:rsidP="00D16685">
            <w:pPr>
              <w:pStyle w:val="templateboxtable"/>
            </w:pPr>
            <w:r w:rsidRPr="00D16685">
              <w:t>Accountable person assigned</w:t>
            </w:r>
          </w:p>
        </w:tc>
        <w:tc>
          <w:tcPr>
            <w:tcW w:w="3260" w:type="dxa"/>
          </w:tcPr>
          <w:p w14:paraId="6743B947" w14:textId="1EBB9DC7" w:rsidR="000D3F3F" w:rsidRPr="00D16685" w:rsidRDefault="000D3F3F" w:rsidP="00D16685">
            <w:pPr>
              <w:pStyle w:val="templateboxtable"/>
            </w:pPr>
            <w:r w:rsidRPr="00D16685">
              <w:t>The report states who is the accountable person for the implementation and evaluation of the recommendations</w:t>
            </w:r>
            <w:r w:rsidR="00386202">
              <w:t>.</w:t>
            </w:r>
          </w:p>
        </w:tc>
        <w:tc>
          <w:tcPr>
            <w:tcW w:w="1134" w:type="dxa"/>
          </w:tcPr>
          <w:p w14:paraId="2C27D254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0EBCABD2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969" w:type="dxa"/>
          </w:tcPr>
          <w:p w14:paraId="78429196" w14:textId="708F7531" w:rsidR="000D3F3F" w:rsidRPr="00D16685" w:rsidRDefault="000D3F3F" w:rsidP="00D16685">
            <w:pPr>
              <w:pStyle w:val="templateboxtable"/>
            </w:pPr>
            <w:r w:rsidRPr="00D16685">
              <w:t>It is essential to link the recommendations to an accountable position</w:t>
            </w:r>
            <w:r w:rsidR="00E45544">
              <w:t>.</w:t>
            </w:r>
            <w:r w:rsidRPr="00D16685">
              <w:t xml:space="preserve"> </w:t>
            </w:r>
          </w:p>
          <w:p w14:paraId="77185FD1" w14:textId="07869AF8" w:rsidR="000D3F3F" w:rsidRPr="00D16685" w:rsidRDefault="000D3F3F" w:rsidP="00A1693F">
            <w:pPr>
              <w:pStyle w:val="templateboxtable"/>
            </w:pPr>
            <w:r w:rsidRPr="00D16685">
              <w:t xml:space="preserve">Assigning an accountable </w:t>
            </w:r>
            <w:r w:rsidR="00A1693F">
              <w:t>person</w:t>
            </w:r>
            <w:r w:rsidRPr="00D16685">
              <w:t xml:space="preserve"> will increase the likelihood of the recommendation being implemented and evaluated</w:t>
            </w:r>
            <w:r w:rsidR="00E45544">
              <w:t>.</w:t>
            </w:r>
          </w:p>
        </w:tc>
      </w:tr>
      <w:tr w:rsidR="000D3F3F" w:rsidRPr="00D16685" w14:paraId="14D7D26B" w14:textId="77777777" w:rsidTr="00D16685">
        <w:tc>
          <w:tcPr>
            <w:tcW w:w="2406" w:type="dxa"/>
          </w:tcPr>
          <w:p w14:paraId="21EAC0DA" w14:textId="36B00A18" w:rsidR="000D3F3F" w:rsidRPr="00D16685" w:rsidRDefault="000D3F3F" w:rsidP="00D16685">
            <w:pPr>
              <w:pStyle w:val="templateboxtable"/>
            </w:pPr>
            <w:r w:rsidRPr="00D16685">
              <w:t>Timeframe for action</w:t>
            </w:r>
          </w:p>
        </w:tc>
        <w:tc>
          <w:tcPr>
            <w:tcW w:w="3260" w:type="dxa"/>
          </w:tcPr>
          <w:p w14:paraId="45F522CB" w14:textId="64262818" w:rsidR="000D3F3F" w:rsidRPr="00D16685" w:rsidRDefault="000D3F3F" w:rsidP="00D16685">
            <w:pPr>
              <w:pStyle w:val="templateboxtable"/>
            </w:pPr>
            <w:r w:rsidRPr="00D16685">
              <w:t>The report states the timeframe for recommendations to be actioned</w:t>
            </w:r>
            <w:r w:rsidR="00E45544">
              <w:t>.</w:t>
            </w:r>
          </w:p>
        </w:tc>
        <w:tc>
          <w:tcPr>
            <w:tcW w:w="1134" w:type="dxa"/>
          </w:tcPr>
          <w:p w14:paraId="6844970B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2A635DE9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969" w:type="dxa"/>
          </w:tcPr>
          <w:p w14:paraId="4116701D" w14:textId="10D78008" w:rsidR="000D3F3F" w:rsidRPr="00D16685" w:rsidRDefault="000D3F3F" w:rsidP="00D16685">
            <w:pPr>
              <w:pStyle w:val="templateboxtable"/>
            </w:pPr>
            <w:r w:rsidRPr="00D16685">
              <w:t>Provides timeline for the accountable person and for auditing the implementation and effect of the recommendations</w:t>
            </w:r>
            <w:r w:rsidR="00E45544">
              <w:t>.</w:t>
            </w:r>
          </w:p>
        </w:tc>
      </w:tr>
      <w:tr w:rsidR="000D3F3F" w:rsidRPr="00D16685" w14:paraId="49CBA81A" w14:textId="77777777" w:rsidTr="00D16685">
        <w:tc>
          <w:tcPr>
            <w:tcW w:w="2406" w:type="dxa"/>
          </w:tcPr>
          <w:p w14:paraId="197C0C7E" w14:textId="24FCCC02" w:rsidR="000D3F3F" w:rsidRPr="00D16685" w:rsidRDefault="000D3F3F" w:rsidP="00D16685">
            <w:pPr>
              <w:pStyle w:val="templateboxtable"/>
            </w:pPr>
            <w:r w:rsidRPr="00D16685">
              <w:lastRenderedPageBreak/>
              <w:br w:type="page"/>
              <w:t>The strength</w:t>
            </w:r>
          </w:p>
        </w:tc>
        <w:tc>
          <w:tcPr>
            <w:tcW w:w="3260" w:type="dxa"/>
          </w:tcPr>
          <w:p w14:paraId="28AA8468" w14:textId="1E782215" w:rsidR="00A1693F" w:rsidRPr="00A1693F" w:rsidRDefault="00A1693F" w:rsidP="00A1693F">
            <w:pPr>
              <w:pStyle w:val="templateboxtable"/>
              <w:spacing w:after="60"/>
              <w:rPr>
                <w:i/>
              </w:rPr>
            </w:pPr>
            <w:r w:rsidRPr="00A1693F">
              <w:t>Are the recommendations easy to implement?</w:t>
            </w:r>
          </w:p>
          <w:p w14:paraId="30A64919" w14:textId="67BEDCE1" w:rsidR="00A1693F" w:rsidRPr="00A1693F" w:rsidRDefault="00A1693F" w:rsidP="00A1693F">
            <w:pPr>
              <w:pStyle w:val="templateboxtable"/>
              <w:spacing w:after="60"/>
            </w:pPr>
            <w:r w:rsidRPr="00A1693F">
              <w:t>Are the recommendations strong enough/have enough impact to make a difference?</w:t>
            </w:r>
          </w:p>
          <w:p w14:paraId="46F80D46" w14:textId="215D887F" w:rsidR="000D3F3F" w:rsidRPr="00D16685" w:rsidRDefault="00A1693F" w:rsidP="001B621C">
            <w:pPr>
              <w:pStyle w:val="templateboxtable"/>
            </w:pPr>
            <w:r w:rsidRPr="001B621C">
              <w:rPr>
                <w:i/>
              </w:rPr>
              <w:t xml:space="preserve">See </w:t>
            </w:r>
            <w:hyperlink w:anchor="Appendix1" w:history="1">
              <w:r w:rsidR="001B621C" w:rsidRPr="0063779C">
                <w:rPr>
                  <w:rStyle w:val="Hyperlink"/>
                  <w:i/>
                </w:rPr>
                <w:t>Appendix 1: E</w:t>
              </w:r>
              <w:r w:rsidRPr="0063779C">
                <w:rPr>
                  <w:rStyle w:val="Hyperlink"/>
                  <w:i/>
                </w:rPr>
                <w:t>ffort vs impact tool</w:t>
              </w:r>
            </w:hyperlink>
            <w:r w:rsidRPr="001B621C">
              <w:rPr>
                <w:i/>
              </w:rPr>
              <w:t>.</w:t>
            </w:r>
            <w:r w:rsidR="001235D4">
              <w:rPr>
                <w:rStyle w:val="FootnoteReference"/>
                <w:i/>
              </w:rPr>
              <w:footnoteReference w:id="10"/>
            </w:r>
          </w:p>
        </w:tc>
        <w:tc>
          <w:tcPr>
            <w:tcW w:w="1134" w:type="dxa"/>
          </w:tcPr>
          <w:p w14:paraId="3522058E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753BEB3B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969" w:type="dxa"/>
          </w:tcPr>
          <w:p w14:paraId="16BC1DB0" w14:textId="47955948" w:rsidR="000D3F3F" w:rsidRPr="00D16685" w:rsidRDefault="000D3F3F" w:rsidP="00D16685">
            <w:pPr>
              <w:pStyle w:val="templateboxtable"/>
            </w:pPr>
            <w:r w:rsidRPr="00D16685">
              <w:t>The stronger the action, the more likely it is to work. The weaker the action, such as writing a policy or training staff, the less effective it will be in preventing a similar event occurring again</w:t>
            </w:r>
            <w:r w:rsidR="00E45544">
              <w:t>.</w:t>
            </w:r>
            <w:r w:rsidRPr="00D16685">
              <w:rPr>
                <w:rStyle w:val="FootnoteReference"/>
              </w:rPr>
              <w:footnoteReference w:id="11"/>
            </w:r>
          </w:p>
        </w:tc>
      </w:tr>
      <w:tr w:rsidR="000D3F3F" w:rsidRPr="00D16685" w14:paraId="6C88816B" w14:textId="77777777" w:rsidTr="00D16685">
        <w:tc>
          <w:tcPr>
            <w:tcW w:w="2406" w:type="dxa"/>
          </w:tcPr>
          <w:p w14:paraId="4FA23EE4" w14:textId="4BD9C9C0" w:rsidR="000D3F3F" w:rsidRPr="00D16685" w:rsidRDefault="000D3F3F" w:rsidP="00D16685">
            <w:pPr>
              <w:pStyle w:val="templateboxtable"/>
            </w:pPr>
            <w:r w:rsidRPr="00D16685">
              <w:t>Contributing factors inform recommendations</w:t>
            </w:r>
          </w:p>
        </w:tc>
        <w:tc>
          <w:tcPr>
            <w:tcW w:w="3260" w:type="dxa"/>
          </w:tcPr>
          <w:p w14:paraId="1E537E4E" w14:textId="25F58303" w:rsidR="000D3F3F" w:rsidRPr="00D16685" w:rsidRDefault="000D3F3F" w:rsidP="00D16685">
            <w:pPr>
              <w:pStyle w:val="templateboxtable"/>
            </w:pPr>
            <w:r w:rsidRPr="00D16685">
              <w:t>The recommendations address the contributing factors and root causes identified</w:t>
            </w:r>
            <w:r w:rsidR="00E45544">
              <w:t>.</w:t>
            </w:r>
          </w:p>
        </w:tc>
        <w:tc>
          <w:tcPr>
            <w:tcW w:w="1134" w:type="dxa"/>
          </w:tcPr>
          <w:p w14:paraId="04214923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0BFF6C2E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969" w:type="dxa"/>
          </w:tcPr>
          <w:p w14:paraId="75FDBDFD" w14:textId="763F405B" w:rsidR="000D3F3F" w:rsidRPr="00D16685" w:rsidRDefault="000D3F3F" w:rsidP="00D16685">
            <w:pPr>
              <w:pStyle w:val="templateboxtable"/>
            </w:pPr>
            <w:r w:rsidRPr="00D16685">
              <w:t>The recommendations must target the problems/factors needed to be addressed for the patient (the root cause of the event)</w:t>
            </w:r>
            <w:r w:rsidR="00E45544">
              <w:t>.</w:t>
            </w:r>
          </w:p>
          <w:p w14:paraId="60E5D77B" w14:textId="07E0100B" w:rsidR="000D3F3F" w:rsidRPr="00D16685" w:rsidRDefault="000D3F3F" w:rsidP="00D16685">
            <w:pPr>
              <w:pStyle w:val="templateboxtable"/>
            </w:pPr>
            <w:r w:rsidRPr="00D16685">
              <w:t>There is no point having a recommendation that will not make a difference for the individual patient, or for future patients</w:t>
            </w:r>
            <w:r w:rsidR="00E45544">
              <w:t>.</w:t>
            </w:r>
          </w:p>
        </w:tc>
      </w:tr>
      <w:tr w:rsidR="000D3F3F" w:rsidRPr="00D16685" w14:paraId="7CCEA756" w14:textId="77777777" w:rsidTr="00D16685">
        <w:tc>
          <w:tcPr>
            <w:tcW w:w="2406" w:type="dxa"/>
          </w:tcPr>
          <w:p w14:paraId="016830F3" w14:textId="6E0FBBCB" w:rsidR="000D3F3F" w:rsidRPr="00D16685" w:rsidRDefault="000D3F3F" w:rsidP="00D16685">
            <w:pPr>
              <w:pStyle w:val="templateboxtable"/>
            </w:pPr>
            <w:r w:rsidRPr="00D16685">
              <w:t>Format of final report</w:t>
            </w:r>
          </w:p>
          <w:p w14:paraId="3F1A2224" w14:textId="77777777" w:rsidR="000D3F3F" w:rsidRPr="00D16685" w:rsidRDefault="000D3F3F" w:rsidP="00D16685">
            <w:pPr>
              <w:pStyle w:val="templateboxtable"/>
            </w:pPr>
          </w:p>
        </w:tc>
        <w:tc>
          <w:tcPr>
            <w:tcW w:w="3260" w:type="dxa"/>
          </w:tcPr>
          <w:p w14:paraId="152A8D28" w14:textId="7894A233" w:rsidR="000D3F3F" w:rsidRPr="00D16685" w:rsidRDefault="000D3F3F" w:rsidP="00D16685">
            <w:pPr>
              <w:pStyle w:val="templateboxtable"/>
            </w:pPr>
            <w:r w:rsidRPr="00D16685">
              <w:t xml:space="preserve">Is the report formatted for sharing with others such as </w:t>
            </w:r>
            <w:r w:rsidR="00E45544">
              <w:t>the Health Quality &amp; Safety Commission</w:t>
            </w:r>
            <w:r w:rsidRPr="00D16685">
              <w:t xml:space="preserve">, </w:t>
            </w:r>
            <w:r w:rsidR="00E45544">
              <w:t>Health a</w:t>
            </w:r>
            <w:r w:rsidR="00E45544" w:rsidRPr="00D16685">
              <w:t>nd Disability Commissioner, Coronial Service</w:t>
            </w:r>
            <w:r w:rsidRPr="00D16685">
              <w:t xml:space="preserve">s, other staff and </w:t>
            </w:r>
            <w:r w:rsidR="00A1693F">
              <w:t xml:space="preserve">the </w:t>
            </w:r>
            <w:r w:rsidRPr="00D16685">
              <w:t>patient/</w:t>
            </w:r>
            <w:r w:rsidR="00E45544">
              <w:t>family/</w:t>
            </w:r>
            <w:r w:rsidRPr="00D16685">
              <w:t>whānau?</w:t>
            </w:r>
          </w:p>
          <w:p w14:paraId="482A82E5" w14:textId="557660B5" w:rsidR="000D3F3F" w:rsidRPr="00D16685" w:rsidRDefault="000D3F3F" w:rsidP="00D16685">
            <w:pPr>
              <w:pStyle w:val="templateboxtable"/>
            </w:pPr>
            <w:r w:rsidRPr="00D16685">
              <w:t>Is it de-identified of staff and patient details (unless the patient</w:t>
            </w:r>
            <w:r w:rsidR="00E45544">
              <w:t>, family</w:t>
            </w:r>
            <w:r w:rsidRPr="00D16685">
              <w:t xml:space="preserve"> or whānau chooses to be identified)?</w:t>
            </w:r>
          </w:p>
          <w:p w14:paraId="689C9877" w14:textId="55219176" w:rsidR="000D3F3F" w:rsidRPr="00D16685" w:rsidRDefault="000D3F3F" w:rsidP="00E45544">
            <w:pPr>
              <w:pStyle w:val="templateboxtable"/>
            </w:pPr>
            <w:r w:rsidRPr="00D16685">
              <w:t xml:space="preserve">Is </w:t>
            </w:r>
            <w:r w:rsidR="00E45544">
              <w:t xml:space="preserve">the language at a level </w:t>
            </w:r>
            <w:r w:rsidRPr="00D16685">
              <w:t xml:space="preserve">suitable for all to understand, </w:t>
            </w:r>
            <w:r w:rsidRPr="00D16685">
              <w:lastRenderedPageBreak/>
              <w:t>that is, free of medical terminology</w:t>
            </w:r>
            <w:r w:rsidR="00E45544">
              <w:t xml:space="preserve"> and </w:t>
            </w:r>
            <w:r w:rsidRPr="00D16685">
              <w:t>in plain English?</w:t>
            </w:r>
          </w:p>
        </w:tc>
        <w:tc>
          <w:tcPr>
            <w:tcW w:w="1134" w:type="dxa"/>
          </w:tcPr>
          <w:p w14:paraId="5A9201D1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2E5CA10B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969" w:type="dxa"/>
          </w:tcPr>
          <w:p w14:paraId="54263C18" w14:textId="4FC29B6B" w:rsidR="000D3F3F" w:rsidRPr="00D16685" w:rsidRDefault="000D3F3F" w:rsidP="00D16685">
            <w:pPr>
              <w:pStyle w:val="templateboxtable"/>
            </w:pPr>
            <w:r w:rsidRPr="00D16685">
              <w:t>A report that tells a real story and can stand alone and be shared is a powerful learning tool</w:t>
            </w:r>
            <w:r w:rsidR="00E45544">
              <w:t>.</w:t>
            </w:r>
          </w:p>
          <w:p w14:paraId="30E103FE" w14:textId="13C99D01" w:rsidR="000D3F3F" w:rsidRPr="00D16685" w:rsidRDefault="000D3F3F" w:rsidP="00D16685">
            <w:pPr>
              <w:pStyle w:val="templateboxtable"/>
            </w:pPr>
            <w:r w:rsidRPr="00D16685">
              <w:t xml:space="preserve">If set out to be shared, </w:t>
            </w:r>
            <w:r w:rsidR="00E45544">
              <w:t>a report</w:t>
            </w:r>
            <w:r w:rsidRPr="00D16685">
              <w:t xml:space="preserve"> can provide one source of information and save time in writing reports for all those who request a copy</w:t>
            </w:r>
            <w:r w:rsidR="00E45544">
              <w:t>.</w:t>
            </w:r>
          </w:p>
          <w:p w14:paraId="329AEEF9" w14:textId="39078244" w:rsidR="000D3F3F" w:rsidRPr="00D16685" w:rsidRDefault="000D3F3F" w:rsidP="00E45544">
            <w:pPr>
              <w:pStyle w:val="templateboxtable"/>
            </w:pPr>
            <w:r w:rsidRPr="00D16685">
              <w:t xml:space="preserve">Most importantly, </w:t>
            </w:r>
            <w:r w:rsidR="00E45544">
              <w:t>a report</w:t>
            </w:r>
            <w:r w:rsidRPr="00D16685">
              <w:t xml:space="preserve"> shows respect to the patient/</w:t>
            </w:r>
            <w:r w:rsidR="00E45544">
              <w:t>family/</w:t>
            </w:r>
            <w:r w:rsidRPr="00D16685">
              <w:t>whānau involved and commitment to recording and learning from patient harm</w:t>
            </w:r>
            <w:r w:rsidR="00E45544">
              <w:t>.</w:t>
            </w:r>
          </w:p>
        </w:tc>
      </w:tr>
      <w:tr w:rsidR="000D3F3F" w:rsidRPr="00D16685" w14:paraId="34DEDA53" w14:textId="77777777" w:rsidTr="00D16685">
        <w:tc>
          <w:tcPr>
            <w:tcW w:w="2406" w:type="dxa"/>
          </w:tcPr>
          <w:p w14:paraId="0063D290" w14:textId="77F4C675" w:rsidR="000D3F3F" w:rsidRPr="00D16685" w:rsidRDefault="00A1693F" w:rsidP="00D16685">
            <w:pPr>
              <w:pStyle w:val="templateboxtable"/>
            </w:pPr>
            <w:r>
              <w:t>Patient</w:t>
            </w:r>
            <w:r w:rsidR="000D3F3F" w:rsidRPr="00D16685">
              <w:t>/</w:t>
            </w:r>
            <w:r w:rsidR="00C60671">
              <w:t>family/</w:t>
            </w:r>
            <w:r w:rsidR="000D3F3F" w:rsidRPr="00D16685">
              <w:t>whānau</w:t>
            </w:r>
          </w:p>
        </w:tc>
        <w:tc>
          <w:tcPr>
            <w:tcW w:w="3260" w:type="dxa"/>
          </w:tcPr>
          <w:p w14:paraId="638857ED" w14:textId="2CC03EE3" w:rsidR="000D3F3F" w:rsidRPr="00D16685" w:rsidRDefault="000D3F3F" w:rsidP="00D16685">
            <w:pPr>
              <w:pStyle w:val="templateboxtable"/>
            </w:pPr>
            <w:r w:rsidRPr="00D16685">
              <w:t xml:space="preserve">Has the </w:t>
            </w:r>
            <w:r w:rsidR="00A1693F">
              <w:t>patient</w:t>
            </w:r>
            <w:r w:rsidRPr="00D16685">
              <w:t>/</w:t>
            </w:r>
            <w:r w:rsidR="00C60671">
              <w:t>family/</w:t>
            </w:r>
            <w:r w:rsidRPr="00D16685">
              <w:t>whānau been offered the opportunity to:</w:t>
            </w:r>
          </w:p>
          <w:p w14:paraId="65612C9C" w14:textId="71497B8E" w:rsidR="000D3F3F" w:rsidRPr="00D16685" w:rsidRDefault="004B054D" w:rsidP="004B054D">
            <w:pPr>
              <w:pStyle w:val="templateboxtable"/>
              <w:numPr>
                <w:ilvl w:val="0"/>
                <w:numId w:val="7"/>
              </w:numPr>
            </w:pPr>
            <w:r>
              <w:t>p</w:t>
            </w:r>
            <w:r w:rsidR="000D3F3F" w:rsidRPr="00D16685">
              <w:t xml:space="preserve">rovide further information to the team </w:t>
            </w:r>
          </w:p>
          <w:p w14:paraId="061135AC" w14:textId="6B8BD8D8" w:rsidR="000D3F3F" w:rsidRPr="00D16685" w:rsidRDefault="004B054D" w:rsidP="004B054D">
            <w:pPr>
              <w:pStyle w:val="templateboxtable"/>
              <w:numPr>
                <w:ilvl w:val="0"/>
                <w:numId w:val="7"/>
              </w:numPr>
            </w:pPr>
            <w:r>
              <w:t>p</w:t>
            </w:r>
            <w:r w:rsidR="000D3F3F" w:rsidRPr="00D16685">
              <w:t>rovide comment on the draft review and final review report</w:t>
            </w:r>
            <w:r w:rsidR="00C60671">
              <w:t>?</w:t>
            </w:r>
            <w:r w:rsidR="000D3F3F" w:rsidRPr="00D16685">
              <w:t xml:space="preserve">   </w:t>
            </w:r>
          </w:p>
          <w:p w14:paraId="10919889" w14:textId="7098DC96" w:rsidR="000D3F3F" w:rsidRPr="00D16685" w:rsidRDefault="00C60671" w:rsidP="00C60671">
            <w:pPr>
              <w:pStyle w:val="templateboxtable"/>
            </w:pPr>
            <w:r>
              <w:t>I</w:t>
            </w:r>
            <w:r w:rsidR="000D3F3F" w:rsidRPr="00D16685">
              <w:t>s there a plan to communicate progress with implementing the recommendations</w:t>
            </w:r>
            <w:r>
              <w:t>?</w:t>
            </w:r>
            <w:r w:rsidR="000D3F3F" w:rsidRPr="00D16685">
              <w:t xml:space="preserve"> </w:t>
            </w:r>
          </w:p>
        </w:tc>
        <w:tc>
          <w:tcPr>
            <w:tcW w:w="1134" w:type="dxa"/>
          </w:tcPr>
          <w:p w14:paraId="3C95786B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14:paraId="4D396F01" w14:textId="77777777" w:rsidR="000D3F3F" w:rsidRPr="00D16685" w:rsidRDefault="000D3F3F" w:rsidP="00D16685">
            <w:pPr>
              <w:pStyle w:val="templateboxtable"/>
              <w:rPr>
                <w:b/>
                <w:lang w:eastAsia="en-US"/>
              </w:rPr>
            </w:pPr>
          </w:p>
        </w:tc>
        <w:tc>
          <w:tcPr>
            <w:tcW w:w="3969" w:type="dxa"/>
          </w:tcPr>
          <w:p w14:paraId="511B765F" w14:textId="1F8E1B72" w:rsidR="000D3F3F" w:rsidRPr="00D16685" w:rsidRDefault="000D3F3F" w:rsidP="00D16685">
            <w:pPr>
              <w:pStyle w:val="templateboxtable"/>
              <w:rPr>
                <w:noProof/>
                <w:lang w:eastAsia="en-NZ"/>
              </w:rPr>
            </w:pPr>
            <w:r w:rsidRPr="00D16685">
              <w:t xml:space="preserve">The </w:t>
            </w:r>
            <w:r w:rsidR="00A1693F">
              <w:t>patient</w:t>
            </w:r>
            <w:r w:rsidRPr="00D16685">
              <w:t>/</w:t>
            </w:r>
            <w:r w:rsidR="00ED55AF">
              <w:t>family/</w:t>
            </w:r>
            <w:r w:rsidRPr="00D16685">
              <w:t>whānau story should be given equal consideration with provider perspectives in analysis of the adverse event</w:t>
            </w:r>
            <w:r w:rsidR="00ED55AF">
              <w:t>.</w:t>
            </w:r>
          </w:p>
          <w:p w14:paraId="2F644604" w14:textId="76554C3A" w:rsidR="000D3F3F" w:rsidRPr="00D16685" w:rsidRDefault="000D3F3F" w:rsidP="00EF102E">
            <w:pPr>
              <w:pStyle w:val="templateboxtable"/>
            </w:pPr>
            <w:r w:rsidRPr="00D16685">
              <w:rPr>
                <w:noProof/>
                <w:lang w:eastAsia="en-NZ"/>
              </w:rPr>
              <w:t xml:space="preserve">It is important to close the loop by implementing the recommendations and informing the </w:t>
            </w:r>
            <w:r w:rsidR="00A1693F">
              <w:rPr>
                <w:noProof/>
                <w:lang w:eastAsia="en-NZ"/>
              </w:rPr>
              <w:t>patient</w:t>
            </w:r>
            <w:r w:rsidRPr="00D16685">
              <w:rPr>
                <w:noProof/>
                <w:lang w:eastAsia="en-NZ"/>
              </w:rPr>
              <w:t>/</w:t>
            </w:r>
            <w:r w:rsidR="00ED55AF">
              <w:rPr>
                <w:noProof/>
                <w:lang w:eastAsia="en-NZ"/>
              </w:rPr>
              <w:t>family/</w:t>
            </w:r>
            <w:r w:rsidR="00ED55AF" w:rsidRPr="00D16685">
              <w:t>whānau</w:t>
            </w:r>
            <w:r w:rsidR="00EF102E">
              <w:t>.</w:t>
            </w:r>
            <w:r w:rsidR="001235D4">
              <w:rPr>
                <w:rStyle w:val="FootnoteReference"/>
              </w:rPr>
              <w:footnoteReference w:id="12"/>
            </w:r>
          </w:p>
        </w:tc>
      </w:tr>
    </w:tbl>
    <w:p w14:paraId="3C8B4A13" w14:textId="77777777" w:rsidR="001B621C" w:rsidRDefault="001B621C">
      <w:pPr>
        <w:spacing w:after="200" w:line="276" w:lineRule="auto"/>
        <w:rPr>
          <w:rFonts w:cs="Arial"/>
          <w:i/>
          <w:szCs w:val="22"/>
          <w:lang w:eastAsia="en-US"/>
        </w:rPr>
      </w:pPr>
      <w:r>
        <w:rPr>
          <w:rFonts w:cs="Arial"/>
          <w:i/>
          <w:szCs w:val="22"/>
          <w:lang w:eastAsia="en-US"/>
        </w:rPr>
        <w:br w:type="page"/>
      </w:r>
    </w:p>
    <w:p w14:paraId="298F4987" w14:textId="5C345049" w:rsidR="00391C87" w:rsidRPr="001B621C" w:rsidRDefault="001B621C" w:rsidP="0047186E">
      <w:pPr>
        <w:ind w:left="-426" w:right="-188"/>
        <w:rPr>
          <w:rFonts w:cs="Arial"/>
          <w:b/>
          <w:szCs w:val="22"/>
          <w:lang w:eastAsia="en-US"/>
        </w:rPr>
      </w:pPr>
      <w:bookmarkStart w:id="1" w:name="Appendix1"/>
      <w:bookmarkEnd w:id="1"/>
      <w:r w:rsidRPr="001B621C">
        <w:rPr>
          <w:rFonts w:cs="Arial"/>
          <w:b/>
          <w:szCs w:val="22"/>
          <w:lang w:eastAsia="en-US"/>
        </w:rPr>
        <w:lastRenderedPageBreak/>
        <w:t>Appendix 1: Effort versus impact tool</w:t>
      </w:r>
    </w:p>
    <w:p w14:paraId="448E22E0" w14:textId="70DB2491" w:rsidR="001B621C" w:rsidRDefault="001B621C" w:rsidP="0047186E">
      <w:pPr>
        <w:ind w:left="-426" w:right="-188"/>
        <w:rPr>
          <w:rFonts w:cs="Arial"/>
          <w:i/>
          <w:szCs w:val="22"/>
          <w:lang w:eastAsia="en-US"/>
        </w:rPr>
      </w:pPr>
    </w:p>
    <w:p w14:paraId="11DC7849" w14:textId="62C31455" w:rsidR="001B621C" w:rsidRPr="00C734B2" w:rsidRDefault="001B621C" w:rsidP="0047186E">
      <w:pPr>
        <w:ind w:left="-426" w:right="-188"/>
        <w:rPr>
          <w:rFonts w:cs="Arial"/>
          <w:i/>
          <w:szCs w:val="22"/>
          <w:lang w:eastAsia="en-US"/>
        </w:rPr>
      </w:pPr>
      <w:r>
        <w:rPr>
          <w:rFonts w:cs="Arial"/>
          <w:i/>
          <w:noProof/>
          <w:szCs w:val="22"/>
          <w:lang w:eastAsia="en-NZ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F719803" wp14:editId="6F2684BA">
                <wp:simplePos x="0" y="0"/>
                <wp:positionH relativeFrom="column">
                  <wp:posOffset>-133350</wp:posOffset>
                </wp:positionH>
                <wp:positionV relativeFrom="paragraph">
                  <wp:posOffset>284480</wp:posOffset>
                </wp:positionV>
                <wp:extent cx="8523618" cy="3887931"/>
                <wp:effectExtent l="0" t="0" r="10795" b="1778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3618" cy="3887931"/>
                          <a:chOff x="0" y="126779"/>
                          <a:chExt cx="10006702" cy="4611891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1693334" y="3270633"/>
                            <a:ext cx="652991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5151968" y="417579"/>
                            <a:ext cx="0" cy="364701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439248" y="4058001"/>
                            <a:ext cx="1438909" cy="6806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2B0850" w14:textId="77777777" w:rsidR="001B621C" w:rsidRPr="001B621C" w:rsidRDefault="001B621C" w:rsidP="001B62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B621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AU"/>
                                </w:rPr>
                                <w:t>LOW IMPACT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19813" y="2932052"/>
                            <a:ext cx="1786889" cy="6882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A8F8D" w14:textId="77777777" w:rsidR="001B621C" w:rsidRPr="001B621C" w:rsidRDefault="001B621C" w:rsidP="001B62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B621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AU"/>
                                </w:rPr>
                                <w:t>HIGH EFFORT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54916" y="389851"/>
                            <a:ext cx="3361267" cy="2880783"/>
                          </a:xfrm>
                          <a:prstGeom prst="rect">
                            <a:avLst/>
                          </a:prstGeom>
                          <a:solidFill>
                            <a:srgbClr val="99CC00">
                              <a:alpha val="39999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31884" y="126779"/>
                            <a:ext cx="1439544" cy="71073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91C754" w14:textId="77777777" w:rsidR="001B621C" w:rsidRPr="001B621C" w:rsidRDefault="001B621C" w:rsidP="001B62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B621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AU"/>
                                </w:rPr>
                                <w:t>HIGH IMPACT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03875"/>
                            <a:ext cx="1693544" cy="6741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989059" w14:textId="77777777" w:rsidR="001B621C" w:rsidRPr="001B621C" w:rsidRDefault="001B621C" w:rsidP="001B62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B621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AU"/>
                                </w:rPr>
                                <w:t>LOW EFFORT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19803" id="Group 2" o:spid="_x0000_s1026" style="position:absolute;left:0;text-align:left;margin-left:-10.5pt;margin-top:22.4pt;width:671.15pt;height:306.15pt;z-index:251657216;mso-width-relative:margin;mso-height-relative:margin" coordorigin=",1267" coordsize="100067,4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LVDAQAAOIRAAAOAAAAZHJzL2Uyb0RvYy54bWzsWNty2zYQfe9M/wHD91oEryDHciZ1Er+4&#10;baZJPwAiQZFTEmAB2pT/vosFSclskmliR5Ne/CCTuC7Onj274OWLQ9eSe6FNo+TWoxe+R4QsVNnI&#10;/db77f2bH5hHzMBlyVslxdZ7EMZ7cfX9d5djn4tA1aothSawiDT52G+9ehj6fLMxRS06bi5ULyR0&#10;Vkp3fIBXvd+Umo+wetduAt9PNqPSZa9VIYyB1leu07vC9atKFMMvVWXEQNqtB7YN+Kvxd2d/N1eX&#10;PN9r3tdNMZnBv8CKjjcSNl2WesUHTu5085eluqbQyqhquChUt1FV1RQCzwCnof7qNDda3fV4ln0+&#10;7vsFJoB2hdMXL1v8fP9Wk6bceoFHJO/ARbgrCSw0Y7/PYcSN7t/1b/XUsHdv9rSHSnf2P5yDHBDU&#10;hwVUcRhIAY0sDsKEAg0K6AsZS7OQOtiLGnxznEeDJE2zuev1NJ364OXUB+vs/CihlGU4fzNvv7FW&#10;LkaNPRDJHLEyT8PqXc17gS4wFokJq2jG6raRgkQOKhxwLSecTG4AMrIbf1IlgMrvBoUEWUFGkywM&#10;Q1jPghOkfhKGDoEZviQOsoym7vjI1+XgPO+1GW6E6oh92HotWIOb8PtbM4C7YOg8xLpJqjdN2yLl&#10;W0lG6w6AF2cY1Tal7bXjMPrEdavJPYe4GQ4z4I9GATlliYvVgpevp+eBN617hs1bCTZYj1gsLJ1M&#10;vlPlA0KE7eAp1/zVXRY/cln8BJfFNKZZAoS2fKRpPHN29hjIDFI9iVKfJnaj/z32aZ37cJAls8fe&#10;W2R/VAeSnnjNChIZDtAMacdRuL9Vxe+GSHVdc7kXL7VWo6UmSIAjsOUfBLGd6lj3t0I0isIsiCZ/&#10;+zHz/Um/ZofTKGSZnzm3J8xPElSxj3tdQ1pCkz8Sp4/CbBWMu/0Hg9HFcxYHscPi88O5awbIxG3T&#10;gWSD5oIufHZsD4fdASYdw5yMkFm3nvnjjmunTFK9BCWsGlSn48BJJs4nByCoLtst5EKfnTDkPORi&#10;Ac0YDVFMgiwM/BgTL88XcqUsYWwhF4MRn5aUfzO5sFBB/h+p8+1yDCTDcexXiHdQpFYQtlIwzLZf&#10;SbcgNUUZJCAsLVjG4pVshVCWQcnlZCtgzE8Z1h7PpVt6v1tKiCy7vp4qDd72NXeFRZjB38Rm44Zj&#10;snykfytlO6lhnkGxXDUyUUjCDcUjXBa1ghtCMWg0zTLtfLoEgb7SJawgzq5LkPQoY64uPS3MF1mC&#10;pBhH0G9LnZT6qSvqn4s79vp3LEC/9Zw33Z/+IamPQoG64thals6T+8AOIE+Q+SFLMamdZD24Fi30&#10;StIIbn3/8ayH0vzErIc3ZfiQgCI7ffSwXypO37ESO36aufoTAAD//wMAUEsDBBQABgAIAAAAIQBP&#10;4bof4QAAAAsBAAAPAAAAZHJzL2Rvd25yZXYueG1sTI9BS8NAEIXvgv9hGcFbu9mkrRKzKaWopyLY&#10;CuJtmkyT0OxsyG6T9N+7PelxmMd735etJ9OKgXrXWNag5hEI4sKWDVcavg5vs2cQziOX2FomDVdy&#10;sM7v7zJMSzvyJw17X4lQwi5FDbX3XSqlK2oy6Oa2Iw6/k+0N+nD2lSx7HEO5aWUcRStpsOGwUGNH&#10;25qK8/5iNLyPOG4S9Trszqft9eew/PjeKdL68WHavIDwNPm/MNzwAzrkgeloL1w60WqYxSq4eA2L&#10;RVC4BZJYJSCOGlbLJwUyz+R/h/wXAAD//wMAUEsBAi0AFAAGAAgAAAAhALaDOJL+AAAA4QEAABMA&#10;AAAAAAAAAAAAAAAAAAAAAFtDb250ZW50X1R5cGVzXS54bWxQSwECLQAUAAYACAAAACEAOP0h/9YA&#10;AACUAQAACwAAAAAAAAAAAAAAAAAvAQAAX3JlbHMvLnJlbHNQSwECLQAUAAYACAAAACEARUWS1QwE&#10;AADiEQAADgAAAAAAAAAAAAAAAAAuAgAAZHJzL2Uyb0RvYy54bWxQSwECLQAUAAYACAAAACEAT+G6&#10;H+EAAAALAQAADwAAAAAAAAAAAAAAAABmBgAAZHJzL2Rvd25yZXYueG1sUEsFBgAAAAAEAAQA8wAA&#10;AHQHAAAAAA==&#10;">
                <v:line id="Line 4" o:spid="_x0000_s1027" style="position:absolute;visibility:visible;mso-wrap-style:square" from="16933,32706" to="82232,32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7SiwQAAANoAAAAPAAAAZHJzL2Rvd25yZXYueG1sRI9Ra8JA&#10;EITfC/0Pxxb6Vi8NpQ3RU0prQPpSjP6AJbfmgrm9kFs1/ntPKPRxmJlvmMVq8r060xi7wAZeZxko&#10;4ibYjlsD+131UoCKgmyxD0wGrhRhtXx8WGBpw4W3dK6lVQnCsUQDTmQotY6NI49xFgbi5B3C6FGS&#10;HFttR7wkuO91nmXv2mPHacHhQF+OmmN98gZk2xTF74evcsHvdXXKef3j2Jjnp+lzDkpokv/wX3tj&#10;DbzB/Uq6AXp5AwAA//8DAFBLAQItABQABgAIAAAAIQDb4fbL7gAAAIUBAAATAAAAAAAAAAAAAAAA&#10;AAAAAABbQ29udGVudF9UeXBlc10ueG1sUEsBAi0AFAAGAAgAAAAhAFr0LFu/AAAAFQEAAAsAAAAA&#10;AAAAAAAAAAAAHwEAAF9yZWxzLy5yZWxzUEsBAi0AFAAGAAgAAAAhADEvtKLBAAAA2gAAAA8AAAAA&#10;AAAAAAAAAAAABwIAAGRycy9kb3ducmV2LnhtbFBLBQYAAAAAAwADALcAAAD1AgAAAAA=&#10;" strokecolor="black [3213]" strokeweight="3pt"/>
                <v:line id="Line 5" o:spid="_x0000_s1028" style="position:absolute;visibility:visible;mso-wrap-style:square" from="51519,4175" to="51519,40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xE5wQAAANoAAAAPAAAAZHJzL2Rvd25yZXYueG1sRI9Ra8JA&#10;EITfC/0Pxxb6Vi8NtA3RU0prQPpSjP6AJbfmgrm9kFs1/ntPKPRxmJlvmMVq8r060xi7wAZeZxko&#10;4ibYjlsD+131UoCKgmyxD0wGrhRhtXx8WGBpw4W3dK6lVQnCsUQDTmQotY6NI49xFgbi5B3C6FGS&#10;HFttR7wkuO91nmXv2mPHacHhQF+OmmN98gZk2xTF74evcsHvdXXKef3j2Jjnp+lzDkpokv/wX3tj&#10;DbzB/Uq6AXp5AwAA//8DAFBLAQItABQABgAIAAAAIQDb4fbL7gAAAIUBAAATAAAAAAAAAAAAAAAA&#10;AAAAAABbQ29udGVudF9UeXBlc10ueG1sUEsBAi0AFAAGAAgAAAAhAFr0LFu/AAAAFQEAAAsAAAAA&#10;AAAAAAAAAAAAHwEAAF9yZWxzLy5yZWxzUEsBAi0AFAAGAAgAAAAhAF5jETnBAAAA2gAAAA8AAAAA&#10;AAAAAAAAAAAABwIAAGRycy9kb3ducmV2LnhtbFBLBQYAAAAAAwADALcAAAD1AgAAAAA=&#10;" strokecolor="black [3213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44392;top:40580;width:14389;height:6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PW3vQAAANoAAAAPAAAAZHJzL2Rvd25yZXYueG1sRI/NCsIw&#10;EITvgu8QVvCmqQoi1SgiCJ4E/6DelmZti82mNNG2b28EweMwM98wq01rSvGm2hWWFUzGEQji1OqC&#10;MwXXy360AOE8ssbSMinoyMFm3e+tMNa24RO9zz4TAcIuRgW591UspUtzMujGtiIO3sPWBn2QdSZ1&#10;jU2Am1JOo2guDRYcFnKsaJdT+jy/jIJj1z239yZJkht6o3HmzJ0WSg0H7XYJwlPr/+Ff+6AVzOF7&#10;JdwAuf4AAAD//wMAUEsBAi0AFAAGAAgAAAAhANvh9svuAAAAhQEAABMAAAAAAAAAAAAAAAAAAAAA&#10;AFtDb250ZW50X1R5cGVzXS54bWxQSwECLQAUAAYACAAAACEAWvQsW78AAAAVAQAACwAAAAAAAAAA&#10;AAAAAAAfAQAAX3JlbHMvLnJlbHNQSwECLQAUAAYACAAAACEAfTj1t70AAADaAAAADwAAAAAAAAAA&#10;AAAAAAAHAgAAZHJzL2Rvd25yZXYueG1sUEsFBgAAAAADAAMAtwAAAPECAAAAAA==&#10;" fillcolor="white [3212]" strokecolor="black [3213]">
                  <v:textbox>
                    <w:txbxContent>
                      <w:p w14:paraId="122B0850" w14:textId="77777777" w:rsidR="001B621C" w:rsidRPr="001B621C" w:rsidRDefault="001B621C" w:rsidP="001B621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1B621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AU"/>
                          </w:rPr>
                          <w:t>LOW IMPACT</w:t>
                        </w:r>
                      </w:p>
                    </w:txbxContent>
                  </v:textbox>
                </v:shape>
                <v:shape id="Text Box 9" o:spid="_x0000_s1030" type="#_x0000_t202" style="position:absolute;left:82198;top:29320;width:17869;height:6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FAswAAAANoAAAAPAAAAZHJzL2Rvd25yZXYueG1sRI9Pi8Iw&#10;FMTvgt8hPGFvmrqCSjUtIix4EtY/UG+P5tkWm5fSRNt++82C4HGYmd8w27Q3tXhR6yrLCuazCARx&#10;bnXFhYLL+We6BuE8ssbaMikYyEGajEdbjLXt+JdeJ1+IAGEXo4LS+yaW0uUlGXQz2xAH725bgz7I&#10;tpC6xS7ATS2/o2gpDVYcFkpsaF9S/jg9jYLjMDx2ty7Lsit6o3HhzI3WSn1N+t0GhKfef8Lv9kEr&#10;WMH/lXADZPIHAAD//wMAUEsBAi0AFAAGAAgAAAAhANvh9svuAAAAhQEAABMAAAAAAAAAAAAAAAAA&#10;AAAAAFtDb250ZW50X1R5cGVzXS54bWxQSwECLQAUAAYACAAAACEAWvQsW78AAAAVAQAACwAAAAAA&#10;AAAAAAAAAAAfAQAAX3JlbHMvLnJlbHNQSwECLQAUAAYACAAAACEAEnRQLMAAAADaAAAADwAAAAAA&#10;AAAAAAAAAAAHAgAAZHJzL2Rvd25yZXYueG1sUEsFBgAAAAADAAMAtwAAAPQCAAAAAA==&#10;" fillcolor="white [3212]" strokecolor="black [3213]">
                  <v:textbox>
                    <w:txbxContent>
                      <w:p w14:paraId="17EA8F8D" w14:textId="77777777" w:rsidR="001B621C" w:rsidRPr="001B621C" w:rsidRDefault="001B621C" w:rsidP="001B621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1B621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AU"/>
                          </w:rPr>
                          <w:t>HIGH EFFORT</w:t>
                        </w:r>
                      </w:p>
                    </w:txbxContent>
                  </v:textbox>
                </v:shape>
                <v:rect id="Rectangle 8" o:spid="_x0000_s1031" style="position:absolute;left:17549;top:3898;width:33612;height:288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9nAwAAAANoAAAAPAAAAZHJzL2Rvd25yZXYueG1sRE/LisIw&#10;FN0P+A/hCu7GVEFHOqYigqKIiHWG2V6a2wc2N6WJtf69WQizPJz3ctWbWnTUusqygsk4AkGcWV1x&#10;oeDnuv1cgHAeWWNtmRQ8ycEqGXwsMdb2wRfqUl+IEMIuRgWl900spctKMujGtiEOXG5bgz7AtpC6&#10;xUcIN7WcRtFcGqw4NJTY0Kak7JbejYJ0mm2Pv/PzYf11ev7dOnOe4S5XajTs198gPPX+X/x277WC&#10;sDVcCTdAJi8AAAD//wMAUEsBAi0AFAAGAAgAAAAhANvh9svuAAAAhQEAABMAAAAAAAAAAAAAAAAA&#10;AAAAAFtDb250ZW50X1R5cGVzXS54bWxQSwECLQAUAAYACAAAACEAWvQsW78AAAAVAQAACwAAAAAA&#10;AAAAAAAAAAAfAQAAX3JlbHMvLnJlbHNQSwECLQAUAAYACAAAACEAXLfZwMAAAADaAAAADwAAAAAA&#10;AAAAAAAAAAAHAgAAZHJzL2Rvd25yZXYueG1sUEsFBgAAAAADAAMAtwAAAPQCAAAAAA==&#10;" fillcolor="#9c0" stroked="f">
                  <v:fill opacity="26214f"/>
                </v:rect>
                <v:shape id="Text Box 6" o:spid="_x0000_s1032" type="#_x0000_t202" style="position:absolute;left:44318;top:1267;width:14396;height:7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2HFvwAAANoAAAAPAAAAZHJzL2Rvd25yZXYueG1sRI/NqsIw&#10;FIT3gu8QjuBOUxUuWo0iguBK8A/q7tAc22JzUppo27c3FwSXw8x8w6w2rSnFm2pXWFYwGUcgiFOr&#10;C84UXC/70RyE88gaS8ukoCMHm3W/t8JY24ZP9D77TAQIuxgV5N5XsZQuzcmgG9uKOHgPWxv0QdaZ&#10;1DU2AW5KOY2iP2mw4LCQY0W7nNLn+WUUHLvuub03SZLc0BuNM2fuNFdqOGi3SxCeWv8Lf9sHrWAB&#10;/1fCDZDrDwAAAP//AwBQSwECLQAUAAYACAAAACEA2+H2y+4AAACFAQAAEwAAAAAAAAAAAAAAAAAA&#10;AAAAW0NvbnRlbnRfVHlwZXNdLnhtbFBLAQItABQABgAIAAAAIQBa9CxbvwAAABUBAAALAAAAAAAA&#10;AAAAAAAAAB8BAABfcmVscy8ucmVsc1BLAQItABQABgAIAAAAIQAMp2HFvwAAANoAAAAPAAAAAAAA&#10;AAAAAAAAAAcCAABkcnMvZG93bnJldi54bWxQSwUGAAAAAAMAAwC3AAAA8wIAAAAA&#10;" fillcolor="white [3212]" strokecolor="black [3213]">
                  <v:textbox>
                    <w:txbxContent>
                      <w:p w14:paraId="1C91C754" w14:textId="77777777" w:rsidR="001B621C" w:rsidRPr="001B621C" w:rsidRDefault="001B621C" w:rsidP="001B621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1B621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AU"/>
                          </w:rPr>
                          <w:t>HIGH IMPACT</w:t>
                        </w:r>
                      </w:p>
                    </w:txbxContent>
                  </v:textbox>
                </v:shape>
                <v:shape id="Text Box 8" o:spid="_x0000_s1033" type="#_x0000_t202" style="position:absolute;top:29038;width:16935;height:6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kvRwQAAANsAAAAPAAAAZHJzL2Rvd25yZXYueG1sRI9Bi8JA&#10;DIXvwv6HIYI3nerCItVRRFjwJKy7C+0tdGJb7GRKZ7TtvzcHwVvCe3nvy3Y/uEY9qAu1ZwPLRQKK&#10;uPC25tLA3+/3fA0qRGSLjWcyMFKA/e5jssXU+p5/6HGJpZIQDikaqGJsU61DUZHDsPAtsWhX3zmM&#10;snalth32Eu4avUqSL+2wZmmosKVjRcXtcncGzuN4O+R9lmX/GJ3Fz+ByWhszmw6HDahIQ3ybX9cn&#10;K/hCL7/IAHr3BAAA//8DAFBLAQItABQABgAIAAAAIQDb4fbL7gAAAIUBAAATAAAAAAAAAAAAAAAA&#10;AAAAAABbQ29udGVudF9UeXBlc10ueG1sUEsBAi0AFAAGAAgAAAAhAFr0LFu/AAAAFQEAAAsAAAAA&#10;AAAAAAAAAAAAHwEAAF9yZWxzLy5yZWxzUEsBAi0AFAAGAAgAAAAhAFJmS9HBAAAA2wAAAA8AAAAA&#10;AAAAAAAAAAAABwIAAGRycy9kb3ducmV2LnhtbFBLBQYAAAAAAwADALcAAAD1AgAAAAA=&#10;" fillcolor="white [3212]" strokecolor="black [3213]">
                  <v:textbox>
                    <w:txbxContent>
                      <w:p w14:paraId="1F989059" w14:textId="77777777" w:rsidR="001B621C" w:rsidRPr="001B621C" w:rsidRDefault="001B621C" w:rsidP="001B621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1B621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AU"/>
                          </w:rPr>
                          <w:t>LOW EFFORT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i/>
          <w:noProof/>
          <w:szCs w:val="22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FDDF0" wp14:editId="0D94F5FD">
                <wp:simplePos x="0" y="0"/>
                <wp:positionH relativeFrom="column">
                  <wp:posOffset>2375366</wp:posOffset>
                </wp:positionH>
                <wp:positionV relativeFrom="paragraph">
                  <wp:posOffset>2364107</wp:posOffset>
                </wp:positionV>
                <wp:extent cx="1061761" cy="459839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61" cy="4598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66DF7" w14:textId="77777777" w:rsidR="001B621C" w:rsidRPr="001B621C" w:rsidRDefault="001B621C" w:rsidP="001B621C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1B621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AU"/>
                              </w:rPr>
                              <w:t>BEST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FDDF0" id="Text Box 11" o:spid="_x0000_s1034" type="#_x0000_t202" style="position:absolute;left:0;text-align:left;margin-left:187.05pt;margin-top:186.15pt;width:83.6pt;height:3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Tg4AEAAJkDAAAOAAAAZHJzL2Uyb0RvYy54bWysU8tu2zAQvBfoPxC815Kc2LUF00EeTS9p&#10;EiDpB9AUZREluSxJW/Lfd0nZrtHeiupA8LE7OzO7Wt0MRpO99EGBZbSalJRIK6BRdsvo9/fHTwtK&#10;QuS24RqsZPQgA71Zf/yw6l0tp9CBbqQnCGJD3TtGuxhdXRRBdNLwMAEnLT624A2PePTbovG8R3Sj&#10;i2lZzosefOM8CBkC3j6Mj3Sd8dtWivjStkFGohlFbjGvPq+btBbrFa+3nrtOiSMN/g8sDFcWi56h&#10;HnjkZOfVX1BGCQ8B2jgRYApoWyVk1oBqqvIPNW8ddzJrQXOCO9sU/h+seN6/eqIaRq8osdxgi97l&#10;EMkdDKSqkj29CzVGvTmMiwPeY5uz1OCeQPwIxMJ9x+1W3noPfSd5g/RyZnGROuKEBLLpv0GDdfgu&#10;QgYaWm+Sd+gGQXRs0+HcmsRFpJLlvPo8rygR+HY9Wy6ulolcwetTtvMhfpVgSNow6rH1GZ3vn0Ic&#10;Q08hqZiFR6V1br+2pGd0OZvOcsLFi1ERp1Mrw+iiTN84L0nkF9vk5MiVHvfIRVuklFQnoaPkOGyG&#10;7O/1ycwNNAe0ocehYzT83HGfepwY3aIjrcpkE8gYeETE/me5x1lNA3Z5zlG//6j1LwAAAP//AwBQ&#10;SwMEFAAGAAgAAAAhAAj2W2veAAAACwEAAA8AAABkcnMvZG93bnJldi54bWxMj8FOwzAMhu9IvENk&#10;JG4s6ZaxUZpOCMQVxIBJ3LLGaysap2qytbw93gluv+VPvz8Xm8l34oRDbAMZyGYKBFIVXEu1gY/3&#10;55s1iJgsOdsFQgM/GGFTXl4UNndhpDc8bVMtuIRibg00KfW5lLFq0Ns4Cz0S7w5h8DbxONTSDXbk&#10;ct/JuVK30tuW+EJje3xssPreHr2Bz5fD106r1/rJL/sxTEqSv5PGXF9ND/cgEk7pD4azPqtDyU77&#10;cCQXRWdgsdIZo+cwX4BgYqkzDnsDWusVyLKQ/38ofwEAAP//AwBQSwECLQAUAAYACAAAACEAtoM4&#10;kv4AAADhAQAAEwAAAAAAAAAAAAAAAAAAAAAAW0NvbnRlbnRfVHlwZXNdLnhtbFBLAQItABQABgAI&#10;AAAAIQA4/SH/1gAAAJQBAAALAAAAAAAAAAAAAAAAAC8BAABfcmVscy8ucmVsc1BLAQItABQABgAI&#10;AAAAIQBKv7Tg4AEAAJkDAAAOAAAAAAAAAAAAAAAAAC4CAABkcnMvZTJvRG9jLnhtbFBLAQItABQA&#10;BgAIAAAAIQAI9ltr3gAAAAsBAAAPAAAAAAAAAAAAAAAAADoEAABkcnMvZG93bnJldi54bWxQSwUG&#10;AAAAAAQABADzAAAARQUAAAAA&#10;" filled="f" stroked="f">
                <v:textbox>
                  <w:txbxContent>
                    <w:p w14:paraId="3AE66DF7" w14:textId="77777777" w:rsidR="001B621C" w:rsidRPr="001B621C" w:rsidRDefault="001B621C" w:rsidP="001B621C">
                      <w:pPr>
                        <w:pStyle w:val="NormalWeb"/>
                        <w:spacing w:before="24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1B621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AU"/>
                        </w:rPr>
                        <w:t>BEST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621C" w:rsidRPr="00C734B2" w:rsidSect="00EF3688">
      <w:footerReference w:type="default" r:id="rId14"/>
      <w:pgSz w:w="16838" w:h="11906" w:orient="landscape"/>
      <w:pgMar w:top="1440" w:right="1440" w:bottom="1440" w:left="144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8E298" w14:textId="77777777" w:rsidR="00F01383" w:rsidRDefault="00F01383" w:rsidP="00C734B2">
      <w:pPr>
        <w:spacing w:line="240" w:lineRule="auto"/>
      </w:pPr>
      <w:r>
        <w:separator/>
      </w:r>
    </w:p>
  </w:endnote>
  <w:endnote w:type="continuationSeparator" w:id="0">
    <w:p w14:paraId="64CF68D7" w14:textId="77777777" w:rsidR="00F01383" w:rsidRDefault="00F01383" w:rsidP="00C73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714908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7E8E8D21" w14:textId="0ED7084D" w:rsidR="00C734B2" w:rsidRPr="000D3F3F" w:rsidRDefault="00055068" w:rsidP="00D16685">
        <w:pPr>
          <w:pStyle w:val="Footer"/>
          <w:tabs>
            <w:tab w:val="clear" w:pos="9026"/>
            <w:tab w:val="right" w:pos="8742"/>
          </w:tabs>
          <w:ind w:right="5216"/>
          <w:jc w:val="right"/>
          <w:rPr>
            <w:sz w:val="20"/>
          </w:rPr>
        </w:pPr>
        <w:r w:rsidRPr="00AB2933">
          <w:rPr>
            <w:sz w:val="20"/>
          </w:rPr>
          <w:t xml:space="preserve">Adverse event </w:t>
        </w:r>
        <w:r w:rsidR="000D3F3F">
          <w:rPr>
            <w:sz w:val="20"/>
          </w:rPr>
          <w:t>review template</w:t>
        </w:r>
        <w:r w:rsidRPr="00AB2933">
          <w:rPr>
            <w:sz w:val="20"/>
          </w:rPr>
          <w:t xml:space="preserve"> | Health Quality &amp; Safety Commission 201</w:t>
        </w:r>
        <w:r w:rsidR="000D3F3F">
          <w:rPr>
            <w:sz w:val="20"/>
          </w:rPr>
          <w:t>8</w:t>
        </w:r>
        <w:r w:rsidRPr="00AB2933">
          <w:rPr>
            <w:sz w:val="20"/>
          </w:rPr>
          <w:tab/>
        </w:r>
        <w:r w:rsidR="00D16685">
          <w:rPr>
            <w:sz w:val="20"/>
          </w:rPr>
          <w:tab/>
        </w:r>
        <w:r w:rsidR="00D16685">
          <w:rPr>
            <w:sz w:val="20"/>
          </w:rPr>
          <w:tab/>
        </w:r>
        <w:r w:rsidR="00D16685">
          <w:rPr>
            <w:sz w:val="20"/>
          </w:rPr>
          <w:tab/>
        </w:r>
        <w:r w:rsidR="00D16685">
          <w:rPr>
            <w:sz w:val="20"/>
          </w:rPr>
          <w:tab/>
        </w:r>
        <w:r w:rsidR="00D16685">
          <w:rPr>
            <w:sz w:val="20"/>
          </w:rPr>
          <w:tab/>
        </w:r>
        <w:r w:rsidR="00D16685">
          <w:rPr>
            <w:sz w:val="20"/>
          </w:rPr>
          <w:tab/>
        </w:r>
        <w:r w:rsidR="00D16685">
          <w:rPr>
            <w:sz w:val="20"/>
          </w:rPr>
          <w:tab/>
        </w:r>
        <w:r w:rsidRPr="00AB2933">
          <w:rPr>
            <w:sz w:val="20"/>
          </w:rPr>
          <w:fldChar w:fldCharType="begin"/>
        </w:r>
        <w:r w:rsidRPr="00AB2933">
          <w:rPr>
            <w:sz w:val="20"/>
          </w:rPr>
          <w:instrText xml:space="preserve"> PAGE   \* MERGEFORMAT </w:instrText>
        </w:r>
        <w:r w:rsidRPr="00AB2933">
          <w:rPr>
            <w:sz w:val="20"/>
          </w:rPr>
          <w:fldChar w:fldCharType="separate"/>
        </w:r>
        <w:r w:rsidR="00D62FAC">
          <w:rPr>
            <w:noProof/>
            <w:sz w:val="20"/>
          </w:rPr>
          <w:t>7</w:t>
        </w:r>
        <w:r w:rsidRPr="00AB2933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31F8E" w14:textId="77777777" w:rsidR="00F01383" w:rsidRDefault="00F01383" w:rsidP="00C734B2">
      <w:pPr>
        <w:spacing w:line="240" w:lineRule="auto"/>
      </w:pPr>
      <w:r>
        <w:separator/>
      </w:r>
    </w:p>
  </w:footnote>
  <w:footnote w:type="continuationSeparator" w:id="0">
    <w:p w14:paraId="6164B43A" w14:textId="77777777" w:rsidR="00F01383" w:rsidRDefault="00F01383" w:rsidP="00C734B2">
      <w:pPr>
        <w:spacing w:line="240" w:lineRule="auto"/>
      </w:pPr>
      <w:r>
        <w:continuationSeparator/>
      </w:r>
    </w:p>
  </w:footnote>
  <w:footnote w:id="1">
    <w:p w14:paraId="4581FBF1" w14:textId="2B2B8CE9" w:rsidR="00471C66" w:rsidRPr="00441CD1" w:rsidRDefault="00471C66">
      <w:pPr>
        <w:pStyle w:val="FootnoteText"/>
        <w:rPr>
          <w:sz w:val="16"/>
          <w:szCs w:val="16"/>
        </w:rPr>
      </w:pPr>
      <w:r w:rsidRPr="00441CD1">
        <w:rPr>
          <w:rStyle w:val="FootnoteReference"/>
          <w:sz w:val="16"/>
          <w:szCs w:val="16"/>
        </w:rPr>
        <w:footnoteRef/>
      </w:r>
      <w:r w:rsidRPr="00441CD1">
        <w:rPr>
          <w:sz w:val="16"/>
          <w:szCs w:val="16"/>
        </w:rPr>
        <w:t xml:space="preserve"> Health Quality &amp; Safety Commission. </w:t>
      </w:r>
      <w:r w:rsidR="00EF102E">
        <w:rPr>
          <w:sz w:val="16"/>
          <w:szCs w:val="16"/>
        </w:rPr>
        <w:t xml:space="preserve">2017. </w:t>
      </w:r>
      <w:r w:rsidRPr="00441CD1">
        <w:rPr>
          <w:sz w:val="16"/>
          <w:szCs w:val="16"/>
        </w:rPr>
        <w:t>National Adverse Events Reporting Policy 2017.</w:t>
      </w:r>
      <w:r w:rsidR="00EF102E">
        <w:rPr>
          <w:sz w:val="16"/>
          <w:szCs w:val="16"/>
        </w:rPr>
        <w:t xml:space="preserve"> Wellington: </w:t>
      </w:r>
      <w:r w:rsidR="00EF102E" w:rsidRPr="00EF102E">
        <w:rPr>
          <w:sz w:val="16"/>
          <w:szCs w:val="16"/>
        </w:rPr>
        <w:t>Health Quality &amp; Safety Commission</w:t>
      </w:r>
      <w:r w:rsidR="00EF102E">
        <w:rPr>
          <w:sz w:val="16"/>
          <w:szCs w:val="16"/>
        </w:rPr>
        <w:t xml:space="preserve">. URL: </w:t>
      </w:r>
      <w:hyperlink r:id="rId1" w:history="1">
        <w:r w:rsidR="00016CF4" w:rsidRPr="00430B15">
          <w:rPr>
            <w:rStyle w:val="Hyperlink"/>
            <w:sz w:val="16"/>
            <w:szCs w:val="16"/>
          </w:rPr>
          <w:t>www.hqsc.govt.nz/our-programmes/adverse-events/national-adverse-events-policy</w:t>
        </w:r>
      </w:hyperlink>
      <w:r w:rsidR="00016CF4">
        <w:rPr>
          <w:sz w:val="16"/>
          <w:szCs w:val="16"/>
        </w:rPr>
        <w:t xml:space="preserve"> (accessed 30 May 2018). </w:t>
      </w:r>
    </w:p>
  </w:footnote>
  <w:footnote w:id="2">
    <w:p w14:paraId="0961E770" w14:textId="40C9A0DC" w:rsidR="00471C66" w:rsidRPr="00441CD1" w:rsidRDefault="00471C66">
      <w:pPr>
        <w:pStyle w:val="FootnoteText"/>
        <w:rPr>
          <w:sz w:val="16"/>
          <w:szCs w:val="16"/>
        </w:rPr>
      </w:pPr>
      <w:r w:rsidRPr="00441CD1">
        <w:rPr>
          <w:rStyle w:val="FootnoteReference"/>
          <w:sz w:val="16"/>
          <w:szCs w:val="16"/>
        </w:rPr>
        <w:footnoteRef/>
      </w:r>
      <w:r w:rsidRPr="00441CD1">
        <w:rPr>
          <w:sz w:val="16"/>
          <w:szCs w:val="16"/>
        </w:rPr>
        <w:t xml:space="preserve"> Dekker S. 2011.</w:t>
      </w:r>
      <w:r w:rsidRPr="00441CD1">
        <w:rPr>
          <w:i/>
          <w:sz w:val="16"/>
          <w:szCs w:val="16"/>
        </w:rPr>
        <w:t xml:space="preserve"> Patient Safety: A Human Factors Approach</w:t>
      </w:r>
      <w:r w:rsidRPr="00441CD1">
        <w:rPr>
          <w:sz w:val="16"/>
          <w:szCs w:val="16"/>
        </w:rPr>
        <w:t>. CRC Press</w:t>
      </w:r>
      <w:r w:rsidR="00016CF4">
        <w:rPr>
          <w:sz w:val="16"/>
          <w:szCs w:val="16"/>
        </w:rPr>
        <w:t>.</w:t>
      </w:r>
    </w:p>
  </w:footnote>
  <w:footnote w:id="3">
    <w:p w14:paraId="395D996B" w14:textId="68A0D81F" w:rsidR="00471C66" w:rsidRPr="00441CD1" w:rsidRDefault="00471C66">
      <w:pPr>
        <w:pStyle w:val="FootnoteText"/>
        <w:rPr>
          <w:sz w:val="16"/>
          <w:szCs w:val="16"/>
        </w:rPr>
      </w:pPr>
      <w:r w:rsidRPr="00441CD1">
        <w:rPr>
          <w:rStyle w:val="FootnoteReference"/>
          <w:sz w:val="16"/>
          <w:szCs w:val="16"/>
        </w:rPr>
        <w:footnoteRef/>
      </w:r>
      <w:r w:rsidRPr="00441CD1">
        <w:rPr>
          <w:sz w:val="16"/>
          <w:szCs w:val="16"/>
        </w:rPr>
        <w:t xml:space="preserve"> Queensland Health. </w:t>
      </w:r>
      <w:r w:rsidR="00441CD1" w:rsidRPr="00441CD1">
        <w:rPr>
          <w:sz w:val="16"/>
          <w:szCs w:val="16"/>
        </w:rPr>
        <w:t xml:space="preserve">2014. </w:t>
      </w:r>
      <w:r w:rsidRPr="00441CD1">
        <w:rPr>
          <w:i/>
          <w:sz w:val="16"/>
          <w:szCs w:val="16"/>
        </w:rPr>
        <w:t>Best practice guide to clinical incident management.</w:t>
      </w:r>
      <w:r w:rsidR="00441CD1" w:rsidRPr="00441CD1">
        <w:rPr>
          <w:i/>
          <w:sz w:val="16"/>
          <w:szCs w:val="16"/>
        </w:rPr>
        <w:t xml:space="preserve"> </w:t>
      </w:r>
      <w:r w:rsidR="00441CD1" w:rsidRPr="00441CD1">
        <w:rPr>
          <w:sz w:val="16"/>
          <w:szCs w:val="16"/>
        </w:rPr>
        <w:t>Fortitude Valley, QLD: Queensland Health.</w:t>
      </w:r>
      <w:r w:rsidRPr="00441CD1">
        <w:rPr>
          <w:sz w:val="16"/>
          <w:szCs w:val="16"/>
        </w:rPr>
        <w:t xml:space="preserve"> </w:t>
      </w:r>
      <w:r w:rsidR="00441CD1" w:rsidRPr="00441CD1">
        <w:rPr>
          <w:sz w:val="16"/>
          <w:szCs w:val="16"/>
        </w:rPr>
        <w:t xml:space="preserve">URL: </w:t>
      </w:r>
      <w:hyperlink r:id="rId2" w:history="1">
        <w:r w:rsidR="00441CD1" w:rsidRPr="00441CD1">
          <w:rPr>
            <w:rStyle w:val="Hyperlink"/>
            <w:sz w:val="16"/>
            <w:szCs w:val="16"/>
          </w:rPr>
          <w:t>https://clinicalexcellence.qld.gov.au/sites/default/files/2018-01/clinicalincidentguide.pdf</w:t>
        </w:r>
      </w:hyperlink>
      <w:r w:rsidR="00441CD1" w:rsidRPr="00441CD1">
        <w:rPr>
          <w:sz w:val="16"/>
          <w:szCs w:val="16"/>
        </w:rPr>
        <w:t xml:space="preserve"> (accessed 30 May 2018)</w:t>
      </w:r>
    </w:p>
  </w:footnote>
  <w:footnote w:id="4">
    <w:p w14:paraId="30BFAE42" w14:textId="458E3563" w:rsidR="007E0081" w:rsidRPr="00441CD1" w:rsidRDefault="007E0081">
      <w:pPr>
        <w:pStyle w:val="FootnoteText"/>
        <w:rPr>
          <w:sz w:val="16"/>
          <w:szCs w:val="16"/>
        </w:rPr>
      </w:pPr>
      <w:r w:rsidRPr="00441CD1">
        <w:rPr>
          <w:rStyle w:val="FootnoteReference"/>
          <w:sz w:val="16"/>
          <w:szCs w:val="16"/>
        </w:rPr>
        <w:footnoteRef/>
      </w:r>
      <w:r w:rsidRPr="00441CD1">
        <w:rPr>
          <w:sz w:val="16"/>
          <w:szCs w:val="16"/>
        </w:rPr>
        <w:t xml:space="preserve"> </w:t>
      </w:r>
      <w:r w:rsidR="00441CD1" w:rsidRPr="00441CD1">
        <w:rPr>
          <w:i/>
          <w:sz w:val="16"/>
          <w:szCs w:val="16"/>
        </w:rPr>
        <w:t>Ibid.</w:t>
      </w:r>
    </w:p>
  </w:footnote>
  <w:footnote w:id="5">
    <w:p w14:paraId="709A8DCF" w14:textId="2A7F035D" w:rsidR="007E0081" w:rsidRPr="00441CD1" w:rsidRDefault="007E0081">
      <w:pPr>
        <w:pStyle w:val="FootnoteText"/>
        <w:rPr>
          <w:sz w:val="16"/>
          <w:szCs w:val="16"/>
        </w:rPr>
      </w:pPr>
      <w:r w:rsidRPr="00441CD1">
        <w:rPr>
          <w:rStyle w:val="FootnoteReference"/>
          <w:sz w:val="16"/>
          <w:szCs w:val="16"/>
        </w:rPr>
        <w:footnoteRef/>
      </w:r>
      <w:r w:rsidRPr="00441CD1">
        <w:rPr>
          <w:sz w:val="16"/>
          <w:szCs w:val="16"/>
        </w:rPr>
        <w:t xml:space="preserve"> </w:t>
      </w:r>
      <w:r w:rsidR="00441CD1" w:rsidRPr="00441CD1">
        <w:rPr>
          <w:i/>
          <w:sz w:val="16"/>
          <w:szCs w:val="16"/>
        </w:rPr>
        <w:t>Ibid.</w:t>
      </w:r>
      <w:r w:rsidRPr="00441CD1">
        <w:rPr>
          <w:sz w:val="16"/>
          <w:szCs w:val="16"/>
        </w:rPr>
        <w:t xml:space="preserve"> </w:t>
      </w:r>
    </w:p>
  </w:footnote>
  <w:footnote w:id="6">
    <w:p w14:paraId="37E0628F" w14:textId="6739C1D0" w:rsidR="000D3F3F" w:rsidRPr="00441CD1" w:rsidRDefault="000D3F3F">
      <w:pPr>
        <w:pStyle w:val="FootnoteText"/>
        <w:rPr>
          <w:sz w:val="16"/>
          <w:szCs w:val="16"/>
        </w:rPr>
      </w:pPr>
      <w:r w:rsidRPr="00441CD1">
        <w:rPr>
          <w:rStyle w:val="FootnoteReference"/>
          <w:sz w:val="16"/>
          <w:szCs w:val="16"/>
        </w:rPr>
        <w:footnoteRef/>
      </w:r>
      <w:r w:rsidRPr="00441CD1">
        <w:rPr>
          <w:sz w:val="16"/>
          <w:szCs w:val="16"/>
        </w:rPr>
        <w:t xml:space="preserve"> </w:t>
      </w:r>
      <w:r w:rsidR="003F1CF6" w:rsidRPr="00441CD1">
        <w:rPr>
          <w:sz w:val="16"/>
          <w:szCs w:val="16"/>
        </w:rPr>
        <w:t>Dekker S. 2011.</w:t>
      </w:r>
      <w:r w:rsidR="003F1CF6" w:rsidRPr="00441CD1">
        <w:rPr>
          <w:i/>
          <w:sz w:val="16"/>
          <w:szCs w:val="16"/>
        </w:rPr>
        <w:t xml:space="preserve"> Patient Safety: A Human Factors Approach</w:t>
      </w:r>
      <w:r w:rsidR="003F1CF6" w:rsidRPr="00441CD1">
        <w:rPr>
          <w:sz w:val="16"/>
          <w:szCs w:val="16"/>
        </w:rPr>
        <w:t>. CRC Press.</w:t>
      </w:r>
    </w:p>
  </w:footnote>
  <w:footnote w:id="7">
    <w:p w14:paraId="7F130650" w14:textId="2E926AB7" w:rsidR="000D3F3F" w:rsidRPr="00441CD1" w:rsidRDefault="000D3F3F" w:rsidP="003F080E">
      <w:pPr>
        <w:pStyle w:val="FootnoteText"/>
        <w:rPr>
          <w:rFonts w:cs="Arial"/>
          <w:sz w:val="16"/>
          <w:szCs w:val="16"/>
        </w:rPr>
      </w:pPr>
      <w:r w:rsidRPr="00441CD1">
        <w:rPr>
          <w:rStyle w:val="FootnoteReference"/>
          <w:rFonts w:cs="Arial"/>
          <w:sz w:val="16"/>
          <w:szCs w:val="16"/>
        </w:rPr>
        <w:footnoteRef/>
      </w:r>
      <w:r w:rsidRPr="00441CD1">
        <w:rPr>
          <w:rFonts w:cs="Arial"/>
          <w:sz w:val="16"/>
          <w:szCs w:val="16"/>
        </w:rPr>
        <w:t xml:space="preserve"> </w:t>
      </w:r>
      <w:r w:rsidR="007E0081" w:rsidRPr="00441CD1">
        <w:rPr>
          <w:sz w:val="16"/>
          <w:szCs w:val="16"/>
        </w:rPr>
        <w:t>Queensland Health</w:t>
      </w:r>
      <w:r w:rsidR="00441CD1" w:rsidRPr="00441CD1">
        <w:rPr>
          <w:sz w:val="16"/>
          <w:szCs w:val="16"/>
        </w:rPr>
        <w:t xml:space="preserve"> 2014, </w:t>
      </w:r>
      <w:r w:rsidR="00441CD1" w:rsidRPr="00441CD1">
        <w:rPr>
          <w:i/>
          <w:sz w:val="16"/>
          <w:szCs w:val="16"/>
        </w:rPr>
        <w:t>op. cit.</w:t>
      </w:r>
    </w:p>
  </w:footnote>
  <w:footnote w:id="8">
    <w:p w14:paraId="4EF1C6D3" w14:textId="7E2B2A87" w:rsidR="000D3F3F" w:rsidRPr="00441CD1" w:rsidRDefault="000D3F3F" w:rsidP="003F080E">
      <w:pPr>
        <w:pStyle w:val="FootnoteText"/>
        <w:rPr>
          <w:rFonts w:cs="Arial"/>
          <w:i/>
          <w:sz w:val="16"/>
          <w:szCs w:val="16"/>
        </w:rPr>
      </w:pPr>
      <w:r w:rsidRPr="00441CD1">
        <w:rPr>
          <w:rStyle w:val="FootnoteReference"/>
          <w:rFonts w:cs="Arial"/>
          <w:sz w:val="16"/>
          <w:szCs w:val="16"/>
        </w:rPr>
        <w:footnoteRef/>
      </w:r>
      <w:r w:rsidRPr="00441CD1">
        <w:rPr>
          <w:rFonts w:cs="Arial"/>
          <w:sz w:val="16"/>
          <w:szCs w:val="16"/>
        </w:rPr>
        <w:t xml:space="preserve"> </w:t>
      </w:r>
      <w:r w:rsidR="007E0081" w:rsidRPr="00441CD1">
        <w:rPr>
          <w:rFonts w:cs="Arial"/>
          <w:i/>
          <w:sz w:val="16"/>
          <w:szCs w:val="16"/>
        </w:rPr>
        <w:t>Ibid</w:t>
      </w:r>
      <w:r w:rsidR="001235D4" w:rsidRPr="00441CD1">
        <w:rPr>
          <w:rFonts w:cs="Arial"/>
          <w:i/>
          <w:sz w:val="16"/>
          <w:szCs w:val="16"/>
        </w:rPr>
        <w:t>.</w:t>
      </w:r>
    </w:p>
  </w:footnote>
  <w:footnote w:id="9">
    <w:p w14:paraId="53398A98" w14:textId="542D1E7F" w:rsidR="000D3F3F" w:rsidRPr="00441CD1" w:rsidRDefault="000D3F3F" w:rsidP="003F080E">
      <w:pPr>
        <w:pStyle w:val="FootnoteText"/>
        <w:rPr>
          <w:rFonts w:cs="Arial"/>
          <w:sz w:val="16"/>
          <w:szCs w:val="16"/>
        </w:rPr>
      </w:pPr>
      <w:r w:rsidRPr="00441CD1">
        <w:rPr>
          <w:rStyle w:val="FootnoteReference"/>
          <w:rFonts w:cs="Arial"/>
          <w:sz w:val="16"/>
          <w:szCs w:val="16"/>
        </w:rPr>
        <w:footnoteRef/>
      </w:r>
      <w:r w:rsidR="00441CD1" w:rsidRPr="00441CD1">
        <w:rPr>
          <w:rFonts w:cs="Arial"/>
          <w:sz w:val="16"/>
          <w:szCs w:val="16"/>
        </w:rPr>
        <w:t xml:space="preserve"> </w:t>
      </w:r>
      <w:r w:rsidR="00441CD1" w:rsidRPr="00441CD1">
        <w:rPr>
          <w:rFonts w:cs="Arial"/>
          <w:i/>
          <w:sz w:val="16"/>
          <w:szCs w:val="16"/>
        </w:rPr>
        <w:t>Ibid.</w:t>
      </w:r>
    </w:p>
  </w:footnote>
  <w:footnote w:id="10">
    <w:p w14:paraId="1C4A2F14" w14:textId="175E96D0" w:rsidR="001235D4" w:rsidRPr="00441CD1" w:rsidRDefault="001235D4" w:rsidP="001235D4">
      <w:pPr>
        <w:pStyle w:val="FootnoteText"/>
        <w:rPr>
          <w:sz w:val="16"/>
          <w:szCs w:val="16"/>
        </w:rPr>
      </w:pPr>
      <w:r w:rsidRPr="00441CD1">
        <w:rPr>
          <w:rStyle w:val="FootnoteReference"/>
          <w:sz w:val="16"/>
          <w:szCs w:val="16"/>
        </w:rPr>
        <w:footnoteRef/>
      </w:r>
      <w:r w:rsidRPr="00441CD1">
        <w:rPr>
          <w:sz w:val="16"/>
          <w:szCs w:val="16"/>
        </w:rPr>
        <w:t xml:space="preserve"> </w:t>
      </w:r>
      <w:r w:rsidR="00441CD1" w:rsidRPr="00441CD1">
        <w:rPr>
          <w:i/>
          <w:sz w:val="16"/>
          <w:szCs w:val="16"/>
        </w:rPr>
        <w:t>Ibid.</w:t>
      </w:r>
    </w:p>
  </w:footnote>
  <w:footnote w:id="11">
    <w:p w14:paraId="0B8286B2" w14:textId="77777777" w:rsidR="000D3F3F" w:rsidRPr="00441CD1" w:rsidRDefault="000D3F3F">
      <w:pPr>
        <w:pStyle w:val="FootnoteText"/>
        <w:rPr>
          <w:sz w:val="16"/>
          <w:szCs w:val="16"/>
        </w:rPr>
      </w:pPr>
      <w:r w:rsidRPr="00441CD1">
        <w:rPr>
          <w:rStyle w:val="FootnoteReference"/>
          <w:sz w:val="16"/>
          <w:szCs w:val="16"/>
        </w:rPr>
        <w:footnoteRef/>
      </w:r>
      <w:r w:rsidRPr="00441CD1">
        <w:rPr>
          <w:sz w:val="16"/>
          <w:szCs w:val="16"/>
        </w:rPr>
        <w:t xml:space="preserve"> Dekker S. 2002. </w:t>
      </w:r>
      <w:r w:rsidRPr="00441CD1">
        <w:rPr>
          <w:i/>
          <w:sz w:val="16"/>
          <w:szCs w:val="16"/>
        </w:rPr>
        <w:t>The Field Guide to Human Error Investigation</w:t>
      </w:r>
      <w:r w:rsidRPr="00441CD1">
        <w:rPr>
          <w:sz w:val="16"/>
          <w:szCs w:val="16"/>
        </w:rPr>
        <w:t>. England: Ashgate Publishing Limited.</w:t>
      </w:r>
    </w:p>
  </w:footnote>
  <w:footnote w:id="12">
    <w:p w14:paraId="10443847" w14:textId="22E8368B" w:rsidR="001235D4" w:rsidRPr="00441CD1" w:rsidRDefault="001235D4">
      <w:pPr>
        <w:pStyle w:val="FootnoteText"/>
        <w:rPr>
          <w:sz w:val="16"/>
          <w:szCs w:val="16"/>
        </w:rPr>
      </w:pPr>
      <w:r w:rsidRPr="00441CD1">
        <w:rPr>
          <w:rStyle w:val="FootnoteReference"/>
          <w:sz w:val="16"/>
          <w:szCs w:val="16"/>
        </w:rPr>
        <w:footnoteRef/>
      </w:r>
      <w:r w:rsidRPr="00441CD1">
        <w:rPr>
          <w:sz w:val="16"/>
          <w:szCs w:val="16"/>
        </w:rPr>
        <w:t xml:space="preserve"> Queensland Health</w:t>
      </w:r>
      <w:r w:rsidR="00441CD1">
        <w:rPr>
          <w:sz w:val="16"/>
          <w:szCs w:val="16"/>
        </w:rPr>
        <w:t xml:space="preserve"> 2014, </w:t>
      </w:r>
      <w:r w:rsidR="00441CD1" w:rsidRPr="00441CD1">
        <w:rPr>
          <w:i/>
          <w:sz w:val="16"/>
          <w:szCs w:val="16"/>
        </w:rPr>
        <w:t>op. cit.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1F7"/>
    <w:multiLevelType w:val="hybridMultilevel"/>
    <w:tmpl w:val="851605E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C3E42"/>
    <w:multiLevelType w:val="hybridMultilevel"/>
    <w:tmpl w:val="34C845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01B1"/>
    <w:multiLevelType w:val="hybridMultilevel"/>
    <w:tmpl w:val="1068CBE0"/>
    <w:lvl w:ilvl="0" w:tplc="1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031678A"/>
    <w:multiLevelType w:val="hybridMultilevel"/>
    <w:tmpl w:val="D456747E"/>
    <w:lvl w:ilvl="0" w:tplc="1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7387EE0"/>
    <w:multiLevelType w:val="hybridMultilevel"/>
    <w:tmpl w:val="66F087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53AD2"/>
    <w:multiLevelType w:val="hybridMultilevel"/>
    <w:tmpl w:val="B8CC0D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2E0E0A"/>
    <w:multiLevelType w:val="hybridMultilevel"/>
    <w:tmpl w:val="9A147D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87"/>
    <w:rsid w:val="00016CF4"/>
    <w:rsid w:val="00055068"/>
    <w:rsid w:val="000D3F3F"/>
    <w:rsid w:val="001235D4"/>
    <w:rsid w:val="0015638A"/>
    <w:rsid w:val="001B621C"/>
    <w:rsid w:val="001E3C59"/>
    <w:rsid w:val="002B6B79"/>
    <w:rsid w:val="002C44D6"/>
    <w:rsid w:val="002D78C9"/>
    <w:rsid w:val="00367E98"/>
    <w:rsid w:val="00386202"/>
    <w:rsid w:val="00391C87"/>
    <w:rsid w:val="00397E10"/>
    <w:rsid w:val="003B28F4"/>
    <w:rsid w:val="003E77D4"/>
    <w:rsid w:val="003F1CF6"/>
    <w:rsid w:val="00413D3D"/>
    <w:rsid w:val="00441CD1"/>
    <w:rsid w:val="0045736C"/>
    <w:rsid w:val="0047186E"/>
    <w:rsid w:val="00471C66"/>
    <w:rsid w:val="004B054D"/>
    <w:rsid w:val="005965B4"/>
    <w:rsid w:val="005B5FF8"/>
    <w:rsid w:val="00632830"/>
    <w:rsid w:val="0063779C"/>
    <w:rsid w:val="006A60CB"/>
    <w:rsid w:val="006E3BF2"/>
    <w:rsid w:val="006F4659"/>
    <w:rsid w:val="00701DDA"/>
    <w:rsid w:val="00720E56"/>
    <w:rsid w:val="007535BB"/>
    <w:rsid w:val="007647CC"/>
    <w:rsid w:val="007E0081"/>
    <w:rsid w:val="008B54EE"/>
    <w:rsid w:val="00962AAC"/>
    <w:rsid w:val="009A0CD9"/>
    <w:rsid w:val="00A1693F"/>
    <w:rsid w:val="00AB2933"/>
    <w:rsid w:val="00B37E4B"/>
    <w:rsid w:val="00C51200"/>
    <w:rsid w:val="00C60671"/>
    <w:rsid w:val="00C734B2"/>
    <w:rsid w:val="00CA5285"/>
    <w:rsid w:val="00CA7708"/>
    <w:rsid w:val="00CB0D14"/>
    <w:rsid w:val="00D16685"/>
    <w:rsid w:val="00D62FAC"/>
    <w:rsid w:val="00E2450F"/>
    <w:rsid w:val="00E45544"/>
    <w:rsid w:val="00ED55AF"/>
    <w:rsid w:val="00EF102E"/>
    <w:rsid w:val="00EF3688"/>
    <w:rsid w:val="00EF7DCD"/>
    <w:rsid w:val="00F01383"/>
    <w:rsid w:val="00F16A64"/>
    <w:rsid w:val="00F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C50CC"/>
  <w15:chartTrackingRefBased/>
  <w15:docId w15:val="{EC977DF0-7E5F-4274-9A70-431C5432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1C87"/>
    <w:pPr>
      <w:spacing w:after="0" w:line="264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91C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4B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4B2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34B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4B2"/>
    <w:rPr>
      <w:rFonts w:ascii="Arial" w:eastAsia="Times New Roman" w:hAnsi="Arial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C7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F4659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4659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6F465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3F3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templateboxtable">
    <w:name w:val="template box table"/>
    <w:basedOn w:val="Normal"/>
    <w:link w:val="templateboxtableChar"/>
    <w:qFormat/>
    <w:rsid w:val="0063779C"/>
    <w:pPr>
      <w:spacing w:before="60" w:after="120" w:line="240" w:lineRule="auto"/>
    </w:pPr>
    <w:rPr>
      <w:rFonts w:cs="Arial"/>
      <w:szCs w:val="22"/>
    </w:rPr>
  </w:style>
  <w:style w:type="character" w:customStyle="1" w:styleId="templateboxtableChar">
    <w:name w:val="template box table Char"/>
    <w:basedOn w:val="DefaultParagraphFont"/>
    <w:link w:val="templateboxtable"/>
    <w:rsid w:val="0063779C"/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B621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linicalexcellence.qld.gov.au/sites/default/files/2018-01/clinicalincidentguide.pdf" TargetMode="External"/><Relationship Id="rId1" Type="http://schemas.openxmlformats.org/officeDocument/2006/relationships/hyperlink" Target="http://www.hqsc.govt.nz/our-programmes/adverse-events/national-adverse-events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0CDCA907424BAC4488B93C6F45323752003DFB7F9CF8FDA049AD8B23B9220D46CD00D6E34AB1123A19448791D0FF4A08514A" ma:contentTypeVersion="4" ma:contentTypeDescription="Use this content type to classify and store documents on HQSC DMS website" ma:contentTypeScope="" ma:versionID="65154990900c756bc4eda7f676856dca">
  <xsd:schema xmlns:xsd="http://www.w3.org/2001/XMLSchema" xmlns:xs="http://www.w3.org/2001/XMLSchema" xmlns:p="http://schemas.microsoft.com/office/2006/metadata/properties" xmlns:ns2="69bfa16a-a3a9-440c-9133-c4aec73b974f" targetNamespace="http://schemas.microsoft.com/office/2006/metadata/properties" ma:root="true" ma:fieldsID="d468d2f430544629a1d021b04664f5a8" ns2:_="">
    <xsd:import namespace="69bfa16a-a3a9-440c-9133-c4aec73b97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a16a-a3a9-440c-9133-c4aec73b97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f5f3592-6945-4c22-808a-f55b4355eea4" ContentTypeId="0x0101000CDCA907424BAC4488B93C6F4532375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bfa16a-a3a9-440c-9133-c4aec73b974f">HQSC-313-38581</_dlc_DocId>
    <_dlc_DocIdUrl xmlns="69bfa16a-a3a9-440c-9133-c4aec73b974f">
      <Url>http://intranet.hqsc.local/DMS/Communications/_layouts/DocIdRedir.aspx?ID=HQSC-313-38581</Url>
      <Description>HQSC-313-38581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CA12C-5611-495B-B4E3-93255E5E4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fa16a-a3a9-440c-9133-c4aec73b9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24DC2-322F-40AD-B869-290C41176E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05A6AE1-7FF7-45FF-8957-43CE1B458E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42F85A1-2C57-437B-8631-CE9FD50D97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F0115E-F964-4248-B11C-D327407B71B3}">
  <ds:schemaRefs>
    <ds:schemaRef ds:uri="http://schemas.microsoft.com/office/2006/metadata/properties"/>
    <ds:schemaRef ds:uri="http://schemas.microsoft.com/office/infopath/2007/PartnerControls"/>
    <ds:schemaRef ds:uri="69bfa16a-a3a9-440c-9133-c4aec73b974f"/>
  </ds:schemaRefs>
</ds:datastoreItem>
</file>

<file path=customXml/itemProps6.xml><?xml version="1.0" encoding="utf-8"?>
<ds:datastoreItem xmlns:ds="http://schemas.openxmlformats.org/officeDocument/2006/customXml" ds:itemID="{2B668B61-B77B-4525-AE82-2F17CCB1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&amp; Safety Commission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dc:description/>
  <cp:lastModifiedBy>Falyn Cranston</cp:lastModifiedBy>
  <cp:revision>2</cp:revision>
  <dcterms:created xsi:type="dcterms:W3CDTF">2018-05-30T23:27:00Z</dcterms:created>
  <dcterms:modified xsi:type="dcterms:W3CDTF">2018-05-30T23:27:00Z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0x0101000CDCA907424BAC4488B93C6F45323752003DFB7F9CF8FDA049AD8B23B9220D46CD00D6E34AB1123A19448791D0FF4A08514A</vt:lpwstr>
  </property>
  <property fmtid="{D5CDD505-2E9C-101B-9397-08002B2CF9AE}" pid="3" name="_dlc_DocIdItemGuid">
    <vt:lpwstr>4e4942db-e484-4508-b2b6-eb72d5b9a720</vt:lpwstr>
  </property>
</Properties>
</file>